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51" w:rsidRPr="00C30551" w:rsidRDefault="00C30551" w:rsidP="00C305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Контракту</w:t>
      </w:r>
    </w:p>
    <w:p w:rsidR="00C30551" w:rsidRPr="00C30551" w:rsidRDefault="00C30551" w:rsidP="00C30551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от «__»__________2026 г. № _____________</w:t>
      </w:r>
    </w:p>
    <w:p w:rsidR="00C30551" w:rsidRPr="00C30551" w:rsidRDefault="00C30551" w:rsidP="00C3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551" w:rsidRPr="00C30551" w:rsidRDefault="00C30551" w:rsidP="00C305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551" w:rsidRPr="00C30551" w:rsidRDefault="00C30551" w:rsidP="00C30551">
      <w:pPr>
        <w:widowControl w:val="0"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:rsidR="00C30551" w:rsidRPr="00C30551" w:rsidRDefault="00C30551" w:rsidP="00C30551">
      <w:pPr>
        <w:widowControl w:val="0"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(Техническое задание)</w:t>
      </w:r>
    </w:p>
    <w:p w:rsidR="00C30551" w:rsidRPr="00C30551" w:rsidRDefault="00C30551" w:rsidP="00C30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 </w:t>
      </w:r>
      <w:r w:rsidRPr="00C305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разработке </w:t>
      </w:r>
      <w:r w:rsidRPr="00C3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проектно-сметной документации по ограждению и оборудованию техническими средствами охраны территории </w:t>
      </w:r>
      <w:r w:rsidR="00783BAA">
        <w:rPr>
          <w:rFonts w:ascii="Times New Roman" w:eastAsia="Times New Roman" w:hAnsi="Times New Roman" w:cs="Times New Roman"/>
          <w:sz w:val="24"/>
          <w:szCs w:val="24"/>
          <w:lang w:eastAsia="ru-RU"/>
        </w:rPr>
        <w:t>ФКУ «Объект № 5066»</w:t>
      </w:r>
      <w:bookmarkStart w:id="0" w:name="_GoBack"/>
      <w:bookmarkEnd w:id="0"/>
    </w:p>
    <w:p w:rsidR="00C30551" w:rsidRPr="00C30551" w:rsidRDefault="00C30551" w:rsidP="00C3055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9968" w:type="dxa"/>
        <w:tblInd w:w="-60" w:type="dxa"/>
        <w:tblCellMar>
          <w:top w:w="145" w:type="dxa"/>
          <w:left w:w="60" w:type="dxa"/>
          <w:right w:w="6" w:type="dxa"/>
        </w:tblCellMar>
        <w:tblLook w:val="04A0" w:firstRow="1" w:lastRow="0" w:firstColumn="1" w:lastColumn="0" w:noHBand="0" w:noVBand="1"/>
      </w:tblPr>
      <w:tblGrid>
        <w:gridCol w:w="666"/>
        <w:gridCol w:w="3642"/>
        <w:gridCol w:w="5660"/>
      </w:tblGrid>
      <w:tr w:rsidR="000A78B1" w:rsidRPr="00D674D5" w:rsidTr="008A0E89">
        <w:trPr>
          <w:trHeight w:val="2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основных данных и требований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Основных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данные и требования </w:t>
            </w:r>
          </w:p>
        </w:tc>
      </w:tr>
      <w:tr w:rsidR="000A78B1" w:rsidRPr="00D674D5" w:rsidTr="008A0E89">
        <w:trPr>
          <w:trHeight w:val="128"/>
        </w:trPr>
        <w:tc>
          <w:tcPr>
            <w:tcW w:w="9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0A78B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Общие данные </w:t>
            </w:r>
          </w:p>
        </w:tc>
      </w:tr>
      <w:tr w:rsidR="000A78B1" w:rsidRPr="00D674D5" w:rsidTr="008A0E89">
        <w:trPr>
          <w:trHeight w:val="10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для проектирования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righ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Застройщик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Проектная организация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строительства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Новое строительство 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 строительства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условия на подключение (присоединение) объекта к сетям инженерно-технического обеспечения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наличии добавить или Подрядчик запрашивает и получает самостоятельно 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выделению этапов строительства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требуются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 и пункт размещения объекта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right="5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РФ, Калужская обл.,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г. Балабаново, ул. Зеленая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строительства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righ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Проектом организации строительства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основным технико-экономическим показателям объекта (площадь, объем, протяженность, производственная мощность, пропускная способность, грузооборот, интенсивность движения и другие показатели)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48" w:lineRule="auto"/>
              <w:ind w:right="55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Технические решения и параметры проектируемого объекта принять в соответствии со СНиП 12-03-2001,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2.1.3678-20, ГОСТ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57278-2016. Используемые строительные материалы должны соответствовать сертификатам на основании ФЗ от 30.12.2009 № 384-ФЗ (ред. от 02.07.2013) п.2, техническим паспортам и другим документам, удостоверяющим их качество. </w:t>
            </w:r>
          </w:p>
          <w:p w:rsidR="000A78B1" w:rsidRPr="00D674D5" w:rsidRDefault="000A78B1" w:rsidP="008A0E89">
            <w:pPr>
              <w:ind w:left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Общие характеристики предприятия: </w:t>
            </w:r>
          </w:p>
          <w:p w:rsidR="000A78B1" w:rsidRPr="00D82DD7" w:rsidRDefault="000A78B1" w:rsidP="008A0E89">
            <w:pPr>
              <w:spacing w:after="2" w:line="263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территории объекта – 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123450 м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0A78B1" w:rsidRPr="00D674D5" w:rsidRDefault="000A78B1" w:rsidP="008A0E89">
            <w:pPr>
              <w:spacing w:after="2" w:line="263" w:lineRule="auto"/>
              <w:ind w:left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Контрольно-пропускной пункт – 1 шт. </w:t>
            </w:r>
          </w:p>
          <w:p w:rsidR="000A78B1" w:rsidRPr="00D674D5" w:rsidRDefault="000A78B1" w:rsidP="008A0E89">
            <w:pPr>
              <w:ind w:righ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указаны ориентировочно. Уточнить при проектировании.</w:t>
            </w:r>
          </w:p>
        </w:tc>
      </w:tr>
      <w:tr w:rsidR="000A78B1" w:rsidRPr="00D674D5" w:rsidTr="008A0E89">
        <w:trPr>
          <w:trHeight w:val="1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Идентификационные признаки объекта: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righ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65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1.11.1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Функциональное назначение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 Ограждение - предназначено для обеспечения безопасности, предотвращения краж и контроля доступа. </w:t>
            </w:r>
          </w:p>
          <w:p w:rsidR="000A78B1" w:rsidRPr="00D82DD7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КПП –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контрольно-пропускной пункт</w:t>
            </w:r>
          </w:p>
          <w:p w:rsidR="000A78B1" w:rsidRPr="00D82DD7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3. Видеонаблюдение – охранное</w:t>
            </w:r>
          </w:p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4. Освещение – дежурное по периметру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A78B1" w:rsidRPr="00D674D5" w:rsidTr="008A0E89">
        <w:trPr>
          <w:trHeight w:val="40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1.11.2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в соответствии с приказом Министерства строительства и жилищно-коммунального хозяйства РФ</w:t>
            </w:r>
          </w:p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от 02 ноября 2022 года № 928/</w:t>
            </w:r>
            <w:proofErr w:type="spellStart"/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 Ограждение -</w:t>
            </w: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КПП – </w:t>
            </w:r>
          </w:p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3. Видеонаблюдение –</w:t>
            </w:r>
            <w:r w:rsidRPr="00D674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4. Освещение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A78B1" w:rsidRPr="00D674D5" w:rsidTr="008A0E89">
        <w:trPr>
          <w:trHeight w:val="168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1.11.3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Принадлежность к объектам транспортной инфраструктуры и к другим объектам, функционально-технологические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которых влияют на их безопасность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Принадлежит к объектам транспортной инфраструктуры (п. 5 ст. 1 Федерального закона от 09.02.2007 № 16-ФЗ "О транспортной безопасности" и не относится к особо опасным, технически сложным объектам, уникальным объектам, указанным в ст. 481 Градостроительного кодекса Российской Федерации</w:t>
            </w:r>
            <w:proofErr w:type="gramEnd"/>
          </w:p>
        </w:tc>
      </w:tr>
      <w:tr w:rsidR="000A78B1" w:rsidRPr="00D674D5" w:rsidTr="008A0E89">
        <w:trPr>
          <w:trHeight w:val="9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Определить проектом</w:t>
            </w:r>
          </w:p>
        </w:tc>
      </w:tr>
      <w:tr w:rsidR="000A78B1" w:rsidRPr="00D674D5" w:rsidTr="008A0E89">
        <w:trPr>
          <w:trHeight w:val="56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Пожарная и взрывопожарная опасность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пожарную и взрывопожарную опасность конкретного сооружения определить и указать в проектной документации.</w:t>
            </w:r>
          </w:p>
        </w:tc>
      </w:tr>
      <w:tr w:rsidR="000A78B1" w:rsidRPr="00D674D5" w:rsidTr="008A0E89">
        <w:trPr>
          <w:trHeight w:val="55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помещений с постоянным пребыванием людей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(размер 6х6 м)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режим пребывания круглосуточный</w:t>
            </w:r>
          </w:p>
        </w:tc>
      </w:tr>
      <w:tr w:rsidR="000A78B1" w:rsidRPr="00D674D5" w:rsidTr="008A0E89">
        <w:trPr>
          <w:trHeight w:val="97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ответственности (в соответствии с Федеральным законом от 30 декабря 2009 г. N 384-ФЗ «Технический регламент о безопасности зданий и сооружений»</w:t>
            </w:r>
            <w:proofErr w:type="gramEnd"/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Нормальный</w:t>
            </w:r>
          </w:p>
        </w:tc>
      </w:tr>
      <w:tr w:rsidR="000A78B1" w:rsidRPr="00D674D5" w:rsidTr="008A0E89">
        <w:trPr>
          <w:trHeight w:val="5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надежности по ответственности проектируемых зданий и сооружений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0A78B1" w:rsidRPr="00D674D5" w:rsidTr="008A0E89">
        <w:trPr>
          <w:trHeight w:val="5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 по гражданской обороне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Не нормируется</w:t>
            </w:r>
          </w:p>
        </w:tc>
      </w:tr>
      <w:tr w:rsidR="000A78B1" w:rsidRPr="00D674D5" w:rsidTr="008A0E89">
        <w:trPr>
          <w:trHeight w:val="5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работы объекта в военное время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Требуется</w:t>
            </w:r>
          </w:p>
        </w:tc>
      </w:tr>
      <w:tr w:rsidR="000A78B1" w:rsidRPr="00D674D5" w:rsidTr="008A0E89">
        <w:trPr>
          <w:trHeight w:val="5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1.11.11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объекта в соответствии с постановлением Правительства Российской Федерации от 31.12.2020</w:t>
            </w:r>
          </w:p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2398Об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критериев отнесения объектов, оказывающих негативное воздействие на окружающую среду, к объектам I, II, III и IV категорий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Уточнить проектом</w:t>
            </w:r>
          </w:p>
        </w:tc>
      </w:tr>
      <w:tr w:rsidR="000A78B1" w:rsidRPr="00D674D5" w:rsidTr="008A0E89">
        <w:trPr>
          <w:trHeight w:val="5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о необходимости соответствия проектной документации обоснованию безопасности опасного производственного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55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Требования к качеству, конкурентоспособности,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экологичности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проектных решений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документация и принятые в ней решения должны соответствовать установленным требованиям</w:t>
            </w:r>
          </w:p>
        </w:tc>
      </w:tr>
      <w:tr w:rsidR="000A78B1" w:rsidRPr="00D674D5" w:rsidTr="008A0E89">
        <w:trPr>
          <w:trHeight w:val="27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выполнения инженерных изысканий для подготовки проектной документации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Default="000A78B1" w:rsidP="008A0E89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требуется.</w:t>
            </w:r>
          </w:p>
          <w:p w:rsidR="000A78B1" w:rsidRPr="0036108A" w:rsidRDefault="000A78B1" w:rsidP="008A0E89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Подтвердить границы участка геодезическими замерами с выносом точек (репер) на месте размещения объектов.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Предполагаемая (предельная) стоимость строительства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планом-графиком реализации мероприятий </w:t>
            </w:r>
          </w:p>
        </w:tc>
      </w:tr>
      <w:tr w:rsidR="000A78B1" w:rsidRPr="00D674D5" w:rsidTr="008A0E89">
        <w:trPr>
          <w:trHeight w:val="38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к проектным решениям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схеме планировочной организации земельного участка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Технические решения и параметры проектируемого объекта принять в соответствии со СНиП 12-03-2001,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2.1.3678-20, ГОСТ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57278-2016, Используемые строительные материалы должны соответствовать сертификатам на основании ФЗ от 30.12.2009 № 384-ФЗ (ред. от 02.07.2013) п.2, техническим паспортам и другим документам, удостоверяющим их качество. 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Общие характеристики предприятия: </w:t>
            </w:r>
          </w:p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территории объекта – 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123450 м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Контрольно-пропускной пункт – 1 шт. 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и технические характеристики объекта: 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РФ, Калужская обл., г. Балабаново, ул. Зеленая.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архитектурно-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художественным решениям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, включая требования к графическим материалам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разработки основных проектных решений или предварительного согласования отдельных проектных решений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spacing w:line="251" w:lineRule="auto"/>
              <w:ind w:right="56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Требуется согласование проектных решений с причастными организациями, от которых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получены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ТУ. </w:t>
            </w:r>
          </w:p>
          <w:p w:rsidR="000A78B1" w:rsidRPr="00D674D5" w:rsidRDefault="000A78B1" w:rsidP="008A0E89">
            <w:pPr>
              <w:spacing w:line="264" w:lineRule="auto"/>
              <w:ind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Согласование основных проектных решений осуществляется проектной организацией. </w:t>
            </w:r>
          </w:p>
          <w:p w:rsidR="000A78B1" w:rsidRPr="00D674D5" w:rsidRDefault="000A78B1" w:rsidP="008A0E89">
            <w:pPr>
              <w:spacing w:line="257" w:lineRule="auto"/>
              <w:ind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Ограждение общей протяженностью 1402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высота ограждения – 2,5 м. </w:t>
            </w:r>
          </w:p>
          <w:p w:rsidR="000A78B1" w:rsidRPr="00D674D5" w:rsidRDefault="000A78B1" w:rsidP="008A0E89">
            <w:pPr>
              <w:spacing w:after="9" w:line="257" w:lineRule="auto"/>
              <w:ind w:right="54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Автоматические 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откатные 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ворота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двигателем общее количество – 1 шт., механические ворота распашного типа – 1 шт. и калитка с магнитным замком. Ширина ворот – 5,40 м., Высота ворот – 2,5 м., Наличие калитки/двери – ширина 1м, высота – 2,5 м. Материал: металлическая профильная труба,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профнастил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облицовки ворот.  </w:t>
            </w:r>
          </w:p>
          <w:p w:rsidR="000A78B1" w:rsidRPr="00D82DD7" w:rsidRDefault="000A78B1" w:rsidP="008A0E89">
            <w:pPr>
              <w:spacing w:line="263" w:lineRule="auto"/>
              <w:ind w:right="55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 № 1 предусмотреть прокладку и подключение кабельной линии от ТП в грунт глубиной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0,8м. напряжением 380/220 В., частотой 50 Гц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эксплуатации калитки с магнитным замком с установкой и монтажом на КПП электрического щитка и пульта управления. </w:t>
            </w:r>
          </w:p>
          <w:p w:rsidR="000A78B1" w:rsidRPr="00D82DD7" w:rsidRDefault="000A78B1" w:rsidP="008A0E89">
            <w:pPr>
              <w:spacing w:line="247" w:lineRule="auto"/>
              <w:ind w:right="56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Устройство автоматического шлагбаума с выводом пульта управления на КПП №1 охраны. Предусмотреть прокладку силового кабеля открыто в гофр трубе, по 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существующему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конструкциям ограждения (путем крепления на клипсы).  </w:t>
            </w:r>
          </w:p>
          <w:p w:rsidR="000A78B1" w:rsidRPr="00D82DD7" w:rsidRDefault="000A78B1" w:rsidP="008A0E89">
            <w:pPr>
              <w:spacing w:line="267" w:lineRule="auto"/>
              <w:ind w:right="56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освещения на ограждении с прокладкой кабельной линии протяженностью 1402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(длину уточнить при проектировании), кабель прокладывать открыто с креплением по существующему ограждению в гофрированной трубе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напряжением 380/220 В., частотой 50 Гц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ля эксплуатации системы освещения с автоматическим включением в темное время суток и выключением в светлое время суток и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установкой датчиком движения на включения в ночное время. 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Высота установки светильников 6 метров. Шаг установки светильников 30-35 метров (оптимальное расстояние определить при проектировании). Уровень освещённости 20 </w:t>
            </w:r>
            <w:proofErr w:type="spell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огласно СП 52.13330.2016. Железную конструкцию забора заземлить. Не менее трех вертикальных заземлителя на одну секцию (секция </w:t>
            </w:r>
            <w:r w:rsidRPr="00D8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=467 метров.). Применить вертикальный заземлитель -уголок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т. 3  50х50х5 </w:t>
            </w:r>
            <w:r w:rsidRPr="00D8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=3000. Заземлитель соединить с забором полосой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т. 3  40х5. ПУЭ гл. 1.7 </w:t>
            </w:r>
          </w:p>
          <w:p w:rsidR="000A78B1" w:rsidRPr="00D674D5" w:rsidRDefault="000A78B1" w:rsidP="008A0E89">
            <w:pPr>
              <w:spacing w:line="267" w:lineRule="auto"/>
              <w:ind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Видеонаблюдение: 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с шагом 30-35 метров установить видеокамеры с использованием забора (столбов крепления светильников 80х80,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длинна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6 метров). Видеокамеры устанавливать под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светильником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чтобы избежать засветки. Каждая предыдущая камера устанавливается с учетом 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направления («смотрит») в сторону следующей, для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избежание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мертвых зон. Т.е. </w:t>
            </w:r>
            <w:proofErr w:type="spell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периметральных</w:t>
            </w:r>
            <w:proofErr w:type="spell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35 камер +4 камеры на въездные ворота + 1 камера внутри КПП (уточнить при проектировании).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8B1" w:rsidRPr="00D82DD7" w:rsidRDefault="000A78B1" w:rsidP="008A0E89">
            <w:pPr>
              <w:spacing w:line="267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Запроектировать сервер емкостью до 64 камер. Уличные шкафы предусмотреть с подогревом (устройством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анитиконденсата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). К каждому шкафу должно подключаться по 8 камер. Внутри устанавливается коммутационное оборудование. Питание осуществляется по </w:t>
            </w:r>
            <w:r w:rsidRPr="00D674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(витая пара). Связь между шкафами 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запроектировать оптическим кабелем. Запроектировать металлический лоток по периметру ограждения для прокладки оптического кабеля, кабеля питания шкафов. Видеокамеры применить с оборудованы ИК подсветкой до 40 м.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альбом основных технических решений (ОТР) с пояснительной запиской по объекту, чертежи ситуационного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генерального планов.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технологическим решениям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Проектными решениями предусмотреть условия для организации и выполнения  технологических процессов, в соответствии с требованиями положений по охране труда, обеспечения безопасности в промышленности, на основе действующего законодательства, стандартов системы безопасности труда, строительных норм и правил, санитарно-гигиенических нормативов, правил устройства и безопасности эксплуатации оборудования и грузоподъемных механизмов, других нормативных правовых актов по охране труда с использованием отраслевых стандартов, правил и положений. </w:t>
            </w:r>
            <w:proofErr w:type="gramEnd"/>
          </w:p>
        </w:tc>
      </w:tr>
      <w:tr w:rsidR="000A78B1" w:rsidRPr="00D674D5" w:rsidTr="008A0E89">
        <w:trPr>
          <w:trHeight w:val="4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к конструктивным и объемно-планировочным решениям: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выбора и применения материалов, изделий, конструкций, оборудования и их согласования застройщиком (техническим заказчиком)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утвержденными основными проектными решениями (ОТР) и конъюнктурным анализом цен оборудования изделий и материалов, отсутствующих в ФССЦ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архитектурно строительным, объемно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планировочным и конструктивным решениям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0A78B1">
            <w:pPr>
              <w:numPr>
                <w:ilvl w:val="0"/>
                <w:numId w:val="2"/>
              </w:numPr>
              <w:spacing w:line="232" w:lineRule="auto"/>
              <w:ind w:left="0" w:right="56" w:firstLine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Ограждение выполняется в виде прямолинейных участков с минимальным количеством изгибов и поворотов, ограничивающих наблюдение и затрудняющих применение технических средств охраны, а также с учетом рельефа местности и пересекающих ограждение коммуникаций.  </w:t>
            </w:r>
          </w:p>
          <w:p w:rsidR="000A78B1" w:rsidRPr="00D674D5" w:rsidRDefault="000A78B1" w:rsidP="000A78B1">
            <w:pPr>
              <w:numPr>
                <w:ilvl w:val="0"/>
                <w:numId w:val="2"/>
              </w:numPr>
              <w:spacing w:after="27" w:line="241" w:lineRule="auto"/>
              <w:ind w:left="0" w:right="56" w:firstLine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трехметровой зоне по обе стороны ограждения должны отсутствовать здания, сооружения, деревья, кустарники и т.п. В проектно-сметной документации предусматриваются объемы работ по планировке местности, вырубке кустарника и деревьев в трехметровой зоне по обе стороны ограждения. </w:t>
            </w:r>
          </w:p>
          <w:p w:rsidR="000A78B1" w:rsidRPr="00D674D5" w:rsidRDefault="000A78B1" w:rsidP="000A78B1">
            <w:pPr>
              <w:numPr>
                <w:ilvl w:val="0"/>
                <w:numId w:val="2"/>
              </w:numPr>
              <w:spacing w:after="22" w:line="245" w:lineRule="auto"/>
              <w:ind w:left="0" w:right="56" w:firstLine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ограждению не должны примыкать какие-либо пристройки и сооружения, кроме зданий, являющихся продолжением периметра.  </w:t>
            </w:r>
          </w:p>
          <w:p w:rsidR="000A78B1" w:rsidRPr="00D674D5" w:rsidRDefault="000A78B1" w:rsidP="000A78B1">
            <w:pPr>
              <w:numPr>
                <w:ilvl w:val="0"/>
                <w:numId w:val="2"/>
              </w:numPr>
              <w:spacing w:after="18" w:line="245" w:lineRule="auto"/>
              <w:ind w:left="0" w:right="56" w:firstLine="3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Ограждение должно быть выполнено из металлического материала, в соответствии с ГОСТ, СП и отвечать следующим требованиям: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36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высота вертикальной части ограждения должна составлять не менее 2,5 м с учетом рельефа местности;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0" w:line="265" w:lineRule="auto"/>
              <w:ind w:left="0" w:right="57" w:firstLine="36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элементы металлического ограждения должны быть покрыты антикоррозийным и морозоустойчивым покрытием;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48" w:line="224" w:lineRule="auto"/>
              <w:ind w:left="0" w:right="56" w:firstLine="36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опоры ограждения должны быть выполнены из цельнометаллического профиля 80*80 мм, иметь устойчивое вертикальное положение, и заглублены в грунт на необходимую глубину с учетом климатических особенностей места установки;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18" w:line="245" w:lineRule="auto"/>
              <w:ind w:left="0" w:right="56" w:firstLine="36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элементы ограждения, устанавливаемые в грунт, </w:t>
            </w: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должны быть заглублены ниже глубины промерзания грунтов и забетонированы; </w:t>
            </w:r>
          </w:p>
          <w:p w:rsidR="000A78B1" w:rsidRPr="00D82DD7" w:rsidRDefault="000A78B1" w:rsidP="000A78B1">
            <w:pPr>
              <w:pStyle w:val="a6"/>
              <w:numPr>
                <w:ilvl w:val="1"/>
                <w:numId w:val="2"/>
              </w:numPr>
              <w:spacing w:after="0" w:line="265" w:lineRule="auto"/>
              <w:ind w:left="0" w:firstLine="3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шаг установки столбов ограждения должен быть от 1 до 3 метров </w:t>
            </w:r>
            <w:r w:rsidRPr="00D82D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(определить при проектировании);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0" w:line="264" w:lineRule="auto"/>
              <w:ind w:left="0" w:firstLine="3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срок службы всех элементов ограждения должен составлять не менее 20 лет;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0" w:line="266" w:lineRule="auto"/>
              <w:ind w:left="0" w:firstLine="3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ограждение должно функционировать с учетом существующих климатических условий. </w:t>
            </w:r>
          </w:p>
          <w:p w:rsidR="000A78B1" w:rsidRPr="00D674D5" w:rsidRDefault="000A78B1" w:rsidP="000A78B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right="41" w:firstLine="3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Технические требования к механическим воротам: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0" w:line="254" w:lineRule="auto"/>
              <w:ind w:left="0" w:right="57" w:firstLine="3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Автоматические ворота- 1 </w:t>
            </w:r>
            <w:proofErr w:type="spellStart"/>
            <w:proofErr w:type="gramStart"/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шт</w:t>
            </w:r>
            <w:proofErr w:type="spellEnd"/>
            <w:proofErr w:type="gramEnd"/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механические ворота распашного типа – 1 шт., Ширина ворот –5,40 м., Высота ворот – 2,5 м., Наличие калитки/двери – ширина 1м, высота – 2,5 м. Материал: металлическая профильная труба,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профнастил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для облицовки ворот. </w:t>
            </w:r>
          </w:p>
          <w:p w:rsidR="000A78B1" w:rsidRPr="00D674D5" w:rsidRDefault="000A78B1" w:rsidP="000A78B1">
            <w:pPr>
              <w:pStyle w:val="a6"/>
              <w:numPr>
                <w:ilvl w:val="1"/>
                <w:numId w:val="2"/>
              </w:numPr>
              <w:spacing w:after="0" w:line="240" w:lineRule="auto"/>
              <w:ind w:left="0" w:firstLine="36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КПП № 1 предусмотреть прокладку и подключение кабельной линии в грунт </w:t>
            </w:r>
            <w:r w:rsidRPr="00D82D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напряжением 220/380 В., частотой 50 Гц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для эксплуатации калитки с магнитным замком с</w:t>
            </w: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установкой и монтажом на КПП электрического щитка и пульта управления.</w:t>
            </w:r>
          </w:p>
          <w:p w:rsidR="000A78B1" w:rsidRPr="00D674D5" w:rsidRDefault="000A78B1" w:rsidP="000A78B1">
            <w:pPr>
              <w:pStyle w:val="a6"/>
              <w:numPr>
                <w:ilvl w:val="0"/>
                <w:numId w:val="2"/>
              </w:numPr>
              <w:spacing w:after="0" w:line="266" w:lineRule="auto"/>
              <w:ind w:left="0" w:right="27" w:firstLine="36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Устройство автоматического шлагбаума с выводом пульта управления на КПП №1 охраны.  </w:t>
            </w:r>
          </w:p>
          <w:p w:rsidR="000A78B1" w:rsidRPr="00D674D5" w:rsidRDefault="000A78B1" w:rsidP="000A78B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6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Необходимо предусмотреть металлический лоток по периметру ограждения для прокладки кабеля и прокладки, питающих шкафы, линий. </w:t>
            </w:r>
          </w:p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3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Видеокамеры оборудованы ИК подсветкой до 40 м.</w:t>
            </w:r>
          </w:p>
        </w:tc>
      </w:tr>
      <w:tr w:rsidR="000A78B1" w:rsidRPr="00D674D5" w:rsidTr="008A0E89">
        <w:trPr>
          <w:trHeight w:val="36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фундаментам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Определить проектом. 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обеспечению безопасности объекта при опасных природных процессах и явлениях и техногенных воздействиях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62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инженерной защите территории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23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к инженерно-техническим решениям: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проектирование):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Технические условия запрашиваются проектной организацией</w:t>
            </w:r>
          </w:p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Рабочая документация согласовывается с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организациями: </w:t>
            </w:r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ГП «</w:t>
            </w:r>
            <w:proofErr w:type="spellStart"/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Калугаоблводоканал</w:t>
            </w:r>
            <w:proofErr w:type="spellEnd"/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», Боровский РЭС ОАО «Калугаэнерго», </w:t>
            </w:r>
            <w:r w:rsidRPr="009C61F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Газовый участок ООО «</w:t>
            </w:r>
            <w:proofErr w:type="spellStart"/>
            <w:r w:rsidRPr="009C61F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Малоярославецмежрайгаз</w:t>
            </w:r>
            <w:proofErr w:type="spellEnd"/>
            <w:r w:rsidRPr="009C61F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»</w:t>
            </w:r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, Газовый участок ООО «</w:t>
            </w:r>
            <w:proofErr w:type="spellStart"/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Тарусамежрайгаз</w:t>
            </w:r>
            <w:proofErr w:type="spellEnd"/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»,</w:t>
            </w:r>
            <w:r w:rsidRPr="009C61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ООО «Калужская </w:t>
            </w:r>
            <w:proofErr w:type="spellStart"/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>энергосетевая</w:t>
            </w:r>
            <w:proofErr w:type="spellEnd"/>
            <w:r w:rsidRPr="009C61FF">
              <w:rPr>
                <w:rStyle w:val="a3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компания», </w:t>
            </w:r>
            <w:r w:rsidRPr="009C61F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ПАО «Ростелеком»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</w:tr>
      <w:tr w:rsidR="000A78B1" w:rsidRPr="00D674D5" w:rsidTr="008A0E89">
        <w:trPr>
          <w:trHeight w:val="28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Наружные сети водоснабжения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Предусмотреть подвод сетей к КПП</w:t>
            </w:r>
          </w:p>
        </w:tc>
      </w:tr>
      <w:tr w:rsidR="000A78B1" w:rsidRPr="00D674D5" w:rsidTr="008A0E89">
        <w:trPr>
          <w:trHeight w:val="28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Наружные сети водоотведения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Предусмотреть подвод сетей к КПП</w:t>
            </w:r>
          </w:p>
        </w:tc>
      </w:tr>
      <w:tr w:rsidR="000A78B1" w:rsidRPr="00D674D5" w:rsidTr="008A0E89">
        <w:trPr>
          <w:trHeight w:val="7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Предусмотреть подключение щита питания от КПП № 1 и монтажом электрического щита.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КПП № 1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предусмотреть прокладку и подключение кабельной линии в грунт напряжением 380/220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частотой 50Гц.,  для эксплуатации калитки с магнитным замком с установкой и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монтажом на КПП электрического щитка и пульта управления.</w:t>
            </w:r>
          </w:p>
        </w:tc>
      </w:tr>
      <w:tr w:rsidR="000A78B1" w:rsidRPr="00D674D5" w:rsidTr="008A0E89">
        <w:trPr>
          <w:trHeight w:val="3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Телефонизация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38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Радиофикация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26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Информационно-телекоммуникационная сеть "Интернет"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3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Телевидение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68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охранного видеонаблюдения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82DD7" w:rsidRDefault="000A78B1" w:rsidP="008A0E89">
            <w:pPr>
              <w:spacing w:line="267" w:lineRule="auto"/>
              <w:ind w:right="56" w:firstLine="3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Монтаж освещения по всей длине на ограждении с прокладкой кабельной линии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 по существующему ограждению в гофр трубе напряжением380/220 В., частотой 50 Гц.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для эксплуатации системы освещения с автоматическим включением в темное время суток (датчик движения) и выключением в светлое время суток.  Высота установки светильников 6 метров. Шаг 30-35 метров (определить проектом). Уровень освещённости 20 </w:t>
            </w:r>
            <w:proofErr w:type="spell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лк</w:t>
            </w:r>
            <w:proofErr w:type="spellEnd"/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огласно СП 52.13330.2016. 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Железную конструкцию забора заземлить. Не менее трех вертикальных заземлителя на одну секцию (секция </w:t>
            </w:r>
            <w:r w:rsidRPr="00D8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=467 метров.). Применить вертикальный заземлитель -уголок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т. 3  50х50х5 </w:t>
            </w:r>
            <w:r w:rsidRPr="00D82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=3000. Заземлитель соединить с забором полосой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т. 3  40х5. ПУЭ гл. 1.7 </w:t>
            </w:r>
          </w:p>
          <w:p w:rsidR="000A78B1" w:rsidRPr="00D82DD7" w:rsidRDefault="000A78B1" w:rsidP="000A78B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Предусмотреть подключение щита питания от КПП № 1 и монтажом электрического щита.</w:t>
            </w:r>
          </w:p>
          <w:p w:rsidR="000A78B1" w:rsidRPr="00D82DD7" w:rsidRDefault="000A78B1" w:rsidP="000A78B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Видеонаблюдение: </w:t>
            </w:r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с шагом 30-35 метров установить видеокамеры с использованием забора (столбов крепления светильников 80х80,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длинна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6 метров). Видеокамеры устанавливать под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светильником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чтобы избежать засветки. Каждая предыдущая камера устанавливается с учетом направления («смотрит») в сторону следующей, для </w:t>
            </w:r>
            <w:proofErr w:type="gramStart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>избежание</w:t>
            </w:r>
            <w:proofErr w:type="gramEnd"/>
            <w:r w:rsidRPr="00D82DD7">
              <w:rPr>
                <w:rFonts w:ascii="Times New Roman" w:hAnsi="Times New Roman" w:cs="Times New Roman"/>
                <w:sz w:val="20"/>
                <w:szCs w:val="20"/>
              </w:rPr>
              <w:t xml:space="preserve"> мертвых зон.</w:t>
            </w:r>
          </w:p>
          <w:p w:rsidR="000A78B1" w:rsidRPr="00D674D5" w:rsidRDefault="000A78B1" w:rsidP="000A78B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Сервер предусмотреть емкостью до 64 камер. </w:t>
            </w:r>
          </w:p>
          <w:p w:rsidR="000A78B1" w:rsidRPr="00CB380D" w:rsidRDefault="000A78B1" w:rsidP="000A78B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3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Уличные шкафы предусмотреть с подогревом (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устройством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анитиконденсата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</w:t>
            </w:r>
            <w:proofErr w:type="gramEnd"/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 каждому шкафу подключается по 8 камер. Внутри устанавливается коммутационное оборудование. Питание осуществляется по </w:t>
            </w:r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Poe</w:t>
            </w:r>
            <w:r w:rsidRPr="00D674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(витая пара). Связь между шкафами оптическим кабелем. </w:t>
            </w:r>
          </w:p>
        </w:tc>
      </w:tr>
      <w:tr w:rsidR="000A78B1" w:rsidRPr="00D674D5" w:rsidTr="008A0E89">
        <w:trPr>
          <w:trHeight w:val="3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часофикации</w:t>
            </w:r>
            <w:proofErr w:type="spellEnd"/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56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контроля и управления доступом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Эксплуатации калитки с магнитным замком с установкой и монтажом на КПП электрического щитка и пульта управления. </w:t>
            </w: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(Дополнительные точки определить проектом)</w:t>
            </w:r>
          </w:p>
        </w:tc>
      </w:tr>
      <w:tr w:rsidR="000A78B1" w:rsidRPr="00D674D5" w:rsidTr="008A0E89">
        <w:trPr>
          <w:trHeight w:val="41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охранной сигнализации 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2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55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сети инженерно-технического обеспечения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мероприятиям по охране окружающей среды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федерального закона от 20.12.2001 №7-ФЗ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мероприятиям по обеспечению пожарной безопасности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федерального закона от 22.07.2008 №123-ФЗ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требованиями федерального закона от 23.11.2009 №261-ФЗ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21.18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мероприятиям по обеспечению доступа инвалидов к объекту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21.19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инженерно-техническому укреплению объекта в целях обеспечения его антитеррористической защищенности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3 класс (низкая значимость</w:t>
            </w:r>
            <w:proofErr w:type="gramStart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D82DD7">
              <w:rPr>
                <w:rFonts w:ascii="Times New Roman" w:eastAsia="Times New Roman" w:hAnsi="Times New Roman" w:cs="Times New Roman"/>
                <w:sz w:val="20"/>
                <w:szCs w:val="20"/>
              </w:rPr>
              <w:t>о СП 132.13330.2011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технической эксплуатации и техническому обслуживанию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ind w:firstLine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проекту организации строительства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«Проект организации строительства выполнить в соответствии с требованиями постановления Правительства РФ от 16.02.2008 №87 «О составе разделов проектной документации и требованиях к их содержанию», а также в обязательном порядке выполнить/указать в составе раздела «Проект организации строительства»: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Комплексный календарный график строительства с указанием сроков и последовательности строительства (по форме п. 4.6 МДС 12-46.2008).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 форме и в формате, согласованным с Заказчиком, график финансирования на основании комплексного календарного графика строительства.</w:t>
            </w:r>
            <w:proofErr w:type="gramEnd"/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Решения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 организации движения транспорта на период строительства с указанием мероприятий по обеспечению безопасного движения в период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строительства.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Перечень основных видов строительных и монтажных работ, ответственных конструкций, подлежащих освидетельствованию перед производством последующих работ.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Перечень видов работ, перед выполнением которых генеральному подрядчику по строительству необходимо выполнить технологические карты.</w:t>
            </w:r>
          </w:p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формировании перечня работ, выполняемых в подготовительный период учесть приказы </w:t>
            </w:r>
            <w:proofErr w:type="spell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Минвостокразвития</w:t>
            </w:r>
            <w:proofErr w:type="spell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России от 03.03.2015 № 25 «Об утверждении перечня видов подготовительных работ, выполнение которых допускается до получения разрешения на строительство объектов, необходимых для размещения объектов инфраструктуры территории опережающего социально-экономического развития» и приказ от 07.11.2020 №1798 «Об утверждении перечня видов подготовительных работ, не причиняющих существенного вреда окружающей среде и ее компонентам, которые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могут выполняться до выдачи разрешения на строительство объекта федерального значения со дня направления проектной документации указанных объектов на экспертизу такой проектной документации, порядке их выполнения, а также экологических требований к их выполнению».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Определить проектом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21.24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разработке проекта восстановления (рекультивации) нарушенных земель или плодородного слоя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местам складирования излишков грунта и (или) мусора при строительстве и протяженность маршрута их доставки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21.27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выполнению научно-исследовательских и опытно-конструкторских работ в процессе проектирования и строительства объекта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33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Требования к документации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8B1" w:rsidRPr="00D674D5" w:rsidTr="008A0E89">
        <w:trPr>
          <w:trHeight w:val="97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Проектную документацию разработать в соответствии с постановлением №87 от 16.02.2008 г. «О составе разделов проектной документации и требованиях к их содержанию»</w:t>
            </w:r>
          </w:p>
        </w:tc>
      </w:tr>
      <w:tr w:rsidR="000A78B1" w:rsidRPr="00D674D5" w:rsidTr="008A0E89">
        <w:trPr>
          <w:trHeight w:val="424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2714CC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2714CC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подготовке сметной документации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 Формирование сметной стоимости по локальным сметам: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1.1 Нормативная база.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составлении сметных расчетов руководствоваться действующими нормативными документами в сфере ценообразования в строительстве, внесенными в федеральный реестр сметных нормативов, актуальными на дату подачи проектно-сметной документации в экспертизу (далее - на момент выпуска ПСД).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1.2. Сметную документацию разработать в текущем уровне цен на момент выпуска ПСД с использованием ресурсно-индексного метода, по федеральной сметно-нормативной базе ФСНБ-2022 (с учетом изменений действующих на момент выпуска ПСД)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использованием государственных сметных норм (ГЭСН, 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ГЭСНр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ГЭСНм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ГЭСНмр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ГЭСНп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), сметных цен строительных ресурсов в базисном уровне цен (ФСБЦ) и одновременным применением информации об индексах изменения сметной стоимости строительства разработанных Министерством строительства и жилищно-коммунального хозяйства Российской Федерации, о сметных ценах, размещенной в ФГИС ЦС, а также индексов изменения сметной стоимости к группам однородных строительных ресурсов и отдельных видов прочих работ и затрат в базисном уровне цен, с учетом требований Приказа № 421 от 04.08.2020.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материалов, отсутствующих на портале ФГИС ЦС, определить на основании конъюнктурного анализа с приложением прайс-листов организаций-производителей или поставщиков материальных ресурсов соответствующего субъекта РФ или ближайшего региона. Конъюнктурный анализ выполнить по форме согласно приложению №1 к Методике (20-графка), в смету включить наиболее экономичный по цене вариант согласно   п. 13 Методики приказа 421/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04.08.2020, согласовать с заказчиком.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Территориальная принадлежность объекта, учитываемая при составлении сметной документации – Калужская область.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Размер накладных расходов и сметной прибыли.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Начисление накладных расходов производить в соответствии с утвержденными приказами Министерства строительства и жилищно-коммунального хозяйства РФ №№ 812 от 21.12.2020, 636/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20.10.2020 и 611/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26.07.2022, в процентах от величины ФОТ.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Начисление сметной прибыли производить в соответствии с утвержденными приказами Министерства строительства и жилищно-коммунального хозяйства РФ №№ 774/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11.12.2020 и № 317/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22.04.2022, в процентах от величины ФОТ.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 Формирование стоимости по главам сводного сметного расчета.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Главы 1-7.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При составлении сметных расчетов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руководствоваться действующими нормативными документами в сфере ценообразования в строительстве, внесенными в федеральный реестр сметных нормативов, актуальными на дату подачи проектно-сметной документации в экспертизу.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Глава 8. Затраты на временные здания и сооружения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1.4.2.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Временные здания и сооружения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п. 33 (4,8%) и п.35.2 (4,1%)  прил.1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строительства, 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утвержденная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приказом Минстроя России от 19.06.2020 №332/пр..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Глава 9. Прочие работы и затраты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1.4.3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Дополнительные затраты при производстве строительно-монтажных работ в зимнее время принять согласно п. 71 (5,8%), п.54 (9,4%), п.55.1 (20,4%),  п.57 (2,5%), п.60.3 (2,1%), п.59 (16,8%), п.64 (10,5%), п.50 (6,1%) прил.1 с учетом п. 32 прил.4  Методики определения дополнительных затрат при производстве работ в зимнее время», утвержденная приказом Минстроя РФ от 25.05.2021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N 325/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действ. редакции)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1.4.4. Затраты на технологическое присоединение к электрическим сетям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1.4.5.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Затраты на организацию и проведение подрядных торгов (тендеров)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по определению стоимости затрат, связанных с проведением подрядных торгов в Российской Федерации. 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МДС 81-11.2000 (утвержденной Межведомственной комиссией по подрядным торгам при Госстрое России (Протокол от 12.02.1999 № 11) - 0,42%</w:t>
            </w:r>
            <w:proofErr w:type="gramEnd"/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1.4.6. Затраты заказчика по вводу объекта в эксплуатацию (технический план, технический паспорт, постановка объекта на кадастровый учет).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1.4.7. Затраты по размещению, утилизации и (или) обезвреживанию отходов строительного производства (строительного мусора, грунта и прочих отходов)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1.4.8. Плату за негативное воздействие на окружающую среду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1.4.9. </w:t>
            </w:r>
            <w:proofErr w:type="spell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Снегоборьба</w:t>
            </w:r>
            <w:proofErr w:type="spell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A78B1" w:rsidRPr="002714CC" w:rsidRDefault="000A78B1" w:rsidP="008A0E89">
            <w:pPr>
              <w:widowControl w:val="0"/>
              <w:tabs>
                <w:tab w:val="left" w:pos="784"/>
              </w:tabs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1.4.10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Затраты на видеонаблюдение при строительстве объекта;</w:t>
            </w:r>
          </w:p>
          <w:p w:rsidR="000A78B1" w:rsidRPr="002714CC" w:rsidRDefault="000A78B1" w:rsidP="008A0E89">
            <w:pPr>
              <w:widowControl w:val="0"/>
              <w:tabs>
                <w:tab w:val="left" w:pos="784"/>
              </w:tabs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1.4.11.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Затраты на страхование объекта строительства, осуществляемое в соответствии 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1.4.12.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Пусконаладочные работы (при необходимости)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Разработать локальные сметные расчеты по видам пусконаладочных работ на основании сборников единичных 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расценок, включенных в федеральный реестр сметных нормативов.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утверждённой приказом Министерства строительства и жилищн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коммунального хозяйства Российской Федерации от 4 августа 2020 г. № 421/п предусмотреть затраты, связанные с предоставлением обязательной банковской гарантии в качестве обеспечения исполнения контракта и гарантийных обязательств.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1.4.13. 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Предусмотреть затраты, связанные с оформлением прав владения и пользования на земельные участки необходимые для строительства, а именно затраты на проведение кадастровых работ, государственная регистрация договоров субаренды и соглашений об установлении сервитута, оплата по заключенным договорам и соглашениям определены в соответствии с законодательством Российской Федерации и возмещаются за счет резерва средств на непредвиденные работы и затраты (на прочие работы и затраты).</w:t>
            </w:r>
            <w:proofErr w:type="gramEnd"/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Глава 10. Содержание службы заказчика. Строительный контроль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1.4.14. Строительный контроль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От итога глав 1-9 ССР в % (Постановление Правительства РФ от 21.06.2010г. №468).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Глава 12.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1.4.13.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Проектные работы (ПД+РД) Рассчитать в рамках проектирования две сметы (стадия ПД + стадия РД).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1.4.14.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Изыскательские работы рассчитать в рамках проектирования.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1.4.15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Затраты на проведение государственной экспертизы рассчитать в соответствии с Постановлением Правительства РФ № 145 от 05.03.2007.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1.4.16. Размер платы за экспертное сопровождение.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1.4.17.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Затраты на авторский надзор определить в размере 0,2% от итога глав 1-9 сводного сметного расчета (Приказ от 4.08.2020 №421/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, п.173).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Затраты, включаемые в сводный сметный расчет за итогом глав 1-12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1.4.18. Резерв средств на непредвиденные работы и затраты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Согласно Приказу Минстроя России от 04.08.2020 №421/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, п. 179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1.4.19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Налог на добавленную стоимость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(22%) 425-ФЗ от 28.11.2025 г.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 составлении сметной документации Подрядчик руководствуется действующими регламентирующими документами в сфере ценообразования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ктуальными на дату выпуска ПСД.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1.5 Раздел «Сметная документация» представить в соответствии с требованиями постановления Правительства Российской Федерации №87 от 16.02.2008 «О составе разделов проектной документации и требованиях к их содержанию».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ведомости объемов работ дать ссылку на чертеж, спецификацию, а также представить формулы подсчетов объемов работ, данные по расходу материалов. Указать основные характеристики материалов и конструкций.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1.5.1.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Локальные сметные расчеты разбить по разделам, определяющим стоимость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отдельно выделенных проектом видов работ.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1.5.2.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Предоставить «Ведомость объемов конструктивных </w:t>
            </w: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решений (элементов) и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комплексов (видов) работ, оборудования» и «расчет Проекта сметы контракта» в соответствии с Приказом Министерства строительства и жилищно-коммунального хозяйства Российской Федерации №841/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23.12.2019г.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Сметную стоимость объекта сформировать в автоматизированном программном комплексе Гранд-Смета.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один из перечисленных в Техническом задании нормативных документов утратил силу, вследствие отмены или замены на иной документ, то Исполнитель обязан руководствоваться действующей редакцией такого нормативно-технического документа, СНиП, СП и т.п.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случае, установленном законодательством Российской Федерации, в главе 9 сводного сметного расчета предусмотреть средства на выплату премий за досрочный ввод в эксплуатацию построенного объекта. (п.58 приказа №557/</w:t>
            </w:r>
            <w:proofErr w:type="spellStart"/>
            <w:proofErr w:type="gramStart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07.07.22г) </w:t>
            </w: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A78B1" w:rsidRPr="002714CC" w:rsidRDefault="000A78B1" w:rsidP="008A0E89">
            <w:pPr>
              <w:widowControl w:val="0"/>
              <w:autoSpaceDE w:val="0"/>
              <w:autoSpaceDN w:val="0"/>
              <w:adjustRightInd w:val="0"/>
              <w:ind w:firstLine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Материальные ресурсы в сметной документации должны быть приняты из базы ОСНБЖ-2001. Только при отсутствии материалов в базе, можно применять коммерческие предложения. Стоимость оборудования принимается по коммерческим предложениям. При наличии в сметной документации материалов и оборудования, принятых по коммерческим предложениям, их стоимость следует утвердить через ценовую комиссию Заказчика (</w:t>
            </w:r>
            <w:r w:rsidRPr="002714CC">
              <w:rPr>
                <w:rFonts w:ascii="Times New Roman" w:hAnsi="Times New Roman" w:cs="Times New Roman"/>
                <w:sz w:val="20"/>
                <w:szCs w:val="20"/>
              </w:rPr>
              <w:t>ФКУ «Объект № 5066»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разработке специальных технических условий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о применении при разработке проектной документации документов в области стандартизации, не включенных в перечень обязательных в соответствии с постановлением правительства РФ от 28 мая 2021 года N 815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В проектной документации в Разделе 1 «Пояснительная записка» привести перечень документов,   в результате применения которых на добровольной основе обеспечивается соблюдение требований Федерального закона от 30 декабря 2009 г. N 384-ФЗ «Технический регламент о безопасности зданий и сооружений».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выполнению демонстрационных материалов, макетов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о применении технологий информационного моделирования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Требование о применении экономически эффективной проектной документации повторного использования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дополнительные требования и указания, конкретизирующие объем проектных работ: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 необходимо получить градостроительный план земельного участка в местной администрации до начала работ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Авторский надзор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8B1" w:rsidRPr="00D674D5" w:rsidRDefault="000A78B1" w:rsidP="008A0E89">
            <w:pPr>
              <w:widowControl w:val="0"/>
              <w:autoSpaceDE w:val="0"/>
              <w:autoSpaceDN w:val="0"/>
              <w:adjustRightInd w:val="0"/>
              <w:ind w:firstLine="2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По отдельному договору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Исходные данные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spacing w:line="267" w:lineRule="auto"/>
              <w:ind w:firstLine="21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Действующее предприятие. На время проведения строительно-монтажных работ, прекращение работы предприятия не предусмотрено.</w:t>
            </w:r>
            <w:r w:rsidRPr="00271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к рабочей документации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0" w:firstLine="36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Рабочую документацию разработать на основании проектной документации, получившей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на строительство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в объеме, достаточном для реализации в процессе строительства, технических и технологических решений, позволяющих ввести объект в эксплуатацию.</w:t>
            </w:r>
          </w:p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Разработать ведомости объемов основных строительных, монтажных и специальных работ по разделам рабочей </w:t>
            </w: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документации.</w:t>
            </w:r>
          </w:p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Рабочую документацию оформить в соответствии с национальным стандартом РФ ГОСТ </w:t>
            </w:r>
            <w:proofErr w:type="gramStart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proofErr w:type="gramEnd"/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21.101-2020 «Система проектной документации для строительства. Основные требования к проектной и рабочей документации», а также в соответствии с другими необходимыми действующими федеральными нормативными документами.</w:t>
            </w:r>
          </w:p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Разработать сметную документацию по выполненной рабочей документации (стадия «Рабочая документация»).</w:t>
            </w:r>
          </w:p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Сметную документацию на основании рабочей документации разработать в соответствии с требованиями нормативов и технических регламентов в области ценообразования и сметного нормирования.</w:t>
            </w:r>
          </w:p>
          <w:p w:rsidR="000A78B1" w:rsidRPr="00D674D5" w:rsidRDefault="000A78B1" w:rsidP="000A78B1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Определить сметную стоимость строительства объекта в соответствии с Федеральным реестром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актуальных на дату составления сметной документации. </w:t>
            </w:r>
          </w:p>
          <w:p w:rsidR="000A78B1" w:rsidRPr="00D674D5" w:rsidRDefault="000A78B1" w:rsidP="008A0E89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Подрядчик несет ответственность за правильность разработанной рабочей документации (всех разделов) независимо от подтверждения (согласования) ее Заказчиком.</w:t>
            </w:r>
          </w:p>
        </w:tc>
      </w:tr>
      <w:tr w:rsidR="000A78B1" w:rsidRPr="00D674D5" w:rsidTr="008A0E89">
        <w:trPr>
          <w:trHeight w:val="41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714C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работ, предоставляемые Заказчику Подрядчиком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Разработка проектной документации и получение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разрешение на строительство в органах местного самоуправления</w:t>
            </w:r>
            <w:r w:rsidRPr="00D674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Документация, включающая, но не ограничивающаяся: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Согласованные Заказчиком основные технические решения (ОТР), выполненные в соответствии с данным техническим заданием, передаются Заказчику в электронном виде (в редактируемом формате и в не редактируемом формате) на DVD/CD диске в 1 экземпляре и на бумажном носителе в 2¬х экземплярах.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Согласованная в установленном порядке проектная документация, выполненная в соответствии с данным техническим заданием, передается Заказчику в электронном виде (в редактируемом формате и в не редактируемом формате) на DVD/CD диске в 1 экземпляре и на бумажном носителе в 4 экземплярах.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Документация, необходимая для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на строительство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, в том числе: расчет ущерба водным биологическим ресурсам по намечаемой деятельности (необходимость разработки определить на стадии подготовки ОТР), расчеты, обосновывающие принятые проектной документацией технические решения, передается Заказчику в электронном виде (в редактируемом формате и в не редактируемом формате) на DVD/CD дисках в 1 экземпляре и на бумажном носителе в 4 экземплярах.</w:t>
            </w:r>
            <w:proofErr w:type="gramEnd"/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Разработка рабочей документации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Документация, включающая, но не ограничивающаяся: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Согласованная в установленном порядке рабочая документация, выполненная в соответствии с данным техническим заданием, передается Заказчику в электронном виде (в редактируемом формате и в не редактируемом формате) на DVD/CD диске в 1 экземпляре и на бумажном носителе в 4 экземплярах.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Общие требования: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В дополнение к указанным выше требованиям в электронном виде: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графические материалы предоставляются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ab/>
              <w:t>в редактируемом формате в векторном виде в формате DWG: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растровом виде в одном из форматов: JPEG, JPG, TIFF с разрешением не менее 300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формате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текстовые материалы предоставляются в формате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(.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docx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) версии 2003 года или совместимом. Используемый шрифт для набора –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TimesNewRoman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, размер шрифта - 14, междустрочный интервал - 1,5, абзацный отступ - 1,25.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табличные материалы предоставляются в формате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версии 2003 года или совместимом. Шрифт для набора -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TimesNewRoman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, размер шрифта -12, междустрочный интервал -1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сметная документация предоставляется в формате .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gsf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(гранд-смета) тексты и таблицы - в формате, применяемом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и в формате *.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, *.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jpeg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Материалы для установления охранных зон проектируемого объекта (в случае необходимости установления таких зон для проектируемого объекта), включающие сведения о границах зон с особыми условиями использования территории, которые должны содержать графическое описание местоположения границ данных зон, перечень координат характерных точек этих границ в системе координат, установленной для ведения Единого государственного реестра недвижимости (согласно п. 10 ст. 106 Земельного кодекса РФ), а</w:t>
            </w:r>
            <w:proofErr w:type="gram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именно: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ab/>
              <w:t>графическое описание местоположения границ зон с особыми условиями использования территории, подготовленное по форме, утвержденной приказом Минэкономразвития России от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ab/>
              <w:t>23.11.2018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№ 650, передается Заказчику в электронном виде в формате PDF на отдельном электронном носителе DVD/CD диске в 1 экз., а также на бумажном носителе в 3 экз.;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файл в формате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, содержащий сведения о границах зон с особыми условиями использования территории, по форме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-схемы, установленной приказом </w:t>
            </w:r>
            <w:proofErr w:type="spell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 xml:space="preserve"> от 15.09.2016 № </w:t>
            </w:r>
            <w:proofErr w:type="gramStart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/465, передается Заказчику на электронном носителе DVD/CD диске в 1 экз.</w:t>
            </w:r>
          </w:p>
          <w:p w:rsidR="000A78B1" w:rsidRPr="00D674D5" w:rsidRDefault="000A78B1" w:rsidP="008A0E89">
            <w:pPr>
              <w:tabs>
                <w:tab w:val="left" w:pos="-108"/>
              </w:tabs>
              <w:ind w:firstLine="45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Документация, передаваемая в не редактируемом формате, должна соответствовать требованиям Приказа Минстроя России от 12.05.2017№ 783пр.</w:t>
            </w:r>
          </w:p>
          <w:p w:rsidR="000A78B1" w:rsidRPr="00D674D5" w:rsidRDefault="000A78B1" w:rsidP="008A0E89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D674D5">
              <w:rPr>
                <w:rFonts w:ascii="Times New Roman" w:hAnsi="Times New Roman" w:cs="Times New Roman"/>
                <w:sz w:val="20"/>
                <w:szCs w:val="20"/>
              </w:rPr>
              <w:t>Комплектность передаваемой Заказчику документации определяется на основании данного технического задания в соответствии с действующими законодательными актами, нормами и правилами.</w:t>
            </w:r>
          </w:p>
        </w:tc>
      </w:tr>
    </w:tbl>
    <w:p w:rsidR="000A78B1" w:rsidRPr="00740616" w:rsidRDefault="000A78B1" w:rsidP="000A78B1">
      <w:pPr>
        <w:spacing w:after="0"/>
        <w:ind w:left="22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pPr w:leftFromText="180" w:rightFromText="180" w:vertAnchor="text" w:horzAnchor="margin" w:tblpX="-293" w:tblpY="7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0A78B1" w:rsidRPr="00740616" w:rsidTr="008A0E89">
        <w:trPr>
          <w:trHeight w:val="284"/>
        </w:trPr>
        <w:tc>
          <w:tcPr>
            <w:tcW w:w="5098" w:type="dxa"/>
          </w:tcPr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616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ФКУ «ОБЪЕКТ № 5066»</w:t>
            </w:r>
          </w:p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616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</w:t>
            </w:r>
          </w:p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406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МП   подпись</w:t>
            </w:r>
          </w:p>
        </w:tc>
        <w:tc>
          <w:tcPr>
            <w:tcW w:w="4820" w:type="dxa"/>
          </w:tcPr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616">
              <w:rPr>
                <w:rFonts w:ascii="Times New Roman" w:hAnsi="Times New Roman" w:cs="Times New Roman"/>
                <w:sz w:val="20"/>
                <w:szCs w:val="20"/>
              </w:rPr>
              <w:t>Подрядчик (исполнитель)</w:t>
            </w:r>
          </w:p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616">
              <w:rPr>
                <w:rFonts w:ascii="Times New Roman" w:hAnsi="Times New Roman" w:cs="Times New Roman"/>
                <w:sz w:val="20"/>
                <w:szCs w:val="20"/>
              </w:rPr>
              <w:t>______________________ ________</w:t>
            </w:r>
          </w:p>
          <w:p w:rsidR="000A78B1" w:rsidRPr="00740616" w:rsidRDefault="000A78B1" w:rsidP="008A0E8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406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МП          подпись </w:t>
            </w:r>
          </w:p>
        </w:tc>
      </w:tr>
    </w:tbl>
    <w:p w:rsidR="000A78B1" w:rsidRPr="0008651B" w:rsidRDefault="000A78B1" w:rsidP="000A78B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C30551" w:rsidRPr="00C30551" w:rsidRDefault="00C30551" w:rsidP="00C305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551" w:rsidRPr="00C30551" w:rsidRDefault="00C30551" w:rsidP="00C305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208" w:rsidRDefault="007F6208"/>
    <w:sectPr w:rsidR="007F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770D"/>
    <w:multiLevelType w:val="multilevel"/>
    <w:tmpl w:val="5BDA0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F5C2B1A"/>
    <w:multiLevelType w:val="multilevel"/>
    <w:tmpl w:val="5BDA0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13D2E26"/>
    <w:multiLevelType w:val="hybridMultilevel"/>
    <w:tmpl w:val="F006C6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41337F"/>
    <w:multiLevelType w:val="multilevel"/>
    <w:tmpl w:val="5BDA0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26"/>
    <w:rsid w:val="00017DCD"/>
    <w:rsid w:val="00023845"/>
    <w:rsid w:val="00025E9F"/>
    <w:rsid w:val="000305F1"/>
    <w:rsid w:val="000776B2"/>
    <w:rsid w:val="00081D9F"/>
    <w:rsid w:val="00082D56"/>
    <w:rsid w:val="00091348"/>
    <w:rsid w:val="000A4A27"/>
    <w:rsid w:val="000A78B1"/>
    <w:rsid w:val="000B205D"/>
    <w:rsid w:val="000B21C9"/>
    <w:rsid w:val="000B2AA3"/>
    <w:rsid w:val="000B48D4"/>
    <w:rsid w:val="000B745D"/>
    <w:rsid w:val="000C6C7D"/>
    <w:rsid w:val="000D1944"/>
    <w:rsid w:val="000E6A79"/>
    <w:rsid w:val="0011648B"/>
    <w:rsid w:val="00146E3F"/>
    <w:rsid w:val="001912F0"/>
    <w:rsid w:val="001C2948"/>
    <w:rsid w:val="001E7F3C"/>
    <w:rsid w:val="001F0E79"/>
    <w:rsid w:val="00206CE4"/>
    <w:rsid w:val="00212001"/>
    <w:rsid w:val="00221E27"/>
    <w:rsid w:val="00247C12"/>
    <w:rsid w:val="00254390"/>
    <w:rsid w:val="00272993"/>
    <w:rsid w:val="002739C5"/>
    <w:rsid w:val="002C00CC"/>
    <w:rsid w:val="002C4C16"/>
    <w:rsid w:val="00345C57"/>
    <w:rsid w:val="00363CB6"/>
    <w:rsid w:val="00365D44"/>
    <w:rsid w:val="0037046A"/>
    <w:rsid w:val="00376F18"/>
    <w:rsid w:val="003813B6"/>
    <w:rsid w:val="00386D07"/>
    <w:rsid w:val="00393352"/>
    <w:rsid w:val="00394A28"/>
    <w:rsid w:val="003C5AEE"/>
    <w:rsid w:val="00404CF4"/>
    <w:rsid w:val="004050D2"/>
    <w:rsid w:val="00440EDF"/>
    <w:rsid w:val="00462ADD"/>
    <w:rsid w:val="004A1CBD"/>
    <w:rsid w:val="004B1A7F"/>
    <w:rsid w:val="004C7060"/>
    <w:rsid w:val="004D007A"/>
    <w:rsid w:val="004D20E3"/>
    <w:rsid w:val="004D4875"/>
    <w:rsid w:val="004F0178"/>
    <w:rsid w:val="004F294C"/>
    <w:rsid w:val="004F45A8"/>
    <w:rsid w:val="00505020"/>
    <w:rsid w:val="00580AAE"/>
    <w:rsid w:val="00596394"/>
    <w:rsid w:val="005B1DC2"/>
    <w:rsid w:val="005D1F93"/>
    <w:rsid w:val="005E0109"/>
    <w:rsid w:val="00662FC0"/>
    <w:rsid w:val="00664AF7"/>
    <w:rsid w:val="0069702A"/>
    <w:rsid w:val="006A4FE3"/>
    <w:rsid w:val="006A635C"/>
    <w:rsid w:val="006B63A2"/>
    <w:rsid w:val="006C7254"/>
    <w:rsid w:val="00733405"/>
    <w:rsid w:val="00754CF0"/>
    <w:rsid w:val="007711A2"/>
    <w:rsid w:val="007740F1"/>
    <w:rsid w:val="007816B0"/>
    <w:rsid w:val="00783BAA"/>
    <w:rsid w:val="00784098"/>
    <w:rsid w:val="007A13D7"/>
    <w:rsid w:val="007C4078"/>
    <w:rsid w:val="007C4F70"/>
    <w:rsid w:val="007F6208"/>
    <w:rsid w:val="0081313D"/>
    <w:rsid w:val="00821D26"/>
    <w:rsid w:val="00827FD5"/>
    <w:rsid w:val="00854C9B"/>
    <w:rsid w:val="00856E3F"/>
    <w:rsid w:val="00865725"/>
    <w:rsid w:val="00865D14"/>
    <w:rsid w:val="008A45BE"/>
    <w:rsid w:val="008B3475"/>
    <w:rsid w:val="008E5865"/>
    <w:rsid w:val="009046AE"/>
    <w:rsid w:val="0091722D"/>
    <w:rsid w:val="00921724"/>
    <w:rsid w:val="00934604"/>
    <w:rsid w:val="00987995"/>
    <w:rsid w:val="009B0263"/>
    <w:rsid w:val="009B4E0A"/>
    <w:rsid w:val="00A11DAB"/>
    <w:rsid w:val="00A12C11"/>
    <w:rsid w:val="00A3472E"/>
    <w:rsid w:val="00A40A42"/>
    <w:rsid w:val="00A7079C"/>
    <w:rsid w:val="00A81575"/>
    <w:rsid w:val="00A95B3D"/>
    <w:rsid w:val="00A96780"/>
    <w:rsid w:val="00AA042F"/>
    <w:rsid w:val="00AB3E74"/>
    <w:rsid w:val="00AE1F0E"/>
    <w:rsid w:val="00AE251E"/>
    <w:rsid w:val="00AF44F5"/>
    <w:rsid w:val="00B01E3F"/>
    <w:rsid w:val="00B0745A"/>
    <w:rsid w:val="00B14120"/>
    <w:rsid w:val="00B16DAF"/>
    <w:rsid w:val="00B638D2"/>
    <w:rsid w:val="00B81274"/>
    <w:rsid w:val="00B82BFC"/>
    <w:rsid w:val="00B868E2"/>
    <w:rsid w:val="00B86EBD"/>
    <w:rsid w:val="00BA178F"/>
    <w:rsid w:val="00BA631B"/>
    <w:rsid w:val="00BB13DC"/>
    <w:rsid w:val="00BC1E57"/>
    <w:rsid w:val="00BD3BE0"/>
    <w:rsid w:val="00C16844"/>
    <w:rsid w:val="00C22F97"/>
    <w:rsid w:val="00C2507C"/>
    <w:rsid w:val="00C30551"/>
    <w:rsid w:val="00C41A19"/>
    <w:rsid w:val="00C44819"/>
    <w:rsid w:val="00C501C5"/>
    <w:rsid w:val="00C67044"/>
    <w:rsid w:val="00C74B81"/>
    <w:rsid w:val="00CD564E"/>
    <w:rsid w:val="00D42D31"/>
    <w:rsid w:val="00D51BED"/>
    <w:rsid w:val="00D528FC"/>
    <w:rsid w:val="00D579BA"/>
    <w:rsid w:val="00D6422B"/>
    <w:rsid w:val="00D74B53"/>
    <w:rsid w:val="00DA6A2F"/>
    <w:rsid w:val="00DB55CC"/>
    <w:rsid w:val="00E12483"/>
    <w:rsid w:val="00E131CD"/>
    <w:rsid w:val="00E2728D"/>
    <w:rsid w:val="00E417B8"/>
    <w:rsid w:val="00E42964"/>
    <w:rsid w:val="00E47696"/>
    <w:rsid w:val="00E557CC"/>
    <w:rsid w:val="00E71972"/>
    <w:rsid w:val="00E95FB4"/>
    <w:rsid w:val="00EC0E11"/>
    <w:rsid w:val="00F004ED"/>
    <w:rsid w:val="00F11F29"/>
    <w:rsid w:val="00F15E57"/>
    <w:rsid w:val="00F20CE1"/>
    <w:rsid w:val="00F34843"/>
    <w:rsid w:val="00F46A98"/>
    <w:rsid w:val="00F80AAD"/>
    <w:rsid w:val="00FA5EE4"/>
    <w:rsid w:val="00FB223B"/>
    <w:rsid w:val="00FD081F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8B1"/>
    <w:rPr>
      <w:b/>
      <w:bCs/>
    </w:rPr>
  </w:style>
  <w:style w:type="table" w:styleId="a4">
    <w:name w:val="Table Grid"/>
    <w:basedOn w:val="a1"/>
    <w:uiPriority w:val="59"/>
    <w:rsid w:val="000A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78B1"/>
    <w:pPr>
      <w:spacing w:after="0" w:line="240" w:lineRule="auto"/>
    </w:pPr>
  </w:style>
  <w:style w:type="table" w:customStyle="1" w:styleId="TableGrid">
    <w:name w:val="TableGrid"/>
    <w:rsid w:val="000A78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Ненумерованный список"/>
    <w:basedOn w:val="a"/>
    <w:link w:val="a7"/>
    <w:uiPriority w:val="34"/>
    <w:qFormat/>
    <w:rsid w:val="000A78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styleId="a8">
    <w:name w:val="Subtle Emphasis"/>
    <w:basedOn w:val="a0"/>
    <w:uiPriority w:val="19"/>
    <w:qFormat/>
    <w:rsid w:val="000A78B1"/>
    <w:rPr>
      <w:i/>
      <w:iCs/>
      <w:color w:val="404040" w:themeColor="text1" w:themeTint="BF"/>
    </w:rPr>
  </w:style>
  <w:style w:type="character" w:customStyle="1" w:styleId="a7">
    <w:name w:val="Абзац списка Знак"/>
    <w:aliases w:val="Ненумерованный список Знак"/>
    <w:link w:val="a6"/>
    <w:uiPriority w:val="34"/>
    <w:locked/>
    <w:rsid w:val="000A78B1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8B1"/>
    <w:rPr>
      <w:b/>
      <w:bCs/>
    </w:rPr>
  </w:style>
  <w:style w:type="table" w:styleId="a4">
    <w:name w:val="Table Grid"/>
    <w:basedOn w:val="a1"/>
    <w:uiPriority w:val="59"/>
    <w:rsid w:val="000A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A78B1"/>
    <w:pPr>
      <w:spacing w:after="0" w:line="240" w:lineRule="auto"/>
    </w:pPr>
  </w:style>
  <w:style w:type="table" w:customStyle="1" w:styleId="TableGrid">
    <w:name w:val="TableGrid"/>
    <w:rsid w:val="000A78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Ненумерованный список"/>
    <w:basedOn w:val="a"/>
    <w:link w:val="a7"/>
    <w:uiPriority w:val="34"/>
    <w:qFormat/>
    <w:rsid w:val="000A78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styleId="a8">
    <w:name w:val="Subtle Emphasis"/>
    <w:basedOn w:val="a0"/>
    <w:uiPriority w:val="19"/>
    <w:qFormat/>
    <w:rsid w:val="000A78B1"/>
    <w:rPr>
      <w:i/>
      <w:iCs/>
      <w:color w:val="404040" w:themeColor="text1" w:themeTint="BF"/>
    </w:rPr>
  </w:style>
  <w:style w:type="character" w:customStyle="1" w:styleId="a7">
    <w:name w:val="Абзац списка Знак"/>
    <w:aliases w:val="Ненумерованный список Знак"/>
    <w:link w:val="a6"/>
    <w:uiPriority w:val="34"/>
    <w:locked/>
    <w:rsid w:val="000A78B1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5179</Words>
  <Characters>29525</Characters>
  <Application>Microsoft Office Word</Application>
  <DocSecurity>0</DocSecurity>
  <Lines>246</Lines>
  <Paragraphs>69</Paragraphs>
  <ScaleCrop>false</ScaleCrop>
  <Company/>
  <LinksUpToDate>false</LinksUpToDate>
  <CharactersWithSpaces>34635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2026-06-02T13:30:00Z</dcterms:created>
  <dcterms:modified xsi:type="dcterms:W3CDTF">2026-06-03T06:24:00Z</dcterms:modified>
</cp:coreProperties>
</file>