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Государственный контракт №___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65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 информационно-консультационное обслуживание,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5096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«__»__________ 20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 г.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__________именуемое в дальнейшем «Государственный заказчик», в лице ____________________, действующего на основании Устава, с одной стороны, и Общество с ограниченной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ответственностью «Бухучет сервис» (далее — ООО «Бухучет сервис»), именуемое в дальнейшем «Исполнитель», в лице генерального директора Корлыханова Александра Геннадьевича, действующего на основании Устава, с другой стороны, в дальнейшем при совместном упом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инании именуемые «Стороны», а по отдельности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- Сторона, на основании п.4 ч.1 ст. 93 Федерального закона от 05.04.2013  № 44-ФЗ «О контрактной системе в сфере закупок товаров, услуг для обеспечения государственных и муниципальных нужд» заключили настоящий Контракт (далее – Контракт)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tabs>
          <w:tab w:val="left" w:leader="none" w:pos="720"/>
        </w:tabs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1. Предмет контракта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65"/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1.1. По настоящему Контракту Исполнитель обязуется оказать услуги 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информационно-консультационное обслуживание,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5096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– ПП) в соответствии с Техническим заданием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white"/>
        </w:rPr>
        <w:t xml:space="preserve">(Приложение № 1 к настоящему Контракту)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объеме, указанном в Техническом задании, а Государственный заказчик обязуется принять и оплатить оказанные Исполнителем услуги.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2. Сроки и порядок оказания услуг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.1.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 обязуется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оказать услуги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настоящему контракту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дистанционно.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65"/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2.2.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«Исполнитель» оказывает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5096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 момента подписания  Контракта  до «___» ___________20__г. ежемесячно, не позднее 28 числа каждого месяца. В случае просрочки, либо не оказания услуги, пропуск одного из обновлений, Заказчик в праве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требовать неустойку, указанную в данном ГК.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tabs>
          <w:tab w:val="left" w:leader="none" w:pos="1134"/>
        </w:tabs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3. Цена контракта и порядок расчетов.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highlight w:val="white"/>
        </w:rPr>
        <w:t xml:space="preserve">Сумма Контракта составляет_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highlight w:val="white"/>
        </w:rPr>
        <w:t xml:space="preserve">_____ (_________)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highlight w:val="white"/>
        </w:rPr>
        <w:t xml:space="preserve">рублей </w:t>
      </w:r>
      <w:r>
        <w:rPr>
          <w:rFonts w:ascii="Times New Roman" w:hAnsi="Times New Roman" w:eastAsia="Times New Roman" w:cs="Times New Roman"/>
          <w:b/>
          <w:color w:val="000000"/>
          <w:spacing w:val="-5"/>
          <w:sz w:val="24"/>
          <w:szCs w:val="24"/>
          <w:highlight w:val="white"/>
        </w:rPr>
        <w:t xml:space="preserve">_____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highlight w:val="white"/>
        </w:rPr>
        <w:t xml:space="preserve">копеек, </w:t>
      </w:r>
      <w:r>
        <w:rPr>
          <w:sz w:val="24"/>
          <w:szCs w:val="24"/>
          <w:highlight w:val="white"/>
          <w:lang w:val="ru-RU"/>
        </w:rPr>
        <w:t xml:space="preserve">из них 84 400 (</w:t>
      </w:r>
      <w:r>
        <w:rPr>
          <w:sz w:val="24"/>
          <w:szCs w:val="24"/>
          <w:highlight w:val="white"/>
          <w:lang w:val="ru-RU"/>
        </w:rPr>
        <w:t xml:space="preserve">восемьдесят четыре тысячи четыреста)</w:t>
      </w:r>
      <w:r>
        <w:rPr>
          <w:sz w:val="24"/>
          <w:szCs w:val="24"/>
          <w:highlight w:val="white"/>
          <w:lang w:val="ru-RU"/>
        </w:rPr>
        <w:t xml:space="preserve"> рублей 00 копеек НД</w:t>
      </w:r>
      <w:r>
        <w:rPr>
          <w:sz w:val="24"/>
          <w:szCs w:val="24"/>
          <w:highlight w:val="white"/>
          <w:lang w:val="ru-RU"/>
        </w:rPr>
        <w:t xml:space="preserve">С не облагаются (</w:t>
      </w:r>
      <w:r>
        <w:rPr>
          <w:sz w:val="24"/>
          <w:szCs w:val="24"/>
          <w:highlight w:val="white"/>
          <w:lang w:val="ru-RU"/>
        </w:rPr>
        <w:t xml:space="preserve">пп</w:t>
      </w:r>
      <w:r>
        <w:rPr>
          <w:sz w:val="24"/>
          <w:szCs w:val="24"/>
          <w:highlight w:val="white"/>
          <w:lang w:val="ru-RU"/>
        </w:rPr>
        <w:t xml:space="preserve">. 26 п. 2 ст. 149 НК РФ) и ___ (___________) рублей 00 коп</w:t>
      </w:r>
      <w:r>
        <w:rPr>
          <w:sz w:val="24"/>
          <w:szCs w:val="24"/>
          <w:highlight w:val="white"/>
          <w:lang w:val="ru-RU"/>
        </w:rPr>
        <w:t xml:space="preserve">еек </w:t>
      </w:r>
      <w:r>
        <w:rPr>
          <w:sz w:val="24"/>
          <w:szCs w:val="24"/>
          <w:highlight w:val="white"/>
          <w:lang w:val="ru-RU"/>
        </w:rPr>
        <w:t xml:space="preserve">в</w:t>
      </w:r>
      <w:r>
        <w:rPr>
          <w:sz w:val="24"/>
          <w:szCs w:val="24"/>
          <w:highlight w:val="white"/>
          <w:lang w:val="ru-RU"/>
        </w:rPr>
        <w:t xml:space="preserve"> том числе НДС 5%  (п. 8 ст. 164 НК РФ).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highlight w:val="white"/>
        </w:rPr>
        <w:t xml:space="preserve">3.2.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Цена Контракта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3.3. Цена Контракта включает в себя все расходы Исполнителя по предмету Контракта, в т.ч.: расходы на сопровождение ПП,  удаленную консультацию, обновление,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расходы на транспортировку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 страхование, уплату таможенных пошлин,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 также уп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лату налогов, сборов и других обязательных платежей, предусмотренных действующим законодательством.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3.4.Источник финансирования настоящего Контракта:_____________________________________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pacing w:val="5"/>
          <w:sz w:val="24"/>
          <w:szCs w:val="24"/>
          <w:highlight w:val="white"/>
        </w:rPr>
        <w:t xml:space="preserve">3.5.Оплата оказанных услуг производится Государственным заказчиком 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highlight w:val="white"/>
        </w:rPr>
        <w:t xml:space="preserve">путем безналичного перечисления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highlight w:val="white"/>
        </w:rPr>
        <w:t xml:space="preserve">денежных средств </w:t>
      </w:r>
      <w:r>
        <w:rPr>
          <w:rFonts w:ascii="Times New Roman" w:hAnsi="Times New Roman" w:eastAsia="Times New Roman" w:cs="Times New Roman"/>
          <w:spacing w:val="4"/>
          <w:sz w:val="24"/>
          <w:szCs w:val="24"/>
          <w:highlight w:val="white"/>
        </w:rPr>
        <w:t xml:space="preserve">на расчетный счет 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highlight w:val="white"/>
        </w:rPr>
        <w:t xml:space="preserve">Исполнителя в течение 10 (десяти) банковских дней с момента подписания первичных документов (УПД либо, при необходимости, Акт об оказании услуг (далее - Акт) 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  <w:highlight w:val="white"/>
        </w:rPr>
        <w:t xml:space="preserve">3.6. Если Государственный заказчик в течение 30 дней не вернул подписанный УПД (Акт) и не предъявил в письменном виде претензии, услуга считается оказанной, дальнейшие претензии не принимаются.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pacing w:val="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pacing w:val="1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 Об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язанности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4.1. Исполнитель обязуется: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4.1.1. Оказать услуги в объеме согласно Техническому заданию,  в предусмотренный настоящим Контрактом срок;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4.1.2. Согласовать с Государственным заказчиком время оказания услуг;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4.1.3. Предоставить Универсальный передаточный документ (УПД) и сч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ет на оплату (при необходимости, Акт и счет-фактуру) в адрес Государственного заказчика;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4.1.4. Выполнять требования Контракта о порядке, сроках, количеству, ассортименту, качеству и цене.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  <w:t xml:space="preserve">4.2. Государственный заказчик обяз</w:t>
      </w:r>
      <w:r>
        <w:rPr>
          <w:rFonts w:ascii="Times New Roman" w:hAnsi="Times New Roman" w:eastAsia="Times New Roman" w:cs="Times New Roman"/>
          <w:iCs/>
          <w:sz w:val="24"/>
          <w:szCs w:val="24"/>
          <w:highlight w:val="white"/>
        </w:rPr>
        <w:t xml:space="preserve">уется: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4.2.1. Принять оказанные Исполнителем услуги путем подписания УПД (Акта);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4.2.2.  Обеспечить готовность своих технических средств для возможности принятия обновления;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4.2.3.  Обеспечить со своей стороны канал Интернета;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4.2.4. Оплатить услуги в порядке и сроки, предусмотренные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настоящим Контрактом;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4.2.5.  Не копировать, не модифицировать, не переводить, не декомпилировать, не дизассемблировать, не переконструировать или каким-либо другим способом предпринимать попытки переводить объектный код ПП в ф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орму, понятную человеку, или производить какие-либо производные действия, а также не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1"/>
        <w:pBdr/>
        <w:spacing w:line="200" w:lineRule="atLeast"/>
        <w:ind w:right="74" w:left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pBdr/>
        <w:shd w:val="clear" w:color="auto" w:fill="auto"/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pBdr/>
        <w:shd w:val="clear" w:color="auto" w:fill="auto"/>
        <w:tabs>
          <w:tab w:val="left" w:leader="none" w:pos="709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5.2.</w:t>
        <w:tab/>
        <w:t xml:space="preserve">Размер штрафа уст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анавливается контрактом в порядке, установленном Правилами определения размера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обязательств, пред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усмотренных контрактом (за исключением просрочки исполнения обязательств заказчиком, поставщи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 августа 2017 г. № 1042: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pBdr/>
        <w:shd w:val="clear" w:color="auto" w:fill="auto"/>
        <w:tabs>
          <w:tab w:val="left" w:leader="none" w:pos="709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 размера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исполнения обязательств, предусмотренных контрактом;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pBdr/>
        <w:shd w:val="clear" w:color="auto" w:fill="auto"/>
        <w:tabs>
          <w:tab w:val="left" w:leader="none" w:pos="254"/>
          <w:tab w:val="left" w:leader="none" w:pos="709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 размера штрафа в виде фиксированной суммы, 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pBdr/>
        <w:shd w:val="clear" w:color="auto" w:fill="auto"/>
        <w:tabs>
          <w:tab w:val="left" w:leader="none" w:pos="278"/>
          <w:tab w:val="left" w:leader="none" w:pos="709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со дня следующего после дня истечения установленного контрактом срока исполнения указанного обязательства (далее соответственно - штраф, пеня).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numPr>
          <w:ilvl w:val="0"/>
          <w:numId w:val="3"/>
        </w:numPr>
        <w:pBdr/>
        <w:shd w:val="clear" w:color="auto" w:fill="auto"/>
        <w:tabs>
          <w:tab w:val="left" w:leader="none" w:pos="709"/>
          <w:tab w:val="left" w:leader="none" w:pos="1268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Размер штрафа устанавливается контрактом в порядке, установленном Постановлением Правительства РФ от 30 августа 2017 г. № 1042 настоящих Правил, в виде фиксированной суммы, в том числе рассчитываемой как процент цены контр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акта, или в случае, если контрактом предусмотрены этапы исполнения контракта, как процент этапа исполнения контракта (далее - цена контракта (эта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па)).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numPr>
          <w:ilvl w:val="0"/>
          <w:numId w:val="3"/>
        </w:numPr>
        <w:pBdr/>
        <w:shd w:val="clear" w:color="auto" w:fill="auto"/>
        <w:tabs>
          <w:tab w:val="left" w:leader="none" w:pos="709"/>
          <w:tab w:val="left" w:leader="none" w:pos="1412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 10 процентов цены контракта (этапа) </w:t>
      </w:r>
      <w:r>
        <w:rPr>
          <w:rStyle w:val="746"/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________ рублей __ коп.</w:t>
      </w:r>
      <w:r>
        <w:rPr>
          <w:rStyle w:val="746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случае, если цена контракта (этапа) не превышает 3 млн. рублей;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numPr>
          <w:ilvl w:val="0"/>
          <w:numId w:val="3"/>
        </w:numPr>
        <w:pBdr/>
        <w:shd w:val="clear" w:color="auto" w:fill="auto"/>
        <w:tabs>
          <w:tab w:val="left" w:leader="none" w:pos="709"/>
          <w:tab w:val="left" w:leader="none" w:pos="1445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 каждый факт неисполнения ил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 ненадлежащего исполнения поста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pBdr/>
        <w:shd w:val="clear" w:color="auto" w:fill="auto"/>
        <w:tabs>
          <w:tab w:val="left" w:leader="none" w:pos="709"/>
          <w:tab w:val="left" w:leader="none" w:pos="1445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1000 рублей, если цена контракта не превышает 3 млн. рублей;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numPr>
          <w:ilvl w:val="0"/>
          <w:numId w:val="3"/>
        </w:numPr>
        <w:pBdr/>
        <w:shd w:val="clear" w:color="auto" w:fill="auto"/>
        <w:tabs>
          <w:tab w:val="left" w:leader="none" w:pos="709"/>
          <w:tab w:val="left" w:leader="none" w:pos="1272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pBdr/>
        <w:shd w:val="clear" w:color="auto" w:fill="auto"/>
        <w:tabs>
          <w:tab w:val="left" w:leader="none" w:pos="709"/>
          <w:tab w:val="left" w:leader="none" w:pos="1272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1000 рублей, если цена контракта не превышает 3 млн. рублей (включительно);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pBdr/>
        <w:shd w:val="clear" w:color="auto" w:fill="auto"/>
        <w:tabs>
          <w:tab w:val="left" w:leader="none" w:pos="709"/>
          <w:tab w:val="left" w:leader="none" w:pos="1272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поставщиком (подрядчиком, исполнителем) обязательства, предусмотренного контрактом, в размере одной трехсотой действующей на дату уплаты пени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ключевой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ставки Центрального банка Российск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numPr>
          <w:ilvl w:val="0"/>
          <w:numId w:val="3"/>
        </w:numPr>
        <w:pBdr/>
        <w:shd w:val="clear" w:color="auto" w:fill="auto"/>
        <w:tabs>
          <w:tab w:val="left" w:leader="none" w:pos="709"/>
          <w:tab w:val="left" w:leader="none" w:pos="1402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8"/>
        <w:numPr>
          <w:ilvl w:val="0"/>
          <w:numId w:val="3"/>
        </w:numPr>
        <w:pBdr/>
        <w:shd w:val="clear" w:color="auto" w:fill="auto"/>
        <w:tabs>
          <w:tab w:val="left" w:leader="none" w:pos="709"/>
          <w:tab w:val="left" w:leader="none" w:pos="1243"/>
        </w:tabs>
        <w:spacing w:line="240" w:lineRule="auto"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Общая сумма начисленной неустойки (штрафов, пени) за ненадлежащее исполнение заказчиком обязательств, предусмотренны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х контрактом, не может превышать цену контракта.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 Форс-мажорные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.2. При наступлении обстоятельств непреодолимой силы Сторона должна без промедления известить о них другую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.3. По 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временно направит извещение, то она должна возместить другой Стороне убытки, причиненные не извещением или несвоевременным извещением.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.5.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акие обстоятельства и их последствия.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 Порядок разрешения споров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7.1. Все споры, возникающие в процессе заключения и исполнения Контракта, решаются 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ронами в добровольном порядке. Все возможные претензии по настоящему контракту должны быть рассмотрены сторонами в течение 30 дней с момента получения претензии. При недостижении соглашения Сторон спор подлежит разрешению в Арбитражном суде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месту нахождения ответчика.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7.2. Ни одна из сторон не вправе передавать свои права и обязанности по настоящему контракту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третьей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стороне без письменного согласования другой стороны.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8. Конфиденциальность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8.1.  Любая информация, касающаяся деятельности Заказчик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 вклю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чая его финансовое положение, информация о активах, пассивах,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лицам.</w:t>
        <w:tab/>
        <w:tab/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8.2. Исполнитель несет ответственность перед Заказчиком за неисполнение вышеуказанных условий о конфиденциальности в размере причиненных этим убытков,  а также в рамках иной ответственности предусмотренной законодательством РФ.</w:t>
        <w:tab/>
        <w:tab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9. Прочие ус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9.1. Настоящий Контракт составлен в двух подлинных экземплярах по одному для каждой из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9.2. После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Контракта, теряют юридическую силу.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9.3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4. В случаях, не предусмотренных настоящим контрактом, стороны руководствуются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9.5. Стороны пришли к соглашению, что факсимильный экземпляр контракта имеет одинаковую силу с оригиналом. Контракт признаётся подписанным Сторонами при использовании факсимильного воспроизведения подписи с помощью средств копирования – передачи факса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10. Расторжение государственного контракта.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10.1.Контракт может быть изменен по соглашению Сторон в случаях, предусмотренных Фед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5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10.2.Все изменения к Контракту действительны, если они оформлены в виде дополнительного соглашения к Контракту и подписаны Сторонами.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775"/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10.3.Расторжение Контракта допускается по соглашению сторон, по решению суда, в связи с односторонним отказом Стороны от исполнения контракта в соответствии с гражданским законодательством РФ, в порядке, предусмотренном ст.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95 Федерального закона от 05.04.2013 № 44-ФЗ.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10.4.В случае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фактически выполненных на момент расторжения Контракта.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11. Срок действия Контракта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11.1. Настоящий контракт вступает в силу с момента подписания и действует до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«__» _______ 20___г.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12. Юридические адреса, банковские реквизиты Сторон на момент заключения контр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акта.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697"/>
        <w:pBdr/>
        <w:spacing w:line="200" w:lineRule="atLeast"/>
        <w:ind w:right="74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tbl>
      <w:tblPr>
        <w:tblInd w:w="207" w:type="dxa"/>
        <w:tblW w:w="1003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682"/>
        <w:gridCol w:w="5349"/>
      </w:tblGrid>
      <w:tr>
        <w:trPr>
          <w:trHeight w:val="543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682" w:type="dxa"/>
            <w:vAlign w:val="top"/>
            <w:textDirection w:val="lrTb"/>
            <w:noWrap w:val="false"/>
          </w:tcPr>
          <w:p>
            <w:pPr>
              <w:pStyle w:val="701"/>
              <w:numPr>
                <w:ilvl w:val="0"/>
                <w:numId w:val="0"/>
              </w:numPr>
              <w:pBdr/>
              <w:spacing w:after="0" w:before="0"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«Государственный заказчик»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«___» ___________ 20__г.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49" w:type="dxa"/>
            <w:vAlign w:val="top"/>
            <w:textDirection w:val="lrTb"/>
            <w:noWrap w:val="false"/>
          </w:tcPr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«Исполнитель»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Общество  с ограниченной ответственностью «Бухучет сервис»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428003, Чувашская Республика, г. Чебоксары,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widowControl w:val="false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Б.С. Маркова, дом 14, помещение 10, офис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widowControl w:val="false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ИНН/КПП  2127023323/213001001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</w:p>
          <w:p>
            <w:pPr>
              <w:pStyle w:val="697"/>
              <w:keepNext w:val="true"/>
              <w:pBdr/>
              <w:tabs>
                <w:tab w:val="num" w:leader="none" w:pos="0"/>
              </w:tabs>
              <w:spacing w:line="200" w:lineRule="atLeast"/>
              <w:ind w:right="75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р/с 40702810875000000438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Чувашском отделении № 8613 ПАО Сбербанк,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кор/счет: 30101810300000000609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БИК 049706609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ОКПО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75697786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ОГРН 1052128046189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ОКТМО 97701000001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ОКОГУ 4210014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ОКОПФ 12300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Тел: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222 97 93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Электронная почта: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mailto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: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ov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bs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21.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  <w:t xml:space="preserve">ov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  <w:t xml:space="preserve">bs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HYPERLINK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 "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mailto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: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op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bs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21.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  <w:t xml:space="preserve">op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  <w:t xml:space="preserve">bs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Генеральный директор: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А.Г. Корлыханов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7"/>
              <w:pBdr/>
              <w:spacing w:line="200" w:lineRule="atLeast"/>
              <w:ind w:right="7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«__»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sectPr>
      <w:footerReference w:type="default" r:id="rId9"/>
      <w:footerReference w:type="first" r:id="rId10"/>
      <w:footnotePr/>
      <w:endnotePr/>
      <w:type w:val="nextPage"/>
      <w:pgSz w:h="16838" w:orient="portrait" w:w="11906"/>
      <w:pgMar w:top="851" w:right="731" w:bottom="987" w:left="126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Open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77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698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699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700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pStyle w:val="701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008" w:left="1008"/>
      </w:pPr>
      <w:pStyle w:val="702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pStyle w:val="703"/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pStyle w:val="704"/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pStyle w:val="705"/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5.%1"/>
      <w:numFmt w:val="decimal"/>
      <w:pPr>
        <w:pBdr/>
        <w:tabs>
          <w:tab w:val="num" w:leader="none" w:pos="0"/>
        </w:tabs>
        <w:spacing/>
        <w:ind w:firstLine="0" w:left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  <w:start w:val="3"/>
      <w:suff w:val="tab"/>
    </w:lvl>
    <w:lvl w:ilvl="1">
      <w:isLgl w:val="false"/>
      <w:lvlJc w:val="left"/>
      <w:lvlText w:val="%2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2">
      <w:isLgl w:val="false"/>
      <w:lvlJc w:val="left"/>
      <w:lvlText w:val="%3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3">
      <w:isLgl w:val="false"/>
      <w:lvlJc w:val="left"/>
      <w:lvlText w:val="%4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4">
      <w:isLgl w:val="false"/>
      <w:lvlJc w:val="left"/>
      <w:lvlText w:val="%5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5">
      <w:isLgl w:val="false"/>
      <w:lvlJc w:val="left"/>
      <w:lvlText w:val="%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6">
      <w:isLgl w:val="false"/>
      <w:lvlJc w:val="left"/>
      <w:lvlText w:val="%7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7">
      <w:isLgl w:val="false"/>
      <w:lvlJc w:val="left"/>
      <w:lvlText w:val="%8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8">
      <w:isLgl w:val="false"/>
      <w:lvlJc w:val="left"/>
      <w:lvlText w:val="%9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</w:abstractNum>
  <w:abstractNum w:abstractNumId="2">
    <w:lvl w:ilvl="0">
      <w:isLgl w:val="false"/>
      <w:lvlJc w:val="left"/>
      <w:lvlText w:val="5.%1"/>
      <w:numFmt w:val="decimal"/>
      <w:pPr>
        <w:pBdr/>
        <w:tabs>
          <w:tab w:val="num" w:leader="none" w:pos="0"/>
        </w:tabs>
        <w:spacing/>
        <w:ind w:firstLine="0" w:left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  <w:start w:val="3"/>
      <w:suff w:val="tab"/>
    </w:lvl>
    <w:lvl w:ilvl="1">
      <w:isLgl w:val="false"/>
      <w:lvlJc w:val="left"/>
      <w:lvlText w:val="%2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2">
      <w:isLgl w:val="false"/>
      <w:lvlJc w:val="left"/>
      <w:lvlText w:val="%3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3">
      <w:isLgl w:val="false"/>
      <w:lvlJc w:val="left"/>
      <w:lvlText w:val="%4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4">
      <w:isLgl w:val="false"/>
      <w:lvlJc w:val="left"/>
      <w:lvlText w:val="%5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5">
      <w:isLgl w:val="false"/>
      <w:lvlJc w:val="left"/>
      <w:lvlText w:val="%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6">
      <w:isLgl w:val="false"/>
      <w:lvlJc w:val="left"/>
      <w:lvlText w:val="%7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7">
      <w:isLgl w:val="false"/>
      <w:lvlJc w:val="left"/>
      <w:lvlText w:val="%8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8">
      <w:isLgl w:val="false"/>
      <w:lvlJc w:val="left"/>
      <w:lvlText w:val="%9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7"/>
    <w:next w:val="69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7"/>
    <w:next w:val="69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7"/>
    <w:next w:val="69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7"/>
    <w:next w:val="69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7"/>
    <w:next w:val="69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7"/>
    <w:next w:val="69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7"/>
    <w:next w:val="6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7"/>
    <w:next w:val="6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7"/>
    <w:next w:val="6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7"/>
    <w:next w:val="69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7"/>
    <w:next w:val="69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7"/>
    <w:next w:val="6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7"/>
    <w:next w:val="6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9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97"/>
    <w:next w:val="6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97"/>
    <w:next w:val="697"/>
    <w:uiPriority w:val="39"/>
    <w:unhideWhenUsed/>
    <w:pPr>
      <w:pBdr/>
      <w:spacing w:after="100"/>
      <w:ind/>
    </w:pPr>
  </w:style>
  <w:style w:type="paragraph" w:styleId="189">
    <w:name w:val="toc 2"/>
    <w:basedOn w:val="697"/>
    <w:next w:val="697"/>
    <w:uiPriority w:val="39"/>
    <w:unhideWhenUsed/>
    <w:pPr>
      <w:pBdr/>
      <w:spacing w:after="100"/>
      <w:ind w:left="220"/>
    </w:pPr>
  </w:style>
  <w:style w:type="paragraph" w:styleId="190">
    <w:name w:val="toc 3"/>
    <w:basedOn w:val="697"/>
    <w:next w:val="697"/>
    <w:uiPriority w:val="39"/>
    <w:unhideWhenUsed/>
    <w:pPr>
      <w:pBdr/>
      <w:spacing w:after="100"/>
      <w:ind w:left="440"/>
    </w:pPr>
  </w:style>
  <w:style w:type="paragraph" w:styleId="191">
    <w:name w:val="toc 4"/>
    <w:basedOn w:val="697"/>
    <w:next w:val="697"/>
    <w:uiPriority w:val="39"/>
    <w:unhideWhenUsed/>
    <w:pPr>
      <w:pBdr/>
      <w:spacing w:after="100"/>
      <w:ind w:left="660"/>
    </w:pPr>
  </w:style>
  <w:style w:type="paragraph" w:styleId="192">
    <w:name w:val="toc 5"/>
    <w:basedOn w:val="697"/>
    <w:next w:val="697"/>
    <w:uiPriority w:val="39"/>
    <w:unhideWhenUsed/>
    <w:pPr>
      <w:pBdr/>
      <w:spacing w:after="100"/>
      <w:ind w:left="880"/>
    </w:pPr>
  </w:style>
  <w:style w:type="paragraph" w:styleId="193">
    <w:name w:val="toc 6"/>
    <w:basedOn w:val="697"/>
    <w:next w:val="697"/>
    <w:uiPriority w:val="39"/>
    <w:unhideWhenUsed/>
    <w:pPr>
      <w:pBdr/>
      <w:spacing w:after="100"/>
      <w:ind w:left="1100"/>
    </w:pPr>
  </w:style>
  <w:style w:type="paragraph" w:styleId="194">
    <w:name w:val="toc 7"/>
    <w:basedOn w:val="697"/>
    <w:next w:val="697"/>
    <w:uiPriority w:val="39"/>
    <w:unhideWhenUsed/>
    <w:pPr>
      <w:pBdr/>
      <w:spacing w:after="100"/>
      <w:ind w:left="1320"/>
    </w:pPr>
  </w:style>
  <w:style w:type="paragraph" w:styleId="195">
    <w:name w:val="toc 8"/>
    <w:basedOn w:val="697"/>
    <w:next w:val="697"/>
    <w:uiPriority w:val="39"/>
    <w:unhideWhenUsed/>
    <w:pPr>
      <w:pBdr/>
      <w:spacing w:after="100"/>
      <w:ind w:left="1540"/>
    </w:pPr>
  </w:style>
  <w:style w:type="paragraph" w:styleId="196">
    <w:name w:val="toc 9"/>
    <w:basedOn w:val="697"/>
    <w:next w:val="697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97"/>
    <w:next w:val="697"/>
    <w:uiPriority w:val="99"/>
    <w:unhideWhenUsed/>
    <w:pPr>
      <w:pBdr/>
      <w:spacing w:after="0" w:afterAutospacing="0"/>
      <w:ind/>
    </w:pPr>
  </w:style>
  <w:style w:type="paragraph" w:styleId="697" w:default="1">
    <w:name w:val="Normal"/>
    <w:next w:val="697"/>
    <w:link w:val="697"/>
    <w:qFormat/>
    <w:pPr>
      <w:pBdr/>
      <w:spacing/>
      <w:ind/>
    </w:pPr>
    <w:rPr>
      <w:lang w:val="ru-RU" w:eastAsia="zh-CN" w:bidi="ar-SA"/>
    </w:rPr>
  </w:style>
  <w:style w:type="paragraph" w:styleId="698">
    <w:name w:val="Заголовок 1"/>
    <w:basedOn w:val="697"/>
    <w:next w:val="697"/>
    <w:link w:val="697"/>
    <w:qFormat/>
    <w:pPr>
      <w:keepNext w:val="true"/>
      <w:numPr>
        <w:ilvl w:val="0"/>
        <w:numId w:val="1"/>
      </w:numPr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699">
    <w:name w:val="Заголовок 2"/>
    <w:basedOn w:val="697"/>
    <w:next w:val="697"/>
    <w:link w:val="697"/>
    <w:qFormat/>
    <w:pPr>
      <w:keepNext w:val="true"/>
      <w:numPr>
        <w:ilvl w:val="1"/>
        <w:numId w:val="1"/>
      </w:numPr>
      <w:pBdr/>
      <w:spacing/>
      <w:ind/>
      <w:jc w:val="center"/>
      <w:outlineLvl w:val="1"/>
    </w:pPr>
    <w:rPr>
      <w:b/>
      <w:bCs/>
    </w:rPr>
  </w:style>
  <w:style w:type="paragraph" w:styleId="700">
    <w:name w:val="Заголовок 3"/>
    <w:basedOn w:val="697"/>
    <w:next w:val="697"/>
    <w:link w:val="697"/>
    <w:qFormat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01">
    <w:name w:val="Заголовок 4"/>
    <w:basedOn w:val="697"/>
    <w:next w:val="697"/>
    <w:link w:val="697"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702">
    <w:name w:val="Заголовок 5"/>
    <w:basedOn w:val="697"/>
    <w:next w:val="697"/>
    <w:link w:val="697"/>
    <w:qFormat/>
    <w:pPr>
      <w:keepNext w:val="true"/>
      <w:numPr>
        <w:ilvl w:val="4"/>
        <w:numId w:val="1"/>
      </w:numPr>
      <w:pBdr/>
      <w:spacing/>
      <w:ind/>
      <w:jc w:val="right"/>
      <w:outlineLvl w:val="4"/>
    </w:pPr>
    <w:rPr>
      <w:sz w:val="24"/>
    </w:rPr>
  </w:style>
  <w:style w:type="paragraph" w:styleId="703">
    <w:name w:val="Заголовок 6"/>
    <w:basedOn w:val="697"/>
    <w:next w:val="697"/>
    <w:link w:val="697"/>
    <w:qFormat/>
    <w:pPr>
      <w:keepNext w:val="true"/>
      <w:numPr>
        <w:ilvl w:val="5"/>
        <w:numId w:val="1"/>
      </w:numPr>
      <w:pBdr/>
      <w:spacing/>
      <w:ind/>
      <w:jc w:val="center"/>
      <w:outlineLvl w:val="5"/>
    </w:pPr>
    <w:rPr>
      <w:sz w:val="24"/>
    </w:rPr>
  </w:style>
  <w:style w:type="paragraph" w:styleId="704">
    <w:name w:val="Заголовок 7"/>
    <w:basedOn w:val="697"/>
    <w:next w:val="697"/>
    <w:link w:val="697"/>
    <w:qFormat/>
    <w:pPr>
      <w:keepNext w:val="true"/>
      <w:numPr>
        <w:ilvl w:val="6"/>
        <w:numId w:val="1"/>
      </w:numPr>
      <w:pBdr/>
      <w:spacing/>
      <w:ind/>
      <w:outlineLvl w:val="6"/>
    </w:pPr>
    <w:rPr>
      <w:sz w:val="24"/>
    </w:rPr>
  </w:style>
  <w:style w:type="paragraph" w:styleId="705">
    <w:name w:val="Заголовок 8"/>
    <w:basedOn w:val="697"/>
    <w:next w:val="697"/>
    <w:link w:val="697"/>
    <w:qFormat/>
    <w:pPr>
      <w:keepNext w:val="true"/>
      <w:numPr>
        <w:ilvl w:val="7"/>
        <w:numId w:val="1"/>
      </w:numPr>
      <w:pBdr/>
      <w:spacing/>
      <w:ind w:right="-71" w:firstLine="0" w:left="0"/>
      <w:jc w:val="right"/>
      <w:outlineLvl w:val="7"/>
    </w:pPr>
    <w:rPr>
      <w:sz w:val="24"/>
      <w:szCs w:val="24"/>
    </w:rPr>
  </w:style>
  <w:style w:type="character" w:styleId="706">
    <w:name w:val="Основной шрифт абзаца"/>
    <w:next w:val="706"/>
    <w:link w:val="697"/>
    <w:uiPriority w:val="1"/>
    <w:semiHidden/>
    <w:unhideWhenUsed/>
    <w:pPr>
      <w:pBdr/>
      <w:spacing/>
      <w:ind/>
    </w:pPr>
  </w:style>
  <w:style w:type="table" w:styleId="707">
    <w:name w:val="Обычная таблица"/>
    <w:next w:val="707"/>
    <w:link w:val="69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>
    <w:name w:val="Нет списка"/>
    <w:next w:val="708"/>
    <w:link w:val="697"/>
    <w:uiPriority w:val="99"/>
    <w:semiHidden/>
    <w:unhideWhenUsed/>
    <w:pPr>
      <w:pBdr/>
      <w:spacing/>
      <w:ind/>
    </w:pPr>
  </w:style>
  <w:style w:type="character" w:styleId="709">
    <w:name w:val="WW8Num1z0"/>
    <w:next w:val="709"/>
    <w:link w:val="697"/>
    <w:pPr>
      <w:pBdr/>
      <w:spacing/>
      <w:ind/>
    </w:pPr>
  </w:style>
  <w:style w:type="character" w:styleId="710">
    <w:name w:val="WW8Num1z1"/>
    <w:next w:val="710"/>
    <w:link w:val="697"/>
    <w:pPr>
      <w:pBdr/>
      <w:spacing/>
      <w:ind/>
    </w:pPr>
  </w:style>
  <w:style w:type="character" w:styleId="711">
    <w:name w:val="WW8Num1z2"/>
    <w:next w:val="711"/>
    <w:link w:val="697"/>
    <w:pPr>
      <w:pBdr/>
      <w:spacing/>
      <w:ind/>
    </w:pPr>
  </w:style>
  <w:style w:type="character" w:styleId="712">
    <w:name w:val="WW8Num1z3"/>
    <w:next w:val="712"/>
    <w:link w:val="697"/>
    <w:pPr>
      <w:pBdr/>
      <w:spacing/>
      <w:ind/>
    </w:pPr>
  </w:style>
  <w:style w:type="character" w:styleId="713">
    <w:name w:val="WW8Num1z4"/>
    <w:next w:val="713"/>
    <w:link w:val="697"/>
    <w:pPr>
      <w:pBdr/>
      <w:spacing/>
      <w:ind/>
    </w:pPr>
  </w:style>
  <w:style w:type="character" w:styleId="714">
    <w:name w:val="WW8Num1z5"/>
    <w:next w:val="714"/>
    <w:link w:val="697"/>
    <w:pPr>
      <w:pBdr/>
      <w:spacing/>
      <w:ind/>
    </w:pPr>
  </w:style>
  <w:style w:type="character" w:styleId="715">
    <w:name w:val="WW8Num1z6"/>
    <w:next w:val="715"/>
    <w:link w:val="697"/>
    <w:pPr>
      <w:pBdr/>
      <w:spacing/>
      <w:ind/>
    </w:pPr>
  </w:style>
  <w:style w:type="character" w:styleId="716">
    <w:name w:val="WW8Num1z7"/>
    <w:next w:val="716"/>
    <w:link w:val="697"/>
    <w:pPr>
      <w:pBdr/>
      <w:spacing/>
      <w:ind/>
    </w:pPr>
  </w:style>
  <w:style w:type="character" w:styleId="717">
    <w:name w:val="WW8Num1z8"/>
    <w:next w:val="717"/>
    <w:link w:val="697"/>
    <w:pPr>
      <w:pBdr/>
      <w:spacing/>
      <w:ind/>
    </w:pPr>
  </w:style>
  <w:style w:type="character" w:styleId="718">
    <w:name w:val="WW8Num2z0"/>
    <w:next w:val="718"/>
    <w:link w:val="697"/>
    <w:pPr>
      <w:pBdr/>
      <w:spacing/>
      <w:ind/>
    </w:pPr>
  </w:style>
  <w:style w:type="character" w:styleId="719">
    <w:name w:val="WW8Num2z1"/>
    <w:next w:val="719"/>
    <w:link w:val="697"/>
    <w:pPr>
      <w:pBdr/>
      <w:spacing/>
      <w:ind/>
    </w:pPr>
  </w:style>
  <w:style w:type="character" w:styleId="720">
    <w:name w:val="WW8Num2z2"/>
    <w:next w:val="720"/>
    <w:link w:val="697"/>
    <w:pPr>
      <w:pBdr/>
      <w:spacing/>
      <w:ind/>
    </w:pPr>
  </w:style>
  <w:style w:type="character" w:styleId="721">
    <w:name w:val="WW8Num2z3"/>
    <w:next w:val="721"/>
    <w:link w:val="697"/>
    <w:pPr>
      <w:pBdr/>
      <w:spacing/>
      <w:ind/>
    </w:pPr>
  </w:style>
  <w:style w:type="character" w:styleId="722">
    <w:name w:val="WW8Num2z4"/>
    <w:next w:val="722"/>
    <w:link w:val="697"/>
    <w:pPr>
      <w:pBdr/>
      <w:spacing/>
      <w:ind/>
    </w:pPr>
  </w:style>
  <w:style w:type="character" w:styleId="723">
    <w:name w:val="WW8Num2z5"/>
    <w:next w:val="723"/>
    <w:link w:val="697"/>
    <w:pPr>
      <w:pBdr/>
      <w:spacing/>
      <w:ind/>
    </w:pPr>
  </w:style>
  <w:style w:type="character" w:styleId="724">
    <w:name w:val="WW8Num2z6"/>
    <w:next w:val="724"/>
    <w:link w:val="697"/>
    <w:pPr>
      <w:pBdr/>
      <w:spacing/>
      <w:ind/>
    </w:pPr>
  </w:style>
  <w:style w:type="character" w:styleId="725">
    <w:name w:val="WW8Num2z7"/>
    <w:next w:val="725"/>
    <w:link w:val="697"/>
    <w:pPr>
      <w:pBdr/>
      <w:spacing/>
      <w:ind/>
    </w:pPr>
  </w:style>
  <w:style w:type="character" w:styleId="726">
    <w:name w:val="WW8Num2z8"/>
    <w:next w:val="726"/>
    <w:link w:val="697"/>
    <w:pPr>
      <w:pBdr/>
      <w:spacing/>
      <w:ind/>
    </w:pPr>
  </w:style>
  <w:style w:type="character" w:styleId="727">
    <w:name w:val="WW8Num3z0"/>
    <w:next w:val="727"/>
    <w:link w:val="697"/>
    <w:pPr>
      <w:pBdr/>
      <w:spacing/>
      <w:ind/>
    </w:pPr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styleId="728">
    <w:name w:val="WW8Num3z1"/>
    <w:next w:val="728"/>
    <w:link w:val="697"/>
    <w:pPr>
      <w:pBdr/>
      <w:spacing/>
      <w:ind/>
    </w:pPr>
  </w:style>
  <w:style w:type="character" w:styleId="729">
    <w:name w:val="WW8Num3z2"/>
    <w:next w:val="729"/>
    <w:link w:val="697"/>
    <w:pPr>
      <w:pBdr/>
      <w:spacing/>
      <w:ind/>
    </w:pPr>
  </w:style>
  <w:style w:type="character" w:styleId="730">
    <w:name w:val="WW8Num3z3"/>
    <w:next w:val="730"/>
    <w:link w:val="697"/>
    <w:pPr>
      <w:pBdr/>
      <w:spacing/>
      <w:ind/>
    </w:pPr>
  </w:style>
  <w:style w:type="character" w:styleId="731">
    <w:name w:val="WW8Num3z4"/>
    <w:next w:val="731"/>
    <w:link w:val="697"/>
    <w:pPr>
      <w:pBdr/>
      <w:spacing/>
      <w:ind/>
    </w:pPr>
  </w:style>
  <w:style w:type="character" w:styleId="732">
    <w:name w:val="WW8Num3z5"/>
    <w:next w:val="732"/>
    <w:link w:val="697"/>
    <w:pPr>
      <w:pBdr/>
      <w:spacing/>
      <w:ind/>
    </w:pPr>
  </w:style>
  <w:style w:type="character" w:styleId="733">
    <w:name w:val="WW8Num3z6"/>
    <w:next w:val="733"/>
    <w:link w:val="697"/>
    <w:pPr>
      <w:pBdr/>
      <w:spacing/>
      <w:ind/>
    </w:pPr>
  </w:style>
  <w:style w:type="character" w:styleId="734">
    <w:name w:val="WW8Num3z7"/>
    <w:next w:val="734"/>
    <w:link w:val="697"/>
    <w:pPr>
      <w:pBdr/>
      <w:spacing/>
      <w:ind/>
    </w:pPr>
  </w:style>
  <w:style w:type="character" w:styleId="735">
    <w:name w:val="WW8Num3z8"/>
    <w:next w:val="735"/>
    <w:link w:val="697"/>
    <w:pPr>
      <w:pBdr/>
      <w:spacing/>
      <w:ind/>
    </w:pPr>
  </w:style>
  <w:style w:type="character" w:styleId="736">
    <w:name w:val="Основной шрифт абзаца4"/>
    <w:next w:val="736"/>
    <w:link w:val="697"/>
    <w:pPr>
      <w:pBdr/>
      <w:spacing/>
      <w:ind/>
    </w:pPr>
  </w:style>
  <w:style w:type="character" w:styleId="737">
    <w:name w:val="Основной шрифт абзаца3"/>
    <w:next w:val="737"/>
    <w:link w:val="697"/>
    <w:pPr>
      <w:pBdr/>
      <w:spacing/>
      <w:ind/>
    </w:pPr>
  </w:style>
  <w:style w:type="character" w:styleId="738">
    <w:name w:val="Absatz-Standardschriftart"/>
    <w:next w:val="738"/>
    <w:link w:val="697"/>
    <w:pPr>
      <w:pBdr/>
      <w:spacing/>
      <w:ind/>
    </w:pPr>
  </w:style>
  <w:style w:type="character" w:styleId="739">
    <w:name w:val="Основной шрифт абзаца2"/>
    <w:next w:val="739"/>
    <w:link w:val="697"/>
    <w:pPr>
      <w:pBdr/>
      <w:spacing/>
      <w:ind/>
    </w:pPr>
  </w:style>
  <w:style w:type="character" w:styleId="740">
    <w:name w:val="Основной шрифт абзаца1"/>
    <w:next w:val="740"/>
    <w:link w:val="697"/>
    <w:pPr>
      <w:pBdr/>
      <w:spacing/>
      <w:ind/>
    </w:pPr>
  </w:style>
  <w:style w:type="character" w:styleId="741">
    <w:name w:val="Символ нумерации"/>
    <w:next w:val="741"/>
    <w:link w:val="697"/>
    <w:pPr>
      <w:pBdr/>
      <w:spacing/>
      <w:ind/>
    </w:pPr>
  </w:style>
  <w:style w:type="character" w:styleId="742">
    <w:name w:val="Маркеры списка"/>
    <w:next w:val="742"/>
    <w:link w:val="697"/>
    <w:pPr>
      <w:pBdr/>
      <w:spacing/>
      <w:ind/>
    </w:pPr>
    <w:rPr>
      <w:rFonts w:ascii="OpenSymbol" w:hAnsi="OpenSymbol" w:eastAsia="OpenSymbol" w:cs="OpenSymbol"/>
    </w:rPr>
  </w:style>
  <w:style w:type="character" w:styleId="743">
    <w:name w:val="Гиперссылка"/>
    <w:next w:val="743"/>
    <w:link w:val="697"/>
    <w:pPr>
      <w:pBdr/>
      <w:spacing/>
      <w:ind/>
    </w:pPr>
    <w:rPr>
      <w:color w:val="000080"/>
      <w:u w:val="single"/>
      <w:lang w:val="en-US" w:bidi="en-US"/>
    </w:rPr>
  </w:style>
  <w:style w:type="character" w:styleId="744">
    <w:name w:val="Верхний колонтитул Знак"/>
    <w:next w:val="744"/>
    <w:link w:val="697"/>
    <w:pPr>
      <w:pBdr/>
      <w:spacing/>
      <w:ind/>
    </w:pPr>
  </w:style>
  <w:style w:type="character" w:styleId="745">
    <w:name w:val="Нижний колонтитул Знак"/>
    <w:next w:val="745"/>
    <w:link w:val="697"/>
    <w:pPr>
      <w:pBdr/>
      <w:spacing/>
      <w:ind/>
    </w:pPr>
  </w:style>
  <w:style w:type="character" w:styleId="746">
    <w:name w:val="Основной текст + Полужирный"/>
    <w:next w:val="746"/>
    <w:link w:val="697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styleId="747">
    <w:name w:val="Заголовок1"/>
    <w:basedOn w:val="697"/>
    <w:next w:val="748"/>
    <w:link w:val="697"/>
    <w:pPr>
      <w:keepNext w:val="true"/>
      <w:pBdr/>
      <w:spacing w:after="120" w:before="240"/>
      <w:ind/>
    </w:pPr>
    <w:rPr>
      <w:rFonts w:ascii="Arial" w:hAnsi="Arial" w:eastAsia="SimSun" w:cs="Tahoma"/>
      <w:sz w:val="28"/>
      <w:szCs w:val="28"/>
    </w:rPr>
  </w:style>
  <w:style w:type="paragraph" w:styleId="748">
    <w:name w:val="Основной текст"/>
    <w:basedOn w:val="697"/>
    <w:next w:val="748"/>
    <w:link w:val="697"/>
    <w:pPr>
      <w:pBdr/>
      <w:spacing w:after="120" w:before="0"/>
      <w:ind/>
      <w:jc w:val="both"/>
    </w:pPr>
    <w:rPr>
      <w:sz w:val="24"/>
    </w:rPr>
  </w:style>
  <w:style w:type="paragraph" w:styleId="749">
    <w:name w:val="Список"/>
    <w:basedOn w:val="748"/>
    <w:next w:val="749"/>
    <w:link w:val="697"/>
    <w:pPr>
      <w:pBdr/>
      <w:spacing/>
      <w:ind/>
    </w:pPr>
    <w:rPr>
      <w:rFonts w:cs="Tahoma"/>
    </w:rPr>
  </w:style>
  <w:style w:type="paragraph" w:styleId="750">
    <w:name w:val="Название объекта"/>
    <w:basedOn w:val="697"/>
    <w:next w:val="750"/>
    <w:link w:val="69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51">
    <w:name w:val="Указатель4"/>
    <w:basedOn w:val="697"/>
    <w:next w:val="751"/>
    <w:link w:val="697"/>
    <w:pPr>
      <w:suppressLineNumbers w:val="true"/>
      <w:pBdr/>
      <w:spacing/>
      <w:ind/>
    </w:pPr>
    <w:rPr>
      <w:rFonts w:cs="Arial"/>
    </w:rPr>
  </w:style>
  <w:style w:type="paragraph" w:styleId="752">
    <w:name w:val="Название3"/>
    <w:basedOn w:val="697"/>
    <w:next w:val="752"/>
    <w:link w:val="697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753">
    <w:name w:val="Указатель3"/>
    <w:basedOn w:val="697"/>
    <w:next w:val="753"/>
    <w:link w:val="697"/>
    <w:pPr>
      <w:suppressLineNumbers w:val="true"/>
      <w:pBdr/>
      <w:spacing/>
      <w:ind/>
    </w:pPr>
    <w:rPr>
      <w:rFonts w:cs="Tahoma"/>
    </w:rPr>
  </w:style>
  <w:style w:type="paragraph" w:styleId="754">
    <w:name w:val="Название2"/>
    <w:basedOn w:val="697"/>
    <w:next w:val="754"/>
    <w:link w:val="697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755">
    <w:name w:val="Указатель2"/>
    <w:basedOn w:val="697"/>
    <w:next w:val="755"/>
    <w:link w:val="697"/>
    <w:pPr>
      <w:suppressLineNumbers w:val="true"/>
      <w:pBdr/>
      <w:spacing/>
      <w:ind/>
    </w:pPr>
    <w:rPr>
      <w:rFonts w:cs="Tahoma"/>
    </w:rPr>
  </w:style>
  <w:style w:type="paragraph" w:styleId="756">
    <w:name w:val="Название1"/>
    <w:basedOn w:val="697"/>
    <w:next w:val="756"/>
    <w:link w:val="697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757">
    <w:name w:val="Указатель1"/>
    <w:basedOn w:val="697"/>
    <w:next w:val="757"/>
    <w:link w:val="697"/>
    <w:pPr>
      <w:suppressLineNumbers w:val="true"/>
      <w:pBdr/>
      <w:spacing/>
      <w:ind/>
    </w:pPr>
    <w:rPr>
      <w:rFonts w:cs="Tahoma"/>
    </w:rPr>
  </w:style>
  <w:style w:type="paragraph" w:styleId="758">
    <w:name w:val="Основной текст с отступом 21"/>
    <w:basedOn w:val="697"/>
    <w:next w:val="758"/>
    <w:link w:val="697"/>
    <w:pPr>
      <w:pBdr/>
      <w:spacing w:after="120" w:before="0" w:line="480" w:lineRule="auto"/>
      <w:ind w:right="0" w:firstLine="0" w:left="283"/>
      <w:jc w:val="both"/>
    </w:pPr>
    <w:rPr>
      <w:sz w:val="24"/>
    </w:rPr>
  </w:style>
  <w:style w:type="paragraph" w:styleId="759">
    <w:name w:val="FR1"/>
    <w:next w:val="759"/>
    <w:link w:val="697"/>
    <w:pPr>
      <w:widowControl w:val="false"/>
      <w:pBdr/>
      <w:spacing w:before="700"/>
      <w:ind/>
    </w:pPr>
    <w:rPr>
      <w:rFonts w:eastAsia="Arial"/>
      <w:b/>
      <w:sz w:val="28"/>
      <w:lang w:val="ru-RU" w:eastAsia="zh-CN" w:bidi="ar-SA"/>
    </w:rPr>
  </w:style>
  <w:style w:type="paragraph" w:styleId="760">
    <w:name w:val="Основной текст с отступом"/>
    <w:basedOn w:val="697"/>
    <w:next w:val="760"/>
    <w:link w:val="697"/>
    <w:pPr>
      <w:pBdr/>
      <w:spacing w:after="120" w:before="0"/>
      <w:ind w:right="0" w:firstLine="0" w:left="283"/>
    </w:pPr>
  </w:style>
  <w:style w:type="paragraph" w:styleId="761">
    <w:name w:val="Текст выноски"/>
    <w:basedOn w:val="697"/>
    <w:next w:val="761"/>
    <w:link w:val="697"/>
    <w:pPr>
      <w:pBdr/>
      <w:spacing/>
      <w:ind/>
    </w:pPr>
    <w:rPr>
      <w:rFonts w:ascii="Tahoma" w:hAnsi="Tahoma" w:cs="Tahoma"/>
      <w:sz w:val="16"/>
      <w:szCs w:val="16"/>
    </w:rPr>
  </w:style>
  <w:style w:type="paragraph" w:styleId="762">
    <w:name w:val="Основной текст 21"/>
    <w:basedOn w:val="697"/>
    <w:next w:val="762"/>
    <w:link w:val="697"/>
    <w:pPr>
      <w:pBdr/>
      <w:spacing/>
      <w:ind/>
    </w:pPr>
    <w:rPr>
      <w:sz w:val="24"/>
    </w:rPr>
  </w:style>
  <w:style w:type="paragraph" w:styleId="763">
    <w:name w:val="Основной текст с отступом 31"/>
    <w:basedOn w:val="697"/>
    <w:next w:val="763"/>
    <w:link w:val="697"/>
    <w:pPr>
      <w:pBdr/>
      <w:spacing/>
      <w:ind w:right="-71" w:firstLine="709" w:left="0"/>
    </w:pPr>
    <w:rPr>
      <w:b/>
      <w:bCs/>
      <w:sz w:val="24"/>
      <w:szCs w:val="24"/>
    </w:rPr>
  </w:style>
  <w:style w:type="paragraph" w:styleId="764">
    <w:name w:val="Основной текст 31"/>
    <w:basedOn w:val="697"/>
    <w:next w:val="764"/>
    <w:link w:val="697"/>
    <w:pPr>
      <w:pBdr/>
      <w:spacing/>
      <w:ind w:right="304" w:firstLine="0" w:left="0"/>
      <w:jc w:val="both"/>
    </w:pPr>
    <w:rPr>
      <w:sz w:val="24"/>
    </w:rPr>
  </w:style>
  <w:style w:type="paragraph" w:styleId="765">
    <w:name w:val="Содержимое таблицы"/>
    <w:basedOn w:val="697"/>
    <w:next w:val="765"/>
    <w:link w:val="697"/>
    <w:pPr>
      <w:suppressLineNumbers w:val="true"/>
      <w:pBdr/>
      <w:spacing/>
      <w:ind/>
    </w:pPr>
  </w:style>
  <w:style w:type="paragraph" w:styleId="766">
    <w:name w:val="Заголовок таблицы"/>
    <w:basedOn w:val="765"/>
    <w:next w:val="766"/>
    <w:link w:val="697"/>
    <w:pPr>
      <w:suppressLineNumbers w:val="true"/>
      <w:pBdr/>
      <w:spacing/>
      <w:ind/>
      <w:jc w:val="center"/>
    </w:pPr>
    <w:rPr>
      <w:b/>
      <w:bCs/>
    </w:rPr>
  </w:style>
  <w:style w:type="paragraph" w:styleId="767">
    <w:name w:val="Default Text"/>
    <w:next w:val="767"/>
    <w:link w:val="697"/>
    <w:pPr>
      <w:widowControl w:val="false"/>
      <w:pBdr/>
      <w:spacing/>
      <w:ind/>
    </w:pPr>
    <w:rPr>
      <w:rFonts w:eastAsia="Lucida Sans Unicode"/>
      <w:sz w:val="24"/>
      <w:szCs w:val="24"/>
      <w:lang w:val="en-US" w:eastAsia="zh-CN" w:bidi="ar-SA"/>
    </w:rPr>
  </w:style>
  <w:style w:type="paragraph" w:styleId="768">
    <w:name w:val="Текст в заданном формате"/>
    <w:basedOn w:val="697"/>
    <w:next w:val="768"/>
    <w:link w:val="697"/>
    <w:pPr>
      <w:pBdr/>
      <w:spacing w:after="0" w:before="0"/>
      <w:ind/>
    </w:pPr>
    <w:rPr>
      <w:rFonts w:ascii="Courier New" w:hAnsi="Courier New" w:eastAsia="Courier New" w:cs="Courier New"/>
      <w:sz w:val="20"/>
      <w:szCs w:val="20"/>
    </w:rPr>
  </w:style>
  <w:style w:type="paragraph" w:styleId="769">
    <w:name w:val="Body Text 3"/>
    <w:basedOn w:val="697"/>
    <w:next w:val="769"/>
    <w:link w:val="697"/>
    <w:pPr>
      <w:widowControl w:val="false"/>
      <w:pBdr/>
      <w:spacing w:line="300" w:lineRule="auto"/>
      <w:ind w:right="0" w:hanging="400" w:left="400"/>
      <w:jc w:val="both"/>
    </w:pPr>
    <w:rPr>
      <w:b/>
      <w:sz w:val="28"/>
      <w:szCs w:val="20"/>
    </w:rPr>
  </w:style>
  <w:style w:type="paragraph" w:styleId="770">
    <w:name w:val="Обычный (веб)"/>
    <w:basedOn w:val="697"/>
    <w:next w:val="770"/>
    <w:link w:val="697"/>
    <w:pPr>
      <w:pBdr/>
      <w:spacing w:after="0" w:before="100"/>
      <w:ind/>
    </w:pPr>
  </w:style>
  <w:style w:type="paragraph" w:styleId="771">
    <w:name w:val="АД_Текст отступ 3"/>
    <w:basedOn w:val="697"/>
    <w:next w:val="771"/>
    <w:link w:val="697"/>
    <w:pPr>
      <w:pBdr/>
      <w:spacing/>
      <w:ind w:right="0" w:firstLine="0" w:left="1418"/>
      <w:jc w:val="both"/>
    </w:pPr>
  </w:style>
  <w:style w:type="paragraph" w:styleId="772">
    <w:name w:val="Iau?iue"/>
    <w:next w:val="772"/>
    <w:link w:val="697"/>
    <w:pPr>
      <w:pBdr/>
      <w:spacing/>
      <w:ind/>
    </w:pPr>
    <w:rPr>
      <w:rFonts w:eastAsia="Arial"/>
      <w:lang w:val="en-US" w:eastAsia="zh-CN" w:bidi="ar-SA"/>
    </w:rPr>
  </w:style>
  <w:style w:type="paragraph" w:styleId="773">
    <w:name w:val="Стандартный HTML"/>
    <w:basedOn w:val="697"/>
    <w:next w:val="773"/>
    <w:link w:val="697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  <w:jc w:val="left"/>
    </w:pPr>
    <w:rPr>
      <w:rFonts w:ascii="Courier New" w:hAnsi="Courier New" w:cs="Courier New"/>
      <w:sz w:val="20"/>
      <w:szCs w:val="20"/>
    </w:rPr>
  </w:style>
  <w:style w:type="paragraph" w:styleId="774">
    <w:name w:val="ConsPlusNormal"/>
    <w:next w:val="774"/>
    <w:link w:val="697"/>
    <w:pPr>
      <w:pBdr/>
      <w:spacing/>
      <w:ind/>
    </w:pPr>
    <w:rPr>
      <w:rFonts w:ascii="Arial" w:hAnsi="Arial" w:eastAsia="Arial" w:cs="Arial"/>
      <w:lang w:val="ru-RU" w:eastAsia="zh-CN" w:bidi="ar-SA"/>
    </w:rPr>
  </w:style>
  <w:style w:type="paragraph" w:styleId="775">
    <w:name w:val="Без интервала2"/>
    <w:next w:val="775"/>
    <w:link w:val="697"/>
    <w:pPr>
      <w:pBdr/>
      <w:spacing w:line="100" w:lineRule="atLeast"/>
      <w:ind/>
    </w:pPr>
    <w:rPr>
      <w:rFonts w:ascii="Calibri" w:hAnsi="Calibri" w:eastAsia="Calibri" w:cs="Calibri"/>
      <w:sz w:val="24"/>
      <w:szCs w:val="24"/>
      <w:lang w:val="ru-RU" w:eastAsia="zh-CN" w:bidi="ar-SA"/>
    </w:rPr>
  </w:style>
  <w:style w:type="paragraph" w:styleId="776">
    <w:name w:val="Верхний колонтитул"/>
    <w:basedOn w:val="697"/>
    <w:next w:val="776"/>
    <w:link w:val="697"/>
    <w:pPr>
      <w:suppressLineNumbers w:val="true"/>
      <w:pBdr/>
      <w:tabs>
        <w:tab w:val="center" w:leader="none" w:pos="4677"/>
        <w:tab w:val="right" w:leader="none" w:pos="9355"/>
      </w:tabs>
      <w:spacing/>
      <w:ind/>
    </w:pPr>
  </w:style>
  <w:style w:type="paragraph" w:styleId="777">
    <w:name w:val="Нижний колонтитул"/>
    <w:basedOn w:val="697"/>
    <w:next w:val="777"/>
    <w:link w:val="697"/>
    <w:pPr>
      <w:suppressLineNumbers w:val="true"/>
      <w:pBdr/>
      <w:tabs>
        <w:tab w:val="center" w:leader="none" w:pos="4677"/>
        <w:tab w:val="right" w:leader="none" w:pos="9355"/>
      </w:tabs>
      <w:spacing/>
      <w:ind/>
    </w:pPr>
  </w:style>
  <w:style w:type="paragraph" w:styleId="778">
    <w:name w:val="Основной текст2"/>
    <w:basedOn w:val="697"/>
    <w:next w:val="778"/>
    <w:link w:val="697"/>
    <w:pPr>
      <w:widowControl w:val="false"/>
      <w:pBdr/>
      <w:shd w:val="clear" w:color="auto" w:fill="ffffff"/>
      <w:spacing w:line="293" w:lineRule="exact"/>
      <w:ind/>
      <w:jc w:val="both"/>
    </w:pPr>
    <w:rPr>
      <w:color w:val="000000"/>
      <w:spacing w:val="-1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 </dc:title>
  <dc:creator>Акелла</dc:creator>
  <cp:revision>16</cp:revision>
  <dcterms:created xsi:type="dcterms:W3CDTF">2010-12-09T11:03:00Z</dcterms:created>
  <dcterms:modified xsi:type="dcterms:W3CDTF">2026-02-10T05:45:33Z</dcterms:modified>
  <cp:version>1048576</cp:version>
</cp:coreProperties>
</file>