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D4E8" w14:textId="3E3C0ACB" w:rsidR="00CF1658" w:rsidRPr="008F47F9" w:rsidRDefault="00CF1658" w:rsidP="00586CEC">
      <w:pPr>
        <w:spacing w:after="120"/>
        <w:jc w:val="center"/>
        <w:rPr>
          <w:b/>
        </w:rPr>
      </w:pPr>
      <w:r w:rsidRPr="008F47F9">
        <w:rPr>
          <w:b/>
        </w:rPr>
        <w:t>ОБОСНОВАНИЕ НАЧАЛЬНОЙ (МАКСИМАЛЬНОЙ) ЦЕНЫ ГРАЖДАНСКО-ПРАВОВОГО ДОГОВОР</w:t>
      </w:r>
      <w:r w:rsidR="00586CEC" w:rsidRPr="008F47F9">
        <w:rPr>
          <w:b/>
        </w:rPr>
        <w:t>А</w:t>
      </w:r>
    </w:p>
    <w:p w14:paraId="7F9155C3" w14:textId="32F8BB08" w:rsidR="00596D58" w:rsidRPr="008F47F9" w:rsidRDefault="00596D58" w:rsidP="00596D58">
      <w:pPr>
        <w:spacing w:after="0"/>
        <w:ind w:firstLine="567"/>
        <w:rPr>
          <w:bCs/>
          <w:lang w:eastAsia="ru-RU"/>
        </w:rPr>
      </w:pPr>
      <w:r w:rsidRPr="008F47F9">
        <w:rPr>
          <w:bCs/>
          <w:lang w:eastAsia="ru-RU"/>
        </w:rPr>
        <w:t xml:space="preserve">Начальная (максимальная) цена гражданско-правового договора </w:t>
      </w:r>
      <w:r w:rsidR="00504296">
        <w:rPr>
          <w:bCs/>
          <w:lang w:eastAsia="ru-RU"/>
        </w:rPr>
        <w:t xml:space="preserve">на оказание услуг по передаче </w:t>
      </w:r>
      <w:r w:rsidR="00504296" w:rsidRPr="00504296">
        <w:rPr>
          <w:bCs/>
          <w:lang w:eastAsia="ru-RU"/>
        </w:rPr>
        <w:t xml:space="preserve">неисключительных прав использования электронной базы данных на условиях простой (неисключительной) лицензии системы </w:t>
      </w:r>
      <w:r w:rsidR="006339DE">
        <w:rPr>
          <w:bCs/>
          <w:lang w:eastAsia="ru-RU"/>
        </w:rPr>
        <w:t xml:space="preserve">Кадры </w:t>
      </w:r>
      <w:r w:rsidR="00504296" w:rsidRPr="00504296">
        <w:rPr>
          <w:bCs/>
          <w:lang w:eastAsia="ru-RU"/>
        </w:rPr>
        <w:t>Плюс</w:t>
      </w:r>
      <w:r w:rsidR="00504296">
        <w:rPr>
          <w:bCs/>
          <w:lang w:eastAsia="ru-RU"/>
        </w:rPr>
        <w:t xml:space="preserve">, </w:t>
      </w:r>
      <w:r w:rsidRPr="008F47F9">
        <w:rPr>
          <w:bCs/>
          <w:lang w:eastAsia="ru-RU"/>
        </w:rPr>
        <w:t>опред</w:t>
      </w:r>
      <w:r w:rsidR="00504296">
        <w:rPr>
          <w:bCs/>
          <w:lang w:eastAsia="ru-RU"/>
        </w:rPr>
        <w:t>е</w:t>
      </w:r>
      <w:r w:rsidRPr="008F47F9">
        <w:rPr>
          <w:bCs/>
          <w:lang w:eastAsia="ru-RU"/>
        </w:rPr>
        <w:t>лена и обоснована в соответствии со стать</w:t>
      </w:r>
      <w:r w:rsidR="00EB7486" w:rsidRPr="008F47F9">
        <w:rPr>
          <w:bCs/>
          <w:lang w:eastAsia="ru-RU"/>
        </w:rPr>
        <w:t>е</w:t>
      </w:r>
      <w:r w:rsidRPr="008F47F9">
        <w:rPr>
          <w:bCs/>
          <w:lang w:eastAsia="ru-RU"/>
        </w:rPr>
        <w:t>й 22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утверждёнными приказом Министерства экономического развития Российской Федерации от 02 октября 2013 г. № 567.</w:t>
      </w:r>
    </w:p>
    <w:p w14:paraId="059427D5" w14:textId="77777777" w:rsidR="00596D58" w:rsidRPr="008F47F9" w:rsidRDefault="00596D58" w:rsidP="00596D58">
      <w:pPr>
        <w:spacing w:after="0"/>
        <w:ind w:firstLine="567"/>
        <w:rPr>
          <w:bCs/>
          <w:lang w:eastAsia="ru-RU"/>
        </w:rPr>
      </w:pPr>
      <w:r w:rsidRPr="008F47F9">
        <w:rPr>
          <w:bCs/>
          <w:lang w:eastAsia="ru-RU"/>
        </w:rPr>
        <w:t>Начальная (максимальная) цена определена и обоснована Заказчиком посредством применения метода сопоставимых рыночных цен (анализ рынка).</w:t>
      </w:r>
    </w:p>
    <w:p w14:paraId="1FC8D1F3" w14:textId="77777777" w:rsidR="00596D58" w:rsidRPr="008F47F9" w:rsidRDefault="00596D58" w:rsidP="001D3894">
      <w:pPr>
        <w:spacing w:after="120"/>
        <w:ind w:firstLine="567"/>
        <w:rPr>
          <w:bCs/>
          <w:lang w:eastAsia="ru-RU"/>
        </w:rPr>
      </w:pPr>
      <w:r w:rsidRPr="008F47F9">
        <w:rPr>
          <w:bCs/>
          <w:lang w:eastAsia="ru-RU"/>
        </w:rPr>
        <w:t>В целях получения ценовой информации в отношении товара Заказчиком направлены запросы о предоставлении ценовой информации потенциальным исполнителям.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166"/>
        <w:gridCol w:w="5988"/>
        <w:gridCol w:w="2005"/>
        <w:gridCol w:w="2005"/>
        <w:gridCol w:w="1915"/>
        <w:gridCol w:w="1906"/>
      </w:tblGrid>
      <w:tr w:rsidR="002140B5" w:rsidRPr="008F47F9" w14:paraId="69C046CC" w14:textId="23AB469E" w:rsidTr="002140B5">
        <w:tc>
          <w:tcPr>
            <w:tcW w:w="389" w:type="pct"/>
            <w:vAlign w:val="center"/>
          </w:tcPr>
          <w:p w14:paraId="307A99FE" w14:textId="77777777" w:rsidR="002140B5" w:rsidRPr="008F47F9" w:rsidRDefault="002140B5" w:rsidP="0019496A">
            <w:pPr>
              <w:jc w:val="center"/>
              <w:rPr>
                <w:b/>
              </w:rPr>
            </w:pPr>
            <w:r w:rsidRPr="008F47F9">
              <w:rPr>
                <w:b/>
              </w:rPr>
              <w:t>№ п/п</w:t>
            </w:r>
          </w:p>
        </w:tc>
        <w:tc>
          <w:tcPr>
            <w:tcW w:w="1998" w:type="pct"/>
            <w:vAlign w:val="center"/>
          </w:tcPr>
          <w:p w14:paraId="6A726A48" w14:textId="77777777" w:rsidR="002140B5" w:rsidRPr="008F47F9" w:rsidRDefault="002140B5" w:rsidP="0019496A">
            <w:pPr>
              <w:jc w:val="center"/>
              <w:rPr>
                <w:b/>
              </w:rPr>
            </w:pPr>
            <w:r w:rsidRPr="008F47F9">
              <w:rPr>
                <w:b/>
              </w:rPr>
              <w:t>Наименование услуг</w:t>
            </w:r>
          </w:p>
        </w:tc>
        <w:tc>
          <w:tcPr>
            <w:tcW w:w="669" w:type="pct"/>
            <w:tcBorders>
              <w:right w:val="single" w:sz="4" w:space="0" w:color="000000"/>
            </w:tcBorders>
            <w:vAlign w:val="center"/>
          </w:tcPr>
          <w:p w14:paraId="4A01995C" w14:textId="636529C2" w:rsidR="002140B5" w:rsidRPr="0019496A" w:rsidRDefault="002140B5" w:rsidP="002140B5">
            <w:pPr>
              <w:jc w:val="center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EC60B" w14:textId="07192672" w:rsidR="002140B5" w:rsidRPr="008F47F9" w:rsidRDefault="002140B5" w:rsidP="002140B5">
            <w:pPr>
              <w:jc w:val="center"/>
              <w:rPr>
                <w:b/>
              </w:rPr>
            </w:pPr>
            <w:r w:rsidRPr="0019496A">
              <w:rPr>
                <w:b/>
              </w:rPr>
              <w:t xml:space="preserve">Количество       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B1A8C" w14:textId="5B5AA70D" w:rsidR="002140B5" w:rsidRPr="008F47F9" w:rsidRDefault="002140B5" w:rsidP="0019496A">
            <w:pPr>
              <w:jc w:val="center"/>
              <w:rPr>
                <w:b/>
              </w:rPr>
            </w:pPr>
            <w:r w:rsidRPr="0019496A">
              <w:rPr>
                <w:b/>
              </w:rPr>
              <w:t>Количество пользователей, шт.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AFAFF" w14:textId="3FC79755" w:rsidR="002140B5" w:rsidRPr="008F47F9" w:rsidRDefault="002140B5" w:rsidP="0019496A">
            <w:pPr>
              <w:jc w:val="center"/>
              <w:rPr>
                <w:b/>
              </w:rPr>
            </w:pPr>
            <w:r w:rsidRPr="0019496A">
              <w:rPr>
                <w:b/>
              </w:rPr>
              <w:t>Срок использования</w:t>
            </w:r>
          </w:p>
        </w:tc>
      </w:tr>
      <w:tr w:rsidR="00CF184D" w:rsidRPr="008F47F9" w14:paraId="1B08C52A" w14:textId="0EEF34F8" w:rsidTr="008C015E">
        <w:trPr>
          <w:trHeight w:val="454"/>
        </w:trPr>
        <w:tc>
          <w:tcPr>
            <w:tcW w:w="389" w:type="pct"/>
            <w:vAlign w:val="center"/>
          </w:tcPr>
          <w:p w14:paraId="1068DFCC" w14:textId="77777777" w:rsidR="00CF184D" w:rsidRPr="008F47F9" w:rsidRDefault="00CF184D" w:rsidP="00CF184D">
            <w:pPr>
              <w:jc w:val="center"/>
            </w:pPr>
            <w:r w:rsidRPr="008F47F9">
              <w:t>1.</w:t>
            </w:r>
          </w:p>
        </w:tc>
        <w:tc>
          <w:tcPr>
            <w:tcW w:w="1998" w:type="pct"/>
          </w:tcPr>
          <w:p w14:paraId="225E46DD" w14:textId="23D3A9FE" w:rsidR="00CF184D" w:rsidRPr="008F47F9" w:rsidRDefault="00CF184D" w:rsidP="00CF184D">
            <w:r w:rsidRPr="00B66EF9">
              <w:t xml:space="preserve">Оказание услуг по передаче неисключительных прав неисключительных прав использования электронной базы данных на условиях простой (неисключительной) лицензии системы </w:t>
            </w:r>
            <w:r w:rsidR="00582EFC">
              <w:t>Кадры</w:t>
            </w:r>
            <w:r w:rsidRPr="00B66EF9">
              <w:t xml:space="preserve"> </w:t>
            </w:r>
            <w:r w:rsidR="00582EFC">
              <w:t>П</w:t>
            </w:r>
            <w:r w:rsidRPr="00B66EF9">
              <w:t>люс</w:t>
            </w:r>
          </w:p>
        </w:tc>
        <w:tc>
          <w:tcPr>
            <w:tcW w:w="669" w:type="pct"/>
            <w:tcBorders>
              <w:right w:val="single" w:sz="4" w:space="0" w:color="000000"/>
            </w:tcBorders>
            <w:vAlign w:val="center"/>
          </w:tcPr>
          <w:p w14:paraId="567FE748" w14:textId="07215FC7" w:rsidR="00CF184D" w:rsidRPr="0019496A" w:rsidRDefault="00AA5596" w:rsidP="00CF184D">
            <w:pPr>
              <w:jc w:val="center"/>
              <w:rPr>
                <w:bCs/>
              </w:rPr>
            </w:pPr>
            <w:r>
              <w:rPr>
                <w:bCs/>
              </w:rPr>
              <w:t>у</w:t>
            </w:r>
            <w:r w:rsidR="00CF184D">
              <w:rPr>
                <w:bCs/>
              </w:rPr>
              <w:t>сл. ед.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15724" w14:textId="3A652D19" w:rsidR="00CF184D" w:rsidRPr="0019496A" w:rsidRDefault="00CF184D" w:rsidP="00CF184D">
            <w:pPr>
              <w:jc w:val="center"/>
              <w:rPr>
                <w:bCs/>
              </w:rPr>
            </w:pPr>
            <w:r w:rsidRPr="0019496A">
              <w:rPr>
                <w:bCs/>
              </w:rPr>
              <w:t>1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6489E" w14:textId="4170E84F" w:rsidR="00CF184D" w:rsidRPr="0019496A" w:rsidRDefault="00D2606F" w:rsidP="00CF184D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F542D" w14:textId="5B369900" w:rsidR="00CF184D" w:rsidRPr="0019496A" w:rsidRDefault="00CF184D" w:rsidP="00CF184D">
            <w:pPr>
              <w:jc w:val="center"/>
              <w:rPr>
                <w:bCs/>
              </w:rPr>
            </w:pPr>
            <w:r w:rsidRPr="0019496A">
              <w:rPr>
                <w:bCs/>
              </w:rPr>
              <w:t>12 мес.</w:t>
            </w:r>
          </w:p>
        </w:tc>
      </w:tr>
    </w:tbl>
    <w:p w14:paraId="346EF067" w14:textId="77777777" w:rsidR="00596D58" w:rsidRDefault="00596D58" w:rsidP="00596D58">
      <w:pPr>
        <w:spacing w:after="0"/>
        <w:ind w:firstLine="567"/>
        <w:rPr>
          <w:bCs/>
          <w:lang w:eastAsia="ru-RU"/>
        </w:rPr>
      </w:pPr>
    </w:p>
    <w:p w14:paraId="639D76B6" w14:textId="77777777" w:rsidR="00CF184D" w:rsidRDefault="00CF184D" w:rsidP="00596D58">
      <w:pPr>
        <w:spacing w:after="0"/>
        <w:ind w:firstLine="567"/>
        <w:rPr>
          <w:bCs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464"/>
        <w:gridCol w:w="851"/>
        <w:gridCol w:w="1702"/>
        <w:gridCol w:w="1699"/>
        <w:gridCol w:w="1981"/>
        <w:gridCol w:w="1421"/>
        <w:gridCol w:w="1292"/>
        <w:gridCol w:w="1537"/>
        <w:gridCol w:w="1531"/>
      </w:tblGrid>
      <w:tr w:rsidR="00CF184D" w:rsidRPr="00775A98" w14:paraId="5621697D" w14:textId="77777777" w:rsidTr="00CF184D">
        <w:trPr>
          <w:trHeight w:val="643"/>
          <w:jc w:val="center"/>
        </w:trPr>
        <w:tc>
          <w:tcPr>
            <w:tcW w:w="169" w:type="pct"/>
            <w:vMerge w:val="restart"/>
            <w:vAlign w:val="center"/>
          </w:tcPr>
          <w:p w14:paraId="1D2EF9B3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№ п/п</w:t>
            </w:r>
          </w:p>
        </w:tc>
        <w:tc>
          <w:tcPr>
            <w:tcW w:w="822" w:type="pct"/>
            <w:vMerge w:val="restart"/>
            <w:shd w:val="clear" w:color="auto" w:fill="FFFFFF" w:themeFill="background1"/>
            <w:vAlign w:val="center"/>
          </w:tcPr>
          <w:p w14:paraId="2E2E1B59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521FFA">
              <w:rPr>
                <w:b/>
                <w:bCs/>
                <w:color w:val="000000" w:themeColor="text1"/>
                <w:lang w:eastAsia="ru-RU"/>
              </w:rPr>
              <w:t>Наименование услуг</w:t>
            </w:r>
          </w:p>
        </w:tc>
        <w:tc>
          <w:tcPr>
            <w:tcW w:w="284" w:type="pct"/>
            <w:vMerge w:val="restart"/>
            <w:shd w:val="clear" w:color="auto" w:fill="FFFFFF" w:themeFill="background1"/>
            <w:vAlign w:val="center"/>
          </w:tcPr>
          <w:p w14:paraId="39DBFE93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 xml:space="preserve">Кол-во (объем) </w:t>
            </w:r>
            <w:r>
              <w:rPr>
                <w:b/>
                <w:bCs/>
                <w:color w:val="000000" w:themeColor="text1"/>
                <w:lang w:eastAsia="ru-RU"/>
              </w:rPr>
              <w:t>услуг</w:t>
            </w:r>
            <w:r w:rsidRPr="00775A98">
              <w:rPr>
                <w:b/>
                <w:bCs/>
                <w:color w:val="000000" w:themeColor="text1"/>
                <w:lang w:eastAsia="ru-RU"/>
              </w:rPr>
              <w:t xml:space="preserve"> и ед. изм.</w:t>
            </w:r>
          </w:p>
        </w:tc>
        <w:tc>
          <w:tcPr>
            <w:tcW w:w="2270" w:type="pct"/>
            <w:gridSpan w:val="4"/>
            <w:shd w:val="clear" w:color="auto" w:fill="FFFFFF" w:themeFill="background1"/>
            <w:vAlign w:val="center"/>
          </w:tcPr>
          <w:p w14:paraId="47C20DB1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Источник информации о цене единицы товара (работы, услуги)</w:t>
            </w:r>
          </w:p>
        </w:tc>
        <w:tc>
          <w:tcPr>
            <w:tcW w:w="431" w:type="pct"/>
            <w:vMerge w:val="restart"/>
            <w:shd w:val="clear" w:color="auto" w:fill="FFFFFF" w:themeFill="background1"/>
            <w:vAlign w:val="center"/>
          </w:tcPr>
          <w:p w14:paraId="7A94134B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Среднее квадратичное отклонение</w:t>
            </w:r>
          </w:p>
        </w:tc>
        <w:tc>
          <w:tcPr>
            <w:tcW w:w="513" w:type="pct"/>
            <w:vMerge w:val="restart"/>
            <w:vAlign w:val="center"/>
          </w:tcPr>
          <w:p w14:paraId="1DB515D7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Средняя цена, руб.</w:t>
            </w:r>
          </w:p>
        </w:tc>
        <w:tc>
          <w:tcPr>
            <w:tcW w:w="511" w:type="pct"/>
            <w:vMerge w:val="restart"/>
            <w:vAlign w:val="center"/>
          </w:tcPr>
          <w:p w14:paraId="47139AAB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Итого, руб.</w:t>
            </w:r>
          </w:p>
        </w:tc>
      </w:tr>
      <w:tr w:rsidR="00CF184D" w:rsidRPr="00775A98" w14:paraId="64A52E66" w14:textId="77777777" w:rsidTr="00CF184D">
        <w:trPr>
          <w:trHeight w:val="280"/>
          <w:jc w:val="center"/>
        </w:trPr>
        <w:tc>
          <w:tcPr>
            <w:tcW w:w="169" w:type="pct"/>
            <w:vMerge/>
            <w:vAlign w:val="center"/>
          </w:tcPr>
          <w:p w14:paraId="5AD8B24E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FFFFFF" w:themeFill="background1"/>
            <w:vAlign w:val="center"/>
          </w:tcPr>
          <w:p w14:paraId="463D48A1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FFFFFF" w:themeFill="background1"/>
            <w:vAlign w:val="center"/>
          </w:tcPr>
          <w:p w14:paraId="381830B7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1311A95C" w14:textId="77777777" w:rsidR="00CF184D" w:rsidRPr="00202D1F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02D1F">
              <w:rPr>
                <w:b/>
                <w:bCs/>
                <w:color w:val="000000" w:themeColor="text1"/>
                <w:lang w:eastAsia="ru-RU"/>
              </w:rPr>
              <w:t xml:space="preserve">Предложение № 1 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14:paraId="279AEFD6" w14:textId="77777777" w:rsidR="00CF184D" w:rsidRPr="00202D1F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02D1F">
              <w:rPr>
                <w:b/>
                <w:bCs/>
                <w:color w:val="000000" w:themeColor="text1"/>
                <w:lang w:eastAsia="ru-RU"/>
              </w:rPr>
              <w:t xml:space="preserve">Предложение № 2 </w:t>
            </w: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14:paraId="7DEFAE2B" w14:textId="77777777" w:rsidR="00CF184D" w:rsidRPr="00202D1F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02D1F">
              <w:rPr>
                <w:b/>
                <w:bCs/>
                <w:color w:val="000000" w:themeColor="text1"/>
                <w:lang w:eastAsia="ru-RU"/>
              </w:rPr>
              <w:t>Предложение № 3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6EF9A81F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Коэффициент вариации, в %</w:t>
            </w:r>
          </w:p>
        </w:tc>
        <w:tc>
          <w:tcPr>
            <w:tcW w:w="431" w:type="pct"/>
            <w:vMerge/>
            <w:shd w:val="clear" w:color="auto" w:fill="FFFFFF" w:themeFill="background1"/>
          </w:tcPr>
          <w:p w14:paraId="7AB39AE1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13" w:type="pct"/>
            <w:vMerge/>
          </w:tcPr>
          <w:p w14:paraId="5749A00D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11" w:type="pct"/>
            <w:vMerge/>
          </w:tcPr>
          <w:p w14:paraId="3E8DE55E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</w:tr>
      <w:tr w:rsidR="00CF184D" w:rsidRPr="00775A98" w14:paraId="72A1D7A1" w14:textId="77777777" w:rsidTr="00CF184D">
        <w:trPr>
          <w:trHeight w:val="263"/>
          <w:jc w:val="center"/>
        </w:trPr>
        <w:tc>
          <w:tcPr>
            <w:tcW w:w="169" w:type="pct"/>
            <w:vAlign w:val="center"/>
          </w:tcPr>
          <w:p w14:paraId="2FF1E46F" w14:textId="77777777" w:rsidR="00CF184D" w:rsidRPr="00775A98" w:rsidRDefault="00CF184D" w:rsidP="00CF184D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1.</w:t>
            </w:r>
          </w:p>
        </w:tc>
        <w:tc>
          <w:tcPr>
            <w:tcW w:w="822" w:type="pct"/>
            <w:shd w:val="clear" w:color="auto" w:fill="FFFFFF" w:themeFill="background1"/>
          </w:tcPr>
          <w:p w14:paraId="6DD546F2" w14:textId="6789D040" w:rsidR="00CF184D" w:rsidRPr="00775A98" w:rsidRDefault="00CF184D" w:rsidP="00CF184D">
            <w:pPr>
              <w:spacing w:after="0"/>
              <w:jc w:val="center"/>
              <w:rPr>
                <w:bCs/>
                <w:color w:val="000000" w:themeColor="text1"/>
                <w:lang w:eastAsia="ru-RU"/>
              </w:rPr>
            </w:pPr>
            <w:r w:rsidRPr="00F53559">
              <w:t xml:space="preserve">Оказание услуг по передаче неисключительных прав неисключительных прав использования электронной базы </w:t>
            </w:r>
            <w:r w:rsidRPr="00F53559">
              <w:lastRenderedPageBreak/>
              <w:t xml:space="preserve">данных на условиях простой (неисключительной) лицензии системы </w:t>
            </w:r>
            <w:r w:rsidR="00582EFC">
              <w:t>Кадры</w:t>
            </w:r>
            <w:r w:rsidRPr="00F53559">
              <w:t xml:space="preserve"> </w:t>
            </w:r>
            <w:r w:rsidR="00582EFC">
              <w:t>П</w:t>
            </w:r>
            <w:r w:rsidRPr="00F53559">
              <w:t>люс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2A0F9CD7" w14:textId="5A677908" w:rsidR="00CF184D" w:rsidRPr="00024FD6" w:rsidRDefault="00CF184D" w:rsidP="00CF184D">
            <w:pPr>
              <w:spacing w:after="0"/>
              <w:jc w:val="center"/>
              <w:rPr>
                <w:bCs/>
                <w:color w:val="000000" w:themeColor="text1"/>
                <w:lang w:eastAsia="ru-RU"/>
              </w:rPr>
            </w:pPr>
            <w:r>
              <w:lastRenderedPageBreak/>
              <w:t>1</w:t>
            </w:r>
            <w:r w:rsidRPr="00292496">
              <w:t xml:space="preserve"> </w:t>
            </w:r>
            <w:r>
              <w:t>усл. ед.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34009F60" w14:textId="5756C867" w:rsidR="00CF184D" w:rsidRPr="00024FD6" w:rsidRDefault="00582EFC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582EFC">
              <w:t>113 135,00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14:paraId="16EEF35B" w14:textId="762CA379" w:rsidR="00CF184D" w:rsidRPr="00024FD6" w:rsidRDefault="00582EFC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t>90 508</w:t>
            </w:r>
            <w:r w:rsidR="00CF184D" w:rsidRPr="00F86F30">
              <w:t>,00</w:t>
            </w: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14:paraId="67FA967D" w14:textId="73927122" w:rsidR="00CF184D" w:rsidRPr="00024FD6" w:rsidRDefault="00582EFC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582EFC">
              <w:t>108 610,00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136C2E9A" w14:textId="40A42A38" w:rsidR="00CF184D" w:rsidRPr="009C3A26" w:rsidRDefault="00582EFC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582EFC">
              <w:rPr>
                <w:color w:val="000000" w:themeColor="text1"/>
                <w:lang w:eastAsia="ru-RU"/>
              </w:rPr>
              <w:t>11,5%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384480B8" w14:textId="3648E334" w:rsidR="00CF184D" w:rsidRPr="009C3A26" w:rsidRDefault="00582EFC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582EFC">
              <w:rPr>
                <w:color w:val="000000" w:themeColor="text1"/>
                <w:lang w:eastAsia="ru-RU"/>
              </w:rPr>
              <w:t>11 973,1586</w:t>
            </w:r>
          </w:p>
        </w:tc>
        <w:tc>
          <w:tcPr>
            <w:tcW w:w="513" w:type="pct"/>
            <w:vAlign w:val="center"/>
          </w:tcPr>
          <w:p w14:paraId="370AE437" w14:textId="1878968D" w:rsidR="00CF184D" w:rsidRPr="003A7D56" w:rsidRDefault="00582EFC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582EFC">
              <w:rPr>
                <w:color w:val="000000" w:themeColor="text1"/>
                <w:lang w:eastAsia="ru-RU"/>
              </w:rPr>
              <w:t>104 084,33</w:t>
            </w:r>
          </w:p>
        </w:tc>
        <w:tc>
          <w:tcPr>
            <w:tcW w:w="511" w:type="pct"/>
            <w:vAlign w:val="center"/>
          </w:tcPr>
          <w:p w14:paraId="37E1F5DC" w14:textId="0F5A0657" w:rsidR="00CF184D" w:rsidRPr="00F75C41" w:rsidRDefault="00582EFC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582EFC">
              <w:rPr>
                <w:color w:val="000000" w:themeColor="text1"/>
                <w:lang w:eastAsia="ru-RU"/>
              </w:rPr>
              <w:t>104 084,33</w:t>
            </w:r>
          </w:p>
        </w:tc>
      </w:tr>
      <w:tr w:rsidR="00CF184D" w:rsidRPr="00775A98" w14:paraId="698F2BF4" w14:textId="77777777" w:rsidTr="009C3A26">
        <w:trPr>
          <w:trHeight w:val="554"/>
          <w:jc w:val="center"/>
        </w:trPr>
        <w:tc>
          <w:tcPr>
            <w:tcW w:w="4489" w:type="pct"/>
            <w:gridSpan w:val="9"/>
            <w:vAlign w:val="center"/>
          </w:tcPr>
          <w:p w14:paraId="6D006952" w14:textId="77777777" w:rsidR="00CF184D" w:rsidRPr="003A7D56" w:rsidRDefault="00CF184D" w:rsidP="00CF184D">
            <w:pPr>
              <w:tabs>
                <w:tab w:val="left" w:pos="1365"/>
              </w:tabs>
              <w:spacing w:after="0"/>
              <w:jc w:val="right"/>
              <w:rPr>
                <w:b/>
                <w:bCs/>
                <w:color w:val="000000" w:themeColor="text1"/>
                <w:lang w:eastAsia="ru-RU"/>
              </w:rPr>
            </w:pPr>
            <w:r w:rsidRPr="003A7D56">
              <w:rPr>
                <w:b/>
                <w:bCs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511" w:type="pct"/>
            <w:vAlign w:val="center"/>
          </w:tcPr>
          <w:p w14:paraId="43D550F2" w14:textId="0789BA3B" w:rsidR="00CF184D" w:rsidRPr="003A7D56" w:rsidRDefault="00582EFC" w:rsidP="00CF184D">
            <w:pPr>
              <w:tabs>
                <w:tab w:val="left" w:pos="1365"/>
              </w:tabs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582EFC">
              <w:rPr>
                <w:b/>
                <w:bCs/>
                <w:color w:val="000000" w:themeColor="text1"/>
                <w:lang w:eastAsia="ru-RU"/>
              </w:rPr>
              <w:t>104 084,33</w:t>
            </w:r>
          </w:p>
        </w:tc>
      </w:tr>
    </w:tbl>
    <w:p w14:paraId="71E72617" w14:textId="77777777" w:rsidR="00CF184D" w:rsidRPr="008F47F9" w:rsidRDefault="00CF184D" w:rsidP="00596D58">
      <w:pPr>
        <w:spacing w:after="0"/>
        <w:ind w:firstLine="567"/>
        <w:rPr>
          <w:bCs/>
          <w:lang w:eastAsia="ru-RU"/>
        </w:rPr>
      </w:pPr>
    </w:p>
    <w:p w14:paraId="5112BB6A" w14:textId="77777777" w:rsidR="002607E6" w:rsidRPr="008F47F9" w:rsidRDefault="002607E6" w:rsidP="00596D58">
      <w:pPr>
        <w:spacing w:after="0"/>
        <w:ind w:firstLine="567"/>
        <w:rPr>
          <w:bCs/>
          <w:lang w:eastAsia="ru-RU"/>
        </w:rPr>
      </w:pPr>
    </w:p>
    <w:p w14:paraId="688FB72E" w14:textId="77777777" w:rsidR="00596D58" w:rsidRPr="008F47F9" w:rsidRDefault="00596D58" w:rsidP="00596D58">
      <w:pPr>
        <w:spacing w:before="120" w:after="0"/>
        <w:ind w:firstLine="567"/>
        <w:rPr>
          <w:bCs/>
          <w:lang w:eastAsia="ru-RU"/>
        </w:rPr>
      </w:pPr>
      <w:r w:rsidRPr="008F47F9">
        <w:rPr>
          <w:bCs/>
          <w:lang w:eastAsia="ru-RU"/>
        </w:rPr>
        <w:t>В целях определения однородности совокупности значений выявленных цен, используемых при расчёте начальной (максимальной) цены определён коэффициент вариации.</w:t>
      </w:r>
    </w:p>
    <w:p w14:paraId="6C734FBA" w14:textId="77777777" w:rsidR="00596D58" w:rsidRPr="008F47F9" w:rsidRDefault="00596D58" w:rsidP="00596D58">
      <w:pPr>
        <w:spacing w:after="0"/>
        <w:ind w:firstLine="567"/>
        <w:jc w:val="center"/>
        <w:rPr>
          <w:b/>
          <w:bCs/>
          <w:highlight w:val="yellow"/>
          <w:lang w:eastAsia="ru-RU"/>
        </w:rPr>
      </w:pPr>
      <w:r w:rsidRPr="008F47F9">
        <w:rPr>
          <w:rFonts w:eastAsia="Calibri"/>
          <w:noProof/>
          <w:position w:val="-28"/>
          <w:lang w:eastAsia="ru-RU"/>
        </w:rPr>
        <w:drawing>
          <wp:inline distT="0" distB="0" distL="0" distR="0" wp14:anchorId="66F83307" wp14:editId="5ACA8728">
            <wp:extent cx="1457325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6819E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где:</w:t>
      </w:r>
    </w:p>
    <w:p w14:paraId="4067455E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V - коэффициент вариации;</w:t>
      </w:r>
    </w:p>
    <w:p w14:paraId="54DCFF1D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noProof/>
          <w:position w:val="-26"/>
          <w:lang w:eastAsia="ru-RU"/>
        </w:rPr>
        <w:drawing>
          <wp:inline distT="0" distB="0" distL="0" distR="0" wp14:anchorId="26AFF940" wp14:editId="47F9DF6C">
            <wp:extent cx="165735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7F9">
        <w:rPr>
          <w:rFonts w:eastAsia="Calibri"/>
          <w:lang w:eastAsia="en-US"/>
        </w:rPr>
        <w:t xml:space="preserve"> - среднее квадратичное отклонение;</w:t>
      </w:r>
    </w:p>
    <w:p w14:paraId="3D33DED1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i/>
          <w:lang w:eastAsia="en-US"/>
        </w:rPr>
        <w:t>ц</w:t>
      </w:r>
      <w:r w:rsidRPr="008F47F9">
        <w:rPr>
          <w:rFonts w:eastAsia="Calibri"/>
          <w:i/>
          <w:vertAlign w:val="subscript"/>
          <w:lang w:val="en-US" w:eastAsia="en-US"/>
        </w:rPr>
        <w:t>i</w:t>
      </w:r>
      <w:r w:rsidRPr="008F47F9">
        <w:rPr>
          <w:rFonts w:eastAsia="Calibri"/>
          <w:lang w:eastAsia="en-US"/>
        </w:rPr>
        <w:t xml:space="preserve"> - цена единицы товара, работы, услуги, указанная в источнике с номером i;</w:t>
      </w:r>
    </w:p>
    <w:p w14:paraId="09F7C541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&lt;ц&gt; - средняя арифметическая величина цены единицы товара, работы, услуги;</w:t>
      </w:r>
    </w:p>
    <w:p w14:paraId="0157137A" w14:textId="77777777" w:rsidR="00596D58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n - количество значений, используемых в расчёте.</w:t>
      </w:r>
    </w:p>
    <w:p w14:paraId="7814B033" w14:textId="77777777" w:rsidR="00596D58" w:rsidRDefault="00596D58" w:rsidP="00596D58">
      <w:pPr>
        <w:spacing w:after="0"/>
        <w:jc w:val="center"/>
        <w:rPr>
          <w:bCs/>
          <w:lang w:eastAsia="ru-RU"/>
        </w:rPr>
      </w:pPr>
    </w:p>
    <w:p w14:paraId="4CB88106" w14:textId="77777777" w:rsidR="00596D58" w:rsidRPr="008F47F9" w:rsidRDefault="00596D58" w:rsidP="00596D58">
      <w:pPr>
        <w:spacing w:after="0"/>
        <w:jc w:val="center"/>
        <w:rPr>
          <w:bCs/>
          <w:lang w:eastAsia="ru-RU"/>
        </w:rPr>
      </w:pPr>
      <w:r w:rsidRPr="008F47F9">
        <w:rPr>
          <w:bCs/>
          <w:lang w:eastAsia="ru-RU"/>
        </w:rPr>
        <w:t>Начальная (максимальная) цена вычисляется по формуле:</w:t>
      </w:r>
    </w:p>
    <w:p w14:paraId="5D3A9D9E" w14:textId="77777777" w:rsidR="00596D58" w:rsidRPr="008F47F9" w:rsidRDefault="00596D58" w:rsidP="00596D58">
      <w:pPr>
        <w:spacing w:after="0"/>
        <w:jc w:val="center"/>
        <w:rPr>
          <w:bCs/>
          <w:lang w:eastAsia="ru-RU"/>
        </w:rPr>
      </w:pPr>
      <w:r w:rsidRPr="008F47F9">
        <w:rPr>
          <w:rFonts w:ascii="Calibri" w:eastAsia="Calibri" w:hAnsi="Calibri" w:cs="Calibri"/>
          <w:noProof/>
          <w:position w:val="-24"/>
          <w:lang w:eastAsia="ru-RU"/>
        </w:rPr>
        <w:drawing>
          <wp:inline distT="0" distB="0" distL="0" distR="0" wp14:anchorId="57FCFD89" wp14:editId="1F975FAA">
            <wp:extent cx="2286000" cy="561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9975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где:</w:t>
      </w:r>
    </w:p>
    <w:p w14:paraId="00B4D5EE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НМЦК</w:t>
      </w:r>
      <w:r w:rsidRPr="008F47F9">
        <w:rPr>
          <w:rFonts w:eastAsia="Calibri"/>
          <w:vertAlign w:val="superscript"/>
          <w:lang w:eastAsia="en-US"/>
        </w:rPr>
        <w:t>рын</w:t>
      </w:r>
      <w:r w:rsidRPr="008F47F9">
        <w:rPr>
          <w:rFonts w:eastAsia="Calibri"/>
          <w:lang w:eastAsia="en-US"/>
        </w:rPr>
        <w:t>, определяемая методом сопоставимых рыночных цен (анализа рынка);</w:t>
      </w:r>
    </w:p>
    <w:p w14:paraId="347FB652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v - количество (объем) закупаемого товара (работы, услуги);</w:t>
      </w:r>
    </w:p>
    <w:p w14:paraId="22823DBC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n - количество значений, используемых в расчете;</w:t>
      </w:r>
    </w:p>
    <w:p w14:paraId="79872162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i - номер источника ценовой информации;</w:t>
      </w:r>
    </w:p>
    <w:p w14:paraId="5018AB1E" w14:textId="77777777" w:rsidR="00596D58" w:rsidRPr="008F47F9" w:rsidRDefault="00596D58" w:rsidP="00596D58">
      <w:pPr>
        <w:suppressAutoHyphens w:val="0"/>
        <w:spacing w:after="120"/>
        <w:ind w:right="-5" w:firstLine="567"/>
        <w:jc w:val="left"/>
        <w:rPr>
          <w:rFonts w:eastAsia="Calibri"/>
          <w:lang w:eastAsia="en-US"/>
        </w:rPr>
      </w:pPr>
      <w:r w:rsidRPr="008F47F9">
        <w:rPr>
          <w:rFonts w:eastAsia="Calibri"/>
          <w:i/>
          <w:lang w:eastAsia="en-US"/>
        </w:rPr>
        <w:t>ц</w:t>
      </w:r>
      <w:r w:rsidRPr="008F47F9">
        <w:rPr>
          <w:rFonts w:eastAsia="Calibri"/>
          <w:i/>
          <w:vertAlign w:val="subscript"/>
          <w:lang w:val="en-US" w:eastAsia="en-US"/>
        </w:rPr>
        <w:t>i</w:t>
      </w:r>
      <w:r w:rsidRPr="008F47F9">
        <w:rPr>
          <w:rFonts w:eastAsia="Calibri"/>
          <w:i/>
          <w:vertAlign w:val="subscript"/>
          <w:lang w:eastAsia="en-US"/>
        </w:rPr>
        <w:t xml:space="preserve"> </w:t>
      </w:r>
      <w:r w:rsidRPr="008F47F9">
        <w:rPr>
          <w:rFonts w:eastAsia="Calibri"/>
          <w:lang w:eastAsia="en-US"/>
        </w:rPr>
        <w:t xml:space="preserve">- цена единицы товара, работы, услуги, представленная в источнике с номером i. </w:t>
      </w:r>
    </w:p>
    <w:p w14:paraId="334E51E2" w14:textId="77777777" w:rsidR="00596D58" w:rsidRPr="008F47F9" w:rsidRDefault="00596D58" w:rsidP="00596D58">
      <w:pPr>
        <w:tabs>
          <w:tab w:val="left" w:pos="1276"/>
        </w:tabs>
        <w:spacing w:after="0"/>
        <w:ind w:firstLine="567"/>
      </w:pPr>
    </w:p>
    <w:p w14:paraId="728FCF60" w14:textId="77777777" w:rsidR="00596D58" w:rsidRPr="008F47F9" w:rsidRDefault="00596D58" w:rsidP="00596D58">
      <w:pPr>
        <w:tabs>
          <w:tab w:val="left" w:pos="1276"/>
        </w:tabs>
        <w:spacing w:after="0"/>
        <w:ind w:firstLine="567"/>
        <w:jc w:val="left"/>
      </w:pPr>
    </w:p>
    <w:p w14:paraId="12139961" w14:textId="77777777" w:rsidR="00596D58" w:rsidRPr="008F47F9" w:rsidRDefault="00596D58" w:rsidP="00596D58">
      <w:pPr>
        <w:tabs>
          <w:tab w:val="left" w:pos="1276"/>
        </w:tabs>
        <w:spacing w:after="0"/>
        <w:ind w:firstLine="567"/>
      </w:pPr>
      <w:r w:rsidRPr="008F47F9">
        <w:t xml:space="preserve">Таким образом, начальная (максимальная) цена </w:t>
      </w:r>
      <w:r w:rsidRPr="008F47F9">
        <w:rPr>
          <w:bCs/>
        </w:rPr>
        <w:t xml:space="preserve">гражданско-правового договора </w:t>
      </w:r>
      <w:r w:rsidRPr="008F47F9">
        <w:t>равняется:</w:t>
      </w:r>
    </w:p>
    <w:p w14:paraId="00D3545B" w14:textId="77777777" w:rsidR="00860004" w:rsidRPr="008F47F9" w:rsidRDefault="00860004" w:rsidP="00596D58">
      <w:pPr>
        <w:tabs>
          <w:tab w:val="left" w:pos="1276"/>
        </w:tabs>
        <w:spacing w:after="0"/>
        <w:ind w:firstLine="567"/>
      </w:pPr>
    </w:p>
    <w:tbl>
      <w:tblPr>
        <w:tblW w:w="13041" w:type="dxa"/>
        <w:tblInd w:w="426" w:type="dxa"/>
        <w:tblLook w:val="04A0" w:firstRow="1" w:lastRow="0" w:firstColumn="1" w:lastColumn="0" w:noHBand="0" w:noVBand="1"/>
      </w:tblPr>
      <w:tblGrid>
        <w:gridCol w:w="2121"/>
        <w:gridCol w:w="10920"/>
      </w:tblGrid>
      <w:tr w:rsidR="00596D58" w:rsidRPr="008F47F9" w14:paraId="17253578" w14:textId="77777777" w:rsidTr="00183A99">
        <w:trPr>
          <w:trHeight w:val="80"/>
        </w:trPr>
        <w:tc>
          <w:tcPr>
            <w:tcW w:w="2121" w:type="dxa"/>
            <w:vAlign w:val="center"/>
          </w:tcPr>
          <w:p w14:paraId="4E0B39A3" w14:textId="0C6096BF" w:rsidR="00596D58" w:rsidRPr="009C3A26" w:rsidRDefault="00582EFC" w:rsidP="00183A99">
            <w:pPr>
              <w:tabs>
                <w:tab w:val="left" w:pos="891"/>
              </w:tabs>
              <w:spacing w:after="0"/>
              <w:ind w:right="-51"/>
              <w:jc w:val="center"/>
              <w:rPr>
                <w:b/>
                <w:color w:val="000000" w:themeColor="text1"/>
                <w:lang w:val="en-US"/>
              </w:rPr>
            </w:pPr>
            <w:r w:rsidRPr="00582EFC">
              <w:rPr>
                <w:b/>
                <w:color w:val="000000" w:themeColor="text1"/>
              </w:rPr>
              <w:t>104 084,33</w:t>
            </w:r>
          </w:p>
        </w:tc>
        <w:tc>
          <w:tcPr>
            <w:tcW w:w="10920" w:type="dxa"/>
            <w:vAlign w:val="center"/>
          </w:tcPr>
          <w:p w14:paraId="1FAEFCCE" w14:textId="6767C338" w:rsidR="00596D58" w:rsidRPr="008F47F9" w:rsidRDefault="005D757D" w:rsidP="00D65C19">
            <w:pPr>
              <w:tabs>
                <w:tab w:val="left" w:pos="1276"/>
              </w:tabs>
              <w:spacing w:after="0"/>
              <w:ind w:left="-25" w:right="-108"/>
              <w:jc w:val="center"/>
              <w:rPr>
                <w:b/>
              </w:rPr>
            </w:pPr>
            <w:r w:rsidRPr="005D757D">
              <w:rPr>
                <w:b/>
              </w:rPr>
              <w:t>(</w:t>
            </w:r>
            <w:r w:rsidR="00582EFC">
              <w:rPr>
                <w:b/>
              </w:rPr>
              <w:t>Сто четыре</w:t>
            </w:r>
            <w:r w:rsidR="009C3A26">
              <w:rPr>
                <w:b/>
              </w:rPr>
              <w:t xml:space="preserve"> тысяч</w:t>
            </w:r>
            <w:r w:rsidR="00582EFC">
              <w:rPr>
                <w:b/>
              </w:rPr>
              <w:t>и</w:t>
            </w:r>
            <w:r w:rsidR="009C3A26">
              <w:rPr>
                <w:b/>
              </w:rPr>
              <w:t xml:space="preserve"> восемь</w:t>
            </w:r>
            <w:r w:rsidR="00582EFC">
              <w:rPr>
                <w:b/>
              </w:rPr>
              <w:t>десят</w:t>
            </w:r>
            <w:r w:rsidR="009C3A26">
              <w:rPr>
                <w:b/>
              </w:rPr>
              <w:t xml:space="preserve"> </w:t>
            </w:r>
            <w:r w:rsidR="00582EFC">
              <w:rPr>
                <w:b/>
              </w:rPr>
              <w:t>четыре</w:t>
            </w:r>
            <w:r w:rsidRPr="005D757D">
              <w:rPr>
                <w:b/>
              </w:rPr>
              <w:t>) рубл</w:t>
            </w:r>
            <w:r w:rsidR="00582EFC">
              <w:rPr>
                <w:b/>
              </w:rPr>
              <w:t>я</w:t>
            </w:r>
            <w:r w:rsidRPr="005D757D">
              <w:rPr>
                <w:b/>
              </w:rPr>
              <w:t xml:space="preserve"> </w:t>
            </w:r>
            <w:r w:rsidR="009C3A26">
              <w:rPr>
                <w:b/>
              </w:rPr>
              <w:t>33</w:t>
            </w:r>
            <w:r w:rsidRPr="005D757D">
              <w:rPr>
                <w:b/>
              </w:rPr>
              <w:t xml:space="preserve"> </w:t>
            </w:r>
            <w:r w:rsidR="009C3A26">
              <w:rPr>
                <w:b/>
              </w:rPr>
              <w:t>копейки</w:t>
            </w:r>
          </w:p>
        </w:tc>
      </w:tr>
      <w:tr w:rsidR="00596D58" w:rsidRPr="008F47F9" w14:paraId="00A221D2" w14:textId="77777777" w:rsidTr="00183A99">
        <w:trPr>
          <w:trHeight w:val="153"/>
        </w:trPr>
        <w:tc>
          <w:tcPr>
            <w:tcW w:w="2121" w:type="dxa"/>
            <w:vAlign w:val="center"/>
          </w:tcPr>
          <w:p w14:paraId="0980ECC7" w14:textId="77777777" w:rsidR="00596D58" w:rsidRPr="008F47F9" w:rsidRDefault="00596D58" w:rsidP="00183A99">
            <w:pPr>
              <w:tabs>
                <w:tab w:val="left" w:pos="1276"/>
              </w:tabs>
              <w:spacing w:after="0"/>
              <w:jc w:val="center"/>
              <w:rPr>
                <w:b/>
                <w:i/>
              </w:rPr>
            </w:pPr>
            <w:r w:rsidRPr="008F47F9">
              <w:rPr>
                <w:i/>
              </w:rPr>
              <w:t>(цифрами)</w:t>
            </w:r>
          </w:p>
        </w:tc>
        <w:tc>
          <w:tcPr>
            <w:tcW w:w="10920" w:type="dxa"/>
            <w:vAlign w:val="center"/>
          </w:tcPr>
          <w:p w14:paraId="320839E7" w14:textId="77777777" w:rsidR="00596D58" w:rsidRPr="008F47F9" w:rsidRDefault="00596D58" w:rsidP="00D65C19">
            <w:pPr>
              <w:tabs>
                <w:tab w:val="left" w:pos="1276"/>
              </w:tabs>
              <w:spacing w:after="0"/>
              <w:jc w:val="center"/>
              <w:rPr>
                <w:b/>
                <w:i/>
              </w:rPr>
            </w:pPr>
            <w:r w:rsidRPr="008F47F9">
              <w:rPr>
                <w:i/>
              </w:rPr>
              <w:t>(прописью)</w:t>
            </w:r>
          </w:p>
        </w:tc>
      </w:tr>
    </w:tbl>
    <w:p w14:paraId="14828E2D" w14:textId="77777777" w:rsidR="004B191F" w:rsidRPr="008F47F9" w:rsidRDefault="004B191F" w:rsidP="004B191F">
      <w:pPr>
        <w:ind w:firstLine="708"/>
        <w:rPr>
          <w:rFonts w:eastAsia="Calibri"/>
        </w:rPr>
      </w:pPr>
    </w:p>
    <w:sectPr w:rsidR="004B191F" w:rsidRPr="008F47F9" w:rsidSect="008F47F9">
      <w:footerReference w:type="default" r:id="rId10"/>
      <w:pgSz w:w="16838" w:h="11906" w:orient="landscape"/>
      <w:pgMar w:top="993" w:right="709" w:bottom="84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402E" w14:textId="77777777" w:rsidR="0053404D" w:rsidRDefault="0053404D">
      <w:pPr>
        <w:spacing w:after="0"/>
      </w:pPr>
      <w:r>
        <w:separator/>
      </w:r>
    </w:p>
  </w:endnote>
  <w:endnote w:type="continuationSeparator" w:id="0">
    <w:p w14:paraId="22DC56F5" w14:textId="77777777" w:rsidR="0053404D" w:rsidRDefault="005340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03E4" w14:textId="024EF75B" w:rsidR="00F619EA" w:rsidRPr="00582EFC" w:rsidRDefault="00F619EA">
    <w:pPr>
      <w:pStyle w:val="a4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6F43" w14:textId="77777777" w:rsidR="0053404D" w:rsidRDefault="0053404D">
      <w:pPr>
        <w:spacing w:after="0"/>
      </w:pPr>
      <w:r>
        <w:separator/>
      </w:r>
    </w:p>
  </w:footnote>
  <w:footnote w:type="continuationSeparator" w:id="0">
    <w:p w14:paraId="16289863" w14:textId="77777777" w:rsidR="0053404D" w:rsidRDefault="005340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EC"/>
    <w:rsid w:val="00002136"/>
    <w:rsid w:val="00021A85"/>
    <w:rsid w:val="00022677"/>
    <w:rsid w:val="000304F8"/>
    <w:rsid w:val="00032B44"/>
    <w:rsid w:val="000348EA"/>
    <w:rsid w:val="00040A51"/>
    <w:rsid w:val="00097AEF"/>
    <w:rsid w:val="000A4FF8"/>
    <w:rsid w:val="000A7EB5"/>
    <w:rsid w:val="00101E54"/>
    <w:rsid w:val="00104CEF"/>
    <w:rsid w:val="00123E51"/>
    <w:rsid w:val="00130AA7"/>
    <w:rsid w:val="00144BCE"/>
    <w:rsid w:val="00147EB3"/>
    <w:rsid w:val="00165528"/>
    <w:rsid w:val="0017204B"/>
    <w:rsid w:val="00177DBA"/>
    <w:rsid w:val="00183A99"/>
    <w:rsid w:val="0019496A"/>
    <w:rsid w:val="001D3894"/>
    <w:rsid w:val="001D7D44"/>
    <w:rsid w:val="001F5D83"/>
    <w:rsid w:val="002140B5"/>
    <w:rsid w:val="00231033"/>
    <w:rsid w:val="00252236"/>
    <w:rsid w:val="002607E6"/>
    <w:rsid w:val="002617C9"/>
    <w:rsid w:val="00261D3F"/>
    <w:rsid w:val="002627F0"/>
    <w:rsid w:val="002A284E"/>
    <w:rsid w:val="00301D6B"/>
    <w:rsid w:val="003033C1"/>
    <w:rsid w:val="003043D9"/>
    <w:rsid w:val="003069DE"/>
    <w:rsid w:val="00310DCE"/>
    <w:rsid w:val="00314831"/>
    <w:rsid w:val="00321346"/>
    <w:rsid w:val="00332E8F"/>
    <w:rsid w:val="0034395D"/>
    <w:rsid w:val="003B1664"/>
    <w:rsid w:val="00423D4E"/>
    <w:rsid w:val="00433C54"/>
    <w:rsid w:val="00441932"/>
    <w:rsid w:val="00461303"/>
    <w:rsid w:val="0047723F"/>
    <w:rsid w:val="00477B05"/>
    <w:rsid w:val="00494DDF"/>
    <w:rsid w:val="004B191F"/>
    <w:rsid w:val="004B4C7F"/>
    <w:rsid w:val="004D588B"/>
    <w:rsid w:val="004D61E4"/>
    <w:rsid w:val="004D7487"/>
    <w:rsid w:val="004E3DF2"/>
    <w:rsid w:val="00504296"/>
    <w:rsid w:val="00506027"/>
    <w:rsid w:val="00513B12"/>
    <w:rsid w:val="00532564"/>
    <w:rsid w:val="0053404D"/>
    <w:rsid w:val="00543418"/>
    <w:rsid w:val="00566048"/>
    <w:rsid w:val="00571F69"/>
    <w:rsid w:val="00577ED8"/>
    <w:rsid w:val="00582EFC"/>
    <w:rsid w:val="00586CEC"/>
    <w:rsid w:val="0059216C"/>
    <w:rsid w:val="00596D58"/>
    <w:rsid w:val="005A1AFC"/>
    <w:rsid w:val="005A5C0F"/>
    <w:rsid w:val="005B0C37"/>
    <w:rsid w:val="005C7440"/>
    <w:rsid w:val="005D0B54"/>
    <w:rsid w:val="005D757D"/>
    <w:rsid w:val="006339DE"/>
    <w:rsid w:val="00636C6F"/>
    <w:rsid w:val="0064112A"/>
    <w:rsid w:val="00643EBF"/>
    <w:rsid w:val="00650035"/>
    <w:rsid w:val="00690F9C"/>
    <w:rsid w:val="006937E0"/>
    <w:rsid w:val="006B6181"/>
    <w:rsid w:val="006B7681"/>
    <w:rsid w:val="006D1319"/>
    <w:rsid w:val="006D6273"/>
    <w:rsid w:val="006E6878"/>
    <w:rsid w:val="00703664"/>
    <w:rsid w:val="00704701"/>
    <w:rsid w:val="007208EE"/>
    <w:rsid w:val="00751DE9"/>
    <w:rsid w:val="007A4977"/>
    <w:rsid w:val="007B1A3D"/>
    <w:rsid w:val="007B3F9A"/>
    <w:rsid w:val="007D4861"/>
    <w:rsid w:val="007E2792"/>
    <w:rsid w:val="007F7546"/>
    <w:rsid w:val="00810D67"/>
    <w:rsid w:val="00842389"/>
    <w:rsid w:val="00860004"/>
    <w:rsid w:val="008624B7"/>
    <w:rsid w:val="0086351A"/>
    <w:rsid w:val="008B23BC"/>
    <w:rsid w:val="008B391D"/>
    <w:rsid w:val="008B4B99"/>
    <w:rsid w:val="008C734F"/>
    <w:rsid w:val="008D24C6"/>
    <w:rsid w:val="008D63E9"/>
    <w:rsid w:val="008D737A"/>
    <w:rsid w:val="008F47F9"/>
    <w:rsid w:val="009009EC"/>
    <w:rsid w:val="009020CB"/>
    <w:rsid w:val="00921877"/>
    <w:rsid w:val="00940E5A"/>
    <w:rsid w:val="00966598"/>
    <w:rsid w:val="00984952"/>
    <w:rsid w:val="00993EAB"/>
    <w:rsid w:val="009C3A26"/>
    <w:rsid w:val="009C66BC"/>
    <w:rsid w:val="009D4973"/>
    <w:rsid w:val="00A269D1"/>
    <w:rsid w:val="00A473B2"/>
    <w:rsid w:val="00A57D7C"/>
    <w:rsid w:val="00A618A6"/>
    <w:rsid w:val="00A91051"/>
    <w:rsid w:val="00AA5596"/>
    <w:rsid w:val="00AB6487"/>
    <w:rsid w:val="00AF75AF"/>
    <w:rsid w:val="00B101FC"/>
    <w:rsid w:val="00B300AD"/>
    <w:rsid w:val="00B55CFB"/>
    <w:rsid w:val="00B64C38"/>
    <w:rsid w:val="00B74EF5"/>
    <w:rsid w:val="00C12262"/>
    <w:rsid w:val="00C57825"/>
    <w:rsid w:val="00C57CFA"/>
    <w:rsid w:val="00C73F4F"/>
    <w:rsid w:val="00C85C9A"/>
    <w:rsid w:val="00CA03E2"/>
    <w:rsid w:val="00CB30DA"/>
    <w:rsid w:val="00CB4B4A"/>
    <w:rsid w:val="00CD03AB"/>
    <w:rsid w:val="00CF1658"/>
    <w:rsid w:val="00CF184D"/>
    <w:rsid w:val="00CF2893"/>
    <w:rsid w:val="00D2606F"/>
    <w:rsid w:val="00D34D62"/>
    <w:rsid w:val="00D45CB9"/>
    <w:rsid w:val="00D540C0"/>
    <w:rsid w:val="00D76BEA"/>
    <w:rsid w:val="00D86854"/>
    <w:rsid w:val="00D9659C"/>
    <w:rsid w:val="00DB21A4"/>
    <w:rsid w:val="00DC20C9"/>
    <w:rsid w:val="00DC4665"/>
    <w:rsid w:val="00DF6C01"/>
    <w:rsid w:val="00E01EEB"/>
    <w:rsid w:val="00E055A0"/>
    <w:rsid w:val="00E13926"/>
    <w:rsid w:val="00E23B22"/>
    <w:rsid w:val="00E9055B"/>
    <w:rsid w:val="00EB7486"/>
    <w:rsid w:val="00EC278E"/>
    <w:rsid w:val="00ED6291"/>
    <w:rsid w:val="00EE4809"/>
    <w:rsid w:val="00F57126"/>
    <w:rsid w:val="00F619EA"/>
    <w:rsid w:val="00FA47E0"/>
    <w:rsid w:val="00FA7835"/>
    <w:rsid w:val="00FB1641"/>
    <w:rsid w:val="00FD6889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D8D8"/>
  <w15:chartTrackingRefBased/>
  <w15:docId w15:val="{149BDE57-020C-4078-8820-31A6BF15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0B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4D7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D7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F16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CF165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imesNewRoman14">
    <w:name w:val="Стиль Название + Times New Roman 14 пт не полужирный Черный Меж..."/>
    <w:basedOn w:val="a"/>
    <w:rsid w:val="009C66BC"/>
    <w:pPr>
      <w:suppressAutoHyphens w:val="0"/>
      <w:spacing w:after="0" w:line="300" w:lineRule="exact"/>
      <w:jc w:val="left"/>
    </w:pPr>
    <w:rPr>
      <w:b/>
      <w:color w:val="000000"/>
      <w:spacing w:val="-2"/>
      <w:kern w:val="32"/>
      <w:sz w:val="28"/>
      <w:szCs w:val="28"/>
      <w:lang w:eastAsia="ru-RU"/>
    </w:rPr>
  </w:style>
  <w:style w:type="table" w:customStyle="1" w:styleId="121">
    <w:name w:val="Сетка таблицы121"/>
    <w:basedOn w:val="a1"/>
    <w:next w:val="a3"/>
    <w:uiPriority w:val="59"/>
    <w:rsid w:val="004B1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qFormat/>
    <w:rsid w:val="0019496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582EFC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582EF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59756-78C9-40FF-B3FD-4D9F077D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Луиза Артемовна</dc:creator>
  <cp:keywords/>
  <dc:description/>
  <cp:lastModifiedBy>Сингх Ангелина Джарнаиловна</cp:lastModifiedBy>
  <cp:revision>10</cp:revision>
  <cp:lastPrinted>2024-07-02T09:20:00Z</cp:lastPrinted>
  <dcterms:created xsi:type="dcterms:W3CDTF">2025-05-28T10:46:00Z</dcterms:created>
  <dcterms:modified xsi:type="dcterms:W3CDTF">2026-06-25T13:30:00Z</dcterms:modified>
</cp:coreProperties>
</file>