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374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834"/>
        <w:gridCol w:w="4704"/>
        <w:gridCol w:w="2836"/>
      </w:tblGrid>
      <w:tr>
        <w:tblPrEx/>
        <w:trPr/>
        <w:tc>
          <w:tcPr>
            <w:tcW w:w="2834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Mar>
              <w:left w:w="108" w:type="dxa"/>
              <w:right w:w="108" w:type="dxa"/>
            </w:tcMar>
            <w:tcW w:w="4704" w:type="dxa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ЛИЦЕНЗИОННЫЙ ДОГОВОР (КОНТРАКТ) № -</w:t>
            </w:r>
            <w:r>
              <w:rPr>
                <w:rFonts w:ascii="Times New Roman" w:hAnsi="Times New Roman"/>
                <w:b/>
                <w:bCs/>
                <w:color w:val="000000"/>
              </w:rPr>
            </w:r>
          </w:p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на право использования программы для ЭВМ «Контур.Фокус»</w:t>
            </w:r>
            <w:r/>
          </w:p>
        </w:tc>
        <w:tc>
          <w:tcPr>
            <w:tcMar>
              <w:left w:w="108" w:type="dxa"/>
              <w:right w:w="108" w:type="dxa"/>
            </w:tcMar>
            <w:tcW w:w="2836" w:type="dxa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3560" cy="543560"/>
                      <wp:effectExtent l="0" t="0" r="0" b="0"/>
                      <wp:docPr id="1" name="Изображение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Изображение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3560" cy="5435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80pt;height:42.8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</w:rPr>
            </w:r>
          </w:p>
        </w:tc>
      </w:tr>
    </w:tbl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___________________________________________________, именуемое в дальнейшем Лицензиар, в лице _______________________________________, действующей на основании __________________, с одной стороны, и ФГБОУ ВО</w:t>
      </w:r>
      <w:r>
        <w:rPr>
          <w:rFonts w:ascii="Times New Roman" w:hAnsi="Times New Roman"/>
          <w:color w:val="000000"/>
        </w:rPr>
        <w:t xml:space="preserve"> “АЛТАЙСКИЙ ГОСУДАРСТВЕННЫЙ УНИВЕРСИТЕТ”,АЛТГУ,АЛТАЙСКИЙ ГОСУДАРСТВЕННЫЙ УНИВЕРСИТЕТ, именуемый в дальнейшем Лицензиат, в лице Ректора Бочарова Сергея Николаевича, действующего на основании Устава, с другой стороны, совместно именуемые в дальнейшем Стороны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709"/>
        <w:jc w:val="both"/>
        <w:spacing w:before="0"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на основании пункта 5 части 1 статьи 93 </w:t>
      </w:r>
      <w:r>
        <w:rPr>
          <w:rFonts w:ascii="Times New Roman" w:hAnsi="Times New Roman"/>
          <w:lang w:eastAsia="zh-CN"/>
        </w:rPr>
        <w:t xml:space="preserve">Федерального закона № 44-ФЗ от 05 апреля 2013 г. «О контрактной системе в сфере закупок товаров, работ, услуг для обеспечения государственных и муниципальных нужд» (заявка Z-26-01261), заключили настоящий Контракт, (далее – Контракт) о нижеследующем:</w:t>
      </w:r>
      <w:r>
        <w:rPr>
          <w:rFonts w:ascii="Times New Roman" w:hAnsi="Times New Roman"/>
          <w:lang w:eastAsia="zh-CN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1. Термины и определения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1.1. Контур.Фокус − результат интеллектуальной деятельности − программа для ЭВМ «Контур.Фокус» (в том числе интеграционные и иные модули, п</w:t>
      </w:r>
      <w:r>
        <w:rPr>
          <w:rFonts w:ascii="Times New Roman" w:hAnsi="Times New Roman"/>
          <w:color w:val="000000"/>
        </w:rPr>
        <w:t xml:space="preserve">редусмотренные Прайс-листом и позволяющие Лицензиату использовать дополнительную функциональность Контур.Фокуса) (далее – Продукт), предназначенная для получения и интеллектуальной обработки информации о юридических лицах и индивидуальных предпринимателях.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1.2. Спецификация (Приложение № 1 к Лицензионному договору) − документ, содержащий информацию о стоимости и комплекте предоставляемых Лицензиату прав использования программ для ЭВМ и оказываемых услуг/выполняемых работ.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1.3. Конечный пользователь – юридическое лицо или индивидуальный предприниматель − аффилированное лицо Лицензиата, в интересах которого действует Лицензиат в рамках Лицензионного договора. </w:t>
      </w:r>
      <w:r>
        <w:rPr>
          <w:rFonts w:ascii="Times New Roman" w:hAnsi="Times New Roman"/>
          <w:color w:val="000000"/>
        </w:rPr>
        <w:t xml:space="preserve">Ответственность за ознакомление Конечного пользователя с текстом Лицензионного договора лежит на Лицензиате. Конечный пользователь идентифицируется по уникальному ИНН. Все условия Лицензионного договора, за исключением условий, установленных п. 4.2.1, а та</w:t>
      </w:r>
      <w:r>
        <w:rPr>
          <w:rFonts w:ascii="Times New Roman" w:hAnsi="Times New Roman"/>
          <w:color w:val="000000"/>
        </w:rPr>
        <w:t xml:space="preserve">кже разделами 5-6, 11, распространяются в равной степени как на Лицензиата, так и на Конечных пользователей. Конечные пользователи обладают теми же правами и несут те же обязанности по Лицензионному договору, что и Лицензиат. Везде в Лицензионном договоре,</w:t>
      </w:r>
      <w:r>
        <w:rPr>
          <w:rFonts w:ascii="Times New Roman" w:hAnsi="Times New Roman"/>
          <w:color w:val="000000"/>
        </w:rPr>
        <w:t xml:space="preserve"> за исключением п. 4.2.1, а также разделов 5-6, 11, при упоминании Лицензиата подразумевается также Конечный пользователь. В случае необходимости приобретения Лицензиатом или Конечными пользователями лицензий на использование Продукта и/или лицензий на ино</w:t>
      </w:r>
      <w:r>
        <w:rPr>
          <w:rFonts w:ascii="Times New Roman" w:hAnsi="Times New Roman"/>
          <w:color w:val="000000"/>
        </w:rPr>
        <w:t xml:space="preserve">е программное обеспечение, а также оказания услуг или выполнения работ, предусмотренных Прайс-листом, такие лицензии, услуги и работы приобретаются отдельно в отношении Лицензиата и/или каждого Конечного пользователя, если Прайс-листом не установлено иное.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1.4. Список Конечных пользователей (Приложение № 2 к Лицензионному договору) – документ, содержащий информацию о Конечных пользователях, являющийся неотъемлемой частью Лицензионного договора в том случае, если Лицензиат в </w:t>
      </w:r>
      <w:r>
        <w:rPr>
          <w:rFonts w:ascii="Times New Roman" w:hAnsi="Times New Roman"/>
          <w:color w:val="000000"/>
        </w:rPr>
        <w:t xml:space="preserve">рамках Лицензионного договора действует не только в своих интересах, но и в интересах Конечных пользователей. В случае необходимости изменения Конечных пользователей Стороны оформляют и подписывают дополнительный Список Конечных пользователей (также являющ</w:t>
      </w:r>
      <w:r>
        <w:rPr>
          <w:rFonts w:ascii="Times New Roman" w:hAnsi="Times New Roman"/>
          <w:color w:val="000000"/>
        </w:rPr>
        <w:t xml:space="preserve">ийся Приложением № 2 к Лицензионному договору). Каждый новый Список Конечных пользователей не заменяет предыдущую редакцию Списка Конечных пользователей. Лицензионный договор считается заключенным в интересах перечисленных в Списке Конечных пользователей д</w:t>
      </w:r>
      <w:r>
        <w:rPr>
          <w:rFonts w:ascii="Times New Roman" w:hAnsi="Times New Roman"/>
          <w:color w:val="000000"/>
        </w:rPr>
        <w:t xml:space="preserve">о окончания срока действия лицензий, если в Списке Конечных пользователей не предусмотрено иное.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1.5. Тарифный план – совокупность предоставляемых Лицензиаром неисключительных прав использования Продукта. Состав Тарифного плана определяется Прайс-листом.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1.6. Прайс-лист − документ (неотъемлемая часть Лицензионного договора), отражающий ценовую политику Лицензиара и состав Тарифных планов. Действующая редакция основного Прайс-листа публикуется на сайте </w:t>
      </w:r>
      <w:hyperlink r:id="rId9" w:tooltip="https://focus.kontur.ru/site/price" w:history="1">
        <w:r>
          <w:rPr>
            <w:rFonts w:ascii="Times New Roman" w:hAnsi="Times New Roman"/>
            <w:color w:val="0000cd"/>
          </w:rPr>
          <w:t xml:space="preserve">https://focus.kontur.ru/site/price</w:t>
        </w:r>
      </w:hyperlink>
      <w:r>
        <w:rPr>
          <w:rFonts w:ascii="Times New Roman" w:hAnsi="Times New Roman"/>
          <w:color w:val="000000"/>
        </w:rPr>
        <w:t xml:space="preserve">. Дополнительные Прайс-листы представляются по требованию Лицензиата. Лицензиар имеет право в одностороннем порядке вносить изменения и/или дополнения в Прайс-лист путем публикации на сайте.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1.7. Программный интерфейс API (Application Programming Interface) – интерфейс прикладного программирования Продукта, позволяющий провести интеграцию Продукта с любой учетной системой Лицензиата.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1.8. Ключ разработчика – последовательность символов, буквенно-цифровой код, позволяющий получить доступ к функциональным возможностям Продукта, используя программные методы API.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1.9. АPI-лицензия – передаваемые неисключительные права использования Продукта в формате API, предназначенные для осуществления интеграции Продукта с информационной системой Лицензиата. Состав API-лицензии определяется Прайс-листом.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1.10. Подсистема − подсистема Продукта, взаимодействующая с API Продукта. Подсистема устанавливается на оборудовании Лицензиата. Состав Подсистемы определяется Прайс-листом.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1.11. Пользователь – физическое лицо, уполномоченное Лицензиатом на использование Продукта.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1.12. Сервисный центр – юридическое лицо или индивидуальный предприниматель, уполномоченные Лицензиаром на основании агентского договора представлять интересы Лицензиара во взаимоотношениях с Лицензиатом. Список Сервисных центров публикуется на сайте </w:t>
      </w:r>
      <w:hyperlink r:id="rId10" w:tooltip="https://kontur.ru/contacts/all" w:history="1">
        <w:r>
          <w:rPr>
            <w:rFonts w:ascii="Times New Roman" w:hAnsi="Times New Roman"/>
            <w:color w:val="0000cd"/>
          </w:rPr>
          <w:t xml:space="preserve">https://kontur.ru/contacts/all</w:t>
        </w:r>
      </w:hyperlink>
      <w:r>
        <w:rPr>
          <w:rFonts w:ascii="Times New Roman" w:hAnsi="Times New Roman"/>
          <w:color w:val="000000"/>
        </w:rPr>
        <w:t xml:space="preserve">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2. Предмет Лицензионного договора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2.1. Лицензиар обязуется передать Лицензиату прос</w:t>
      </w:r>
      <w:r>
        <w:rPr>
          <w:rFonts w:ascii="Times New Roman" w:hAnsi="Times New Roman"/>
          <w:color w:val="000000"/>
        </w:rPr>
        <w:t xml:space="preserve">тую (неисключительную) лицензию на право использования Продукта в пределах, предусмотренных Лицензионным договором. Лицензиат обязуется принять и оплатить предоставленные неисключительные имущественные права в порядке, установленном Лицензионным договором.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2.2. При необходимости Лицензиату могут быть возмездно оказаны услуги, выполнены работы, предусмотренные Прайс-листом Лицензиара.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2.3. Лицензиат, оплачивая Тарифный план, предназначенный для субъектов Федерального закона от 07.08.2001 № 115-ФЗ «О противодействии легализации (отмыванию) доходов, полученных пр</w:t>
      </w:r>
      <w:r>
        <w:rPr>
          <w:rFonts w:ascii="Times New Roman" w:hAnsi="Times New Roman"/>
          <w:color w:val="000000"/>
        </w:rPr>
        <w:t xml:space="preserve">еступным путем, и финансированию терроризма» (далее – Тарифный план для субъектов 115-ФЗ), имеющих доступ к спискам, сформированным в соответствии с Положением Банка России от 15.07.2021 № 764-П и списку, формируемому Межведомственной комиссией по противод</w:t>
      </w:r>
      <w:r>
        <w:rPr>
          <w:rFonts w:ascii="Times New Roman" w:hAnsi="Times New Roman"/>
          <w:color w:val="000000"/>
        </w:rPr>
        <w:t xml:space="preserve">ействию финансирования терроризма, гарантирует свою принадлежность к таким субъектам. В случае нарушения гарантий Лицензиатом Лицензиар вправе досрочно расторгнуть Лицензионный договор, не предоставлять доступ к серверу или незамедлительно блокировать его.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Порядок исполнения обязательств Лицензиаром. Объем предоставляемых прав, способы и условия использования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3.1. В течение 5 (пяти) календарных дней после поступления на расчетный счет Лицензиара оплаты 30% стоимости лицензионного вознаграждения Лицензиар предоставляет Лицензиату право использования Продукта путем: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3.1.1. открытия доступа к веб-версии Продукта. При этом Лицензиар регистрирует учетную запись Лицензиата на сервере Продукта по представленному Лицензиатом адресу электронной почты;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3.1.2. предоставления возможности Лицензиату скачать программные компоненты интеграционных модулей для интеграции Продукта с информационными системами;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3.1.3. предоставления Лицензиату Ключа разработчика для интеграции Продукта с информационными системами при помощи API. На основании письменного </w:t>
      </w:r>
      <w:r>
        <w:rPr>
          <w:rFonts w:ascii="Times New Roman" w:hAnsi="Times New Roman"/>
          <w:color w:val="000000"/>
        </w:rPr>
        <w:t xml:space="preserve">заявления Лицензиата Лицензиар может согласовать предоставление Ключа разработчика в более поздний срок. Заявление направляется в виде скан-копии по адресу электронной почты Лицензиара focus-api@skbkontur.ru с последующим направлением оригинала Лицензиару;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3.1.4. предоставления программных компонентов Подсистемы для установ</w:t>
      </w:r>
      <w:r>
        <w:rPr>
          <w:rFonts w:ascii="Times New Roman" w:hAnsi="Times New Roman"/>
          <w:color w:val="000000"/>
        </w:rPr>
        <w:t xml:space="preserve">ки на оборудовании Лицензиата. Программные компоненты направляются на представленный Лицензиатом адрес электронной почты в течение 5 (пяти) рабочих дней с момента оплаты лицензионного вознаграждения в порядке, предусмотренном п. 3.1 Лицензионного договора.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3.2. Лицензиату предоставляется право использования Продукта на территории всего мира.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3.3. Лицензиар предоставляет Лицензиату право использовать Продукт по его функциональному назначению следующими способами: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3.3.1. воспроизведение графической части (веб-интерфейса) Продукта на экране персонального компьютера;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3.3.2. интеграция Продукта с информационной системой Лицензиата в случае использования API или интеграционных модулей Продукта;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3.3.3. установка, хранение, запуск и эксплуатация Подсистемы в памяти ЭВМ. Лицензиат может использовать все функциональные возможности Подсистемы, предусмотренные оплаченным Тарифным планом.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3.4. Необходимым условием использования Продукта является наличие у Лицензиата подключения к сети Интернет.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3.5. Лицензиату запрещается: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3.5.1. допускать использование Продукта лицами, не имеющими прав на такое использование;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3.5.2. дизассемблировать, декомпилировать, адаптировать и модифицировать Продукт;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3.5.3. предоставлять</w:t>
      </w:r>
      <w:r>
        <w:rPr>
          <w:rFonts w:ascii="Times New Roman" w:hAnsi="Times New Roman"/>
          <w:color w:val="000000"/>
        </w:rPr>
        <w:t xml:space="preserve"> Продукт в прокат, в аренду или во временное пользование третьим лицам с целью извлечения прибыли, а также совершать относительно Продукта другие действия, нарушающие российские и международные нормы по авторскому праву и использованию программных средств.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3.6. Объем предоставляемого права использования Продукта зависит от оплаченного Лицензиатом Тарифного плана.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3.7. Лицензиа</w:t>
      </w:r>
      <w:r>
        <w:rPr>
          <w:rFonts w:ascii="Times New Roman" w:hAnsi="Times New Roman"/>
          <w:color w:val="000000"/>
        </w:rPr>
        <w:t xml:space="preserve">р уведомляет Лицензиата, что не является владельцем информации, которая может быть получена с использованием Продукта, а также гарантирует, что вся информация, которую Лицензиат может получить с использованием Продукта, получена Лицензиаром законным путем.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4. Права и обязанности Сторон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4.1. Обязанности Лицензиара: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4.1.1. соответствие Продукта заявленной функциональности;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4.1.2. соблюдение круглосуточной работоспособности и доступности Продукта, </w:t>
      </w:r>
      <w:r>
        <w:rPr>
          <w:rFonts w:ascii="Times New Roman" w:hAnsi="Times New Roman"/>
          <w:color w:val="000000"/>
        </w:rPr>
        <w:t xml:space="preserve">за исключением времени проведения внеплановых и аварийно-восстановительных работ, а также профилактических работ, осуществляемых преимущественно в ночное время во избежание негативных последствий для Лицензиата, не более 4 (четырех) часов в течение месяца;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4.1.3. воздержание от каких-либо действий, способных воспрепятствовать нормальному использованию Лицензиатом Продукта;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4.1.4. своевременное обновление программного обеспечения на сервере, а также своевременное направление Лицензиату программных компонентов для обновления Подсистемы. Обновления направляются в течение срока действия оплаченной лицензии на Подсистему;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4.1.5. защита информации, обрабатываемой на сервере Лицензиара, от несанкционированного доступа;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4.1.6. наличие всех необходимых лицензий для исполнения обязательств по Лицензионному договору. Место публикации лицензий Лицензиара </w:t>
      </w:r>
      <w:hyperlink r:id="rId11" w:tooltip="https://kontur.ru/about/licences" w:history="1">
        <w:r>
          <w:rPr>
            <w:rFonts w:ascii="Times New Roman" w:hAnsi="Times New Roman"/>
            <w:color w:val="0000cd"/>
          </w:rPr>
          <w:t xml:space="preserve">https://kontur.ru/about/licences</w:t>
        </w:r>
      </w:hyperlink>
      <w:r>
        <w:rPr>
          <w:rFonts w:ascii="Times New Roman" w:hAnsi="Times New Roman"/>
          <w:color w:val="000000"/>
        </w:rPr>
        <w:t xml:space="preserve">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4.1.7. соблюдение конфиденциальности информации, ставшей известной Лицензиару в процессе исполнения Лицензионного договора.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 Обязанности Лицензиата: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4.2.1. своевременная оплата предоставленных прав использования, услуг, работ Лицензиара в порядке и сроки, установленные Лицензионным договором;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4.2.2. самостоятельное осуществление интеграции собственного программного обеспечения с Продуктом с использованием API и/или интеграционных модулей, установка и своевременное обновление Подсистемы;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4.2.3. использование тестового Ключа разработчика на этапах тестирования, настройки и адаптации при интеграции Продукта с информационной системой Лицензиата. Тестовый Ключ предоставляется по запросу Лицензиата по указанному им адресу электронной почты;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4.2.4. обучение Пользователей работе в информационной системе, используемой Лицензиатом, после интеграции Продукта с ней;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4.2.5. представление Лицензиару всех сведений и документов, необходимых для исполнения Лицензиаром обязательств по Лицензионному договору;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4.2.6. своевременное информирование Конечных пользователей об условиях заключения, а также расторжения Лицензионного договора;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4.2.7. обеспечение соответствия оборудования техническим требованиям, размещенным по адресу </w:t>
      </w:r>
      <w:hyperlink r:id="rId12" w:tooltip="https://focus.kontur.ru/site/gov" w:history="1">
        <w:r>
          <w:rPr>
            <w:rFonts w:ascii="Times New Roman" w:hAnsi="Times New Roman"/>
            <w:color w:val="0000cd"/>
          </w:rPr>
          <w:t xml:space="preserve">https://focus.kontur.ru/site/gov</w:t>
        </w:r>
      </w:hyperlink>
      <w:r>
        <w:rPr>
          <w:rFonts w:ascii="Times New Roman" w:hAnsi="Times New Roman"/>
          <w:color w:val="000000"/>
        </w:rPr>
        <w:t xml:space="preserve"> (в случае использования Подсистемы и интеграционного модуля с функциональностью Подсистемы).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4.3. Права Лицензиара: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4.3.1. модификация или выпуск новой версии Продукта в любое время и по любой причине, в том числе в целях удовлетворения потребностей Лицензиата или требований ко</w:t>
      </w:r>
      <w:r>
        <w:rPr>
          <w:rFonts w:ascii="Times New Roman" w:hAnsi="Times New Roman"/>
          <w:color w:val="000000"/>
        </w:rPr>
        <w:t xml:space="preserve">нкурентоспособности, в целях соблюдения законодательства Российской Федерации.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4.3.2. отказ в заключении Лицензионного договора с Лицензиатом в интересах Конечных пользователей без объяснения причин;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4.3.3. блокирование доступа к Продукту при нарушении Лицензиатом условий Лицензионного договора.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4.4. Права Лицензиата: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4.4.1. получение круглосуточного доступа к серверу с целью использования всех функциональных возможностей Продукта;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4.4.2. внесение предложений по изменению функциональных возможностей Продукта;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4.4.3. непредставление отчетов об использовании Продукта Лицензиару.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5. Финансовые условия и порядок сдачи-приемки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5.1. Лицензионное вознаграждение за право использования программы для ЭВМ определяется Прайс-листом Лицензиара и устанавливается</w:t>
      </w:r>
      <w:r>
        <w:rPr>
          <w:rFonts w:ascii="Times New Roman" w:hAnsi="Times New Roman"/>
          <w:color w:val="000000"/>
        </w:rPr>
        <w:t xml:space="preserve"> в Спецификации. Реализация права использования программ для ЭВМ, внесенных в единый реестр российских программ для электронных вычислительных машин и баз данных, НДС не облагается на основании подп. 26 п. 2 ст. 149 Налогового кодекса Российской Федерации.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5.2. Цена услуг/работ/ТМЦ Лицензиара определяется Прайс-листом Лицензиара </w:t>
      </w:r>
      <w:r>
        <w:rPr>
          <w:rFonts w:ascii="Times New Roman" w:hAnsi="Times New Roman"/>
          <w:color w:val="000000"/>
        </w:rPr>
        <w:t xml:space="preserve">и устанавливается в Спецификации без учета НДС. НДС начисляется и предъявляется Лицензиату дополнительно к цене по ставке, действующей на дату оплаты счета или осуществления реализации, в соответствии с п. 3 ст. 164 Налогового кодекса Российской Федерации.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709"/>
        <w:jc w:val="both"/>
        <w:spacing w:before="0" w:after="0"/>
        <w:tabs>
          <w:tab w:val="left" w:pos="0" w:leader="none"/>
          <w:tab w:val="clear" w:pos="720" w:leader="none"/>
        </w:tabs>
        <w:rPr>
          <w:rFonts w:eastAsia="Calibri"/>
          <w:lang w:eastAsia="en-US"/>
        </w:rPr>
      </w:pPr>
      <w:r>
        <w:rPr>
          <w:rFonts w:ascii="Times New Roman" w:hAnsi="Times New Roman"/>
          <w:color w:val="000000"/>
        </w:rPr>
        <w:t xml:space="preserve">5.3. Лицензиат оплачивает выставленный Лицензиаром счет в течение 10 (десяти) рабочих дней с момента его </w:t>
      </w:r>
      <w:r>
        <w:rPr>
          <w:rFonts w:ascii="Times New Roman" w:hAnsi="Times New Roman"/>
          <w:color w:val="000000"/>
        </w:rPr>
        <w:t xml:space="preserve">получения путем перечисления 30% суммы, указанной в счете, на расчетный счет Лицензиара. Оставшиеся 70% оплачиваются Лицензиатом в течение 10 (десяти) рабочих дней с момента подписания Сторонами УПД. Источник финансирования: средства бюджетных учреждений: </w:t>
      </w:r>
      <w:r>
        <w:rPr>
          <w:rFonts w:ascii="Times New Roman" w:hAnsi="Times New Roman" w:eastAsia="Calibri"/>
        </w:rPr>
        <w:t xml:space="preserve">Субсидии на финансовое обеспечение выполнения государственного задания на оказание государственных услуг (выполнение работ).</w:t>
      </w:r>
      <w:r>
        <w:rPr>
          <w:rFonts w:eastAsia="Calibri"/>
          <w:lang w:eastAsia="en-US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5.4.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5.5. Обязательство Лицензиата по оплате счета считается исполненным с момента поступления денежных средств на расчетный счет Лицензиара.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5.6. Счет может быть отправлен Лицензиату электронной почтой, заказным почтовым отправлением, курьерской службой или в электронном виде, подписанный электронной подписью.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5.7. Общая цена Лицензионного договора определяется Спецификацией, является твердой и не может изменяться в ходе его исполнения, за исключением случаев, установленных законодательством Российской Федерации.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5.8. Стороны подтверждают исполнение обязательств по Лицензионному договору путем подписания УПД. Лицензиат обязан вернуть Лицензиару подписанный экземпляр УПД до момента окончания срока, установленного пп. 5.9-5.10 Лицензионного договора.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5.9. В случае отсутствия в течение 10 (десяти) рабочих дней с момента получения Лицензиаром оплаты или начала использова</w:t>
      </w:r>
      <w:r>
        <w:rPr>
          <w:rFonts w:ascii="Times New Roman" w:hAnsi="Times New Roman"/>
          <w:color w:val="000000"/>
        </w:rPr>
        <w:t xml:space="preserve">ния Лицензиатом Продукта (в зависимости от того, какое событие наступило ранее) мотивированного отказа в письменном виде от приемки предоставленных прав использования Продукта переданные права признаются принятыми Лицензиатом в полном объеме без замечаний.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5.10. В случае отсутствия в течение 10 (деся</w:t>
      </w:r>
      <w:r>
        <w:rPr>
          <w:rFonts w:ascii="Times New Roman" w:hAnsi="Times New Roman"/>
          <w:color w:val="000000"/>
        </w:rPr>
        <w:t xml:space="preserve">ти) рабочих дней с момента получения Лицензиатом УПД мотивированного отказа в письменном виде от приемки оказанных услуг и/или выполненных работ оказанные Лицензиаром услуги/выполненные работы признаются принятыми Лицензиатом в полном объеме без замечаний.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5.11. Мотивированный отказ от приемки прав, услуг, работ может быть отправлен Лицензиару электронн</w:t>
      </w:r>
      <w:r>
        <w:rPr>
          <w:rFonts w:ascii="Times New Roman" w:hAnsi="Times New Roman"/>
          <w:color w:val="000000"/>
        </w:rPr>
        <w:t xml:space="preserve">ой почтой с последующим отправлением оригинала по почте, либо в электронном виде, подписанный электронной подписью. После истечения срока, установленного для мотивированного отказа, лицензионное вознаграждение, оплаченное Лицензиатом, возврату не подлежит.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5.12. В</w:t>
      </w:r>
      <w:r>
        <w:rPr>
          <w:rFonts w:ascii="Times New Roman" w:hAnsi="Times New Roman"/>
          <w:color w:val="000000"/>
        </w:rPr>
        <w:t xml:space="preserve"> соответствии с законодательством Российской Федерации для проверки предоставленных Лицензиаром прав, предусмотренных Лицензионным договором, в части их соответствия его условиям Лицензиат по собственной инициативе и за свой счет может провести экспертизу.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6. Срок действия Лицензионного договора. Порядок изменения, дополнения и расторжения. Порядок разрешения споров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6.1. Лицензионный договор вступает в силу с момента принятия его условий и действует до окончания календарного года, а в части исполнения обязательств – до их полного исполнения Сторонами. Под принятием условий </w:t>
      </w:r>
      <w:r>
        <w:rPr>
          <w:rFonts w:ascii="Times New Roman" w:hAnsi="Times New Roman"/>
          <w:color w:val="000000"/>
        </w:rPr>
        <w:t xml:space="preserve">Лицензионного договора Стороны понимают: подписание Лицензиатом Лицензионного договора, фактическое начало использования Лицензиатом Продукта, оплату Лицензиатом выставленного Лицензиаром счета, в зависимости от того, какое из этих событий наступит раньше.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6.2. Любые изменения и/или дополнения к Лицензионному договору, за исключением случаев, указанных в п. 1.4 Лицензионного договора, оформляются дополнительным соглашением, которое подписывается обеими Сторонами в том же порядке, что и Лицензионный договор.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6.3. В случае нарушения Лицензиатом условий Лицензионного договора Лицензиар вправе незамедлительно блокировать досту</w:t>
      </w:r>
      <w:r>
        <w:rPr>
          <w:rFonts w:ascii="Times New Roman" w:hAnsi="Times New Roman"/>
          <w:color w:val="000000"/>
        </w:rPr>
        <w:t xml:space="preserve">п к Продукту без предварительного уведомления Лицензиата, а также досрочно расторгнуть Лицензионный договор. Если нарушение условий связано с неоплатой лицензионного вознаграждения, Лицензиар блокирует доступ до полного погашения задолженности Лицензиатом.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6.3.1. В случае нарушения Лицензиатом условий Лицензионного договора при использовании Подсистемы Лицензиат обязуется по требованию Лицензиара прекратить использование Подсистемы и удалить все её программные компоненты, включая архивные копии.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6.4. В случае заключения Лицензионного договора в интересах Конечных пользователей Стороны вправе изменять и (или) расторгать Лицензионный договор без согласия Конечных пользователей.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6.5. Лицензионный договор расторгается в случаях, предусмотренных законодательством Российской Федерации и Лицензионным договором.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6.6. Все споры и разногласия,</w:t>
      </w:r>
      <w:r>
        <w:rPr>
          <w:rFonts w:ascii="Times New Roman" w:hAnsi="Times New Roman"/>
          <w:color w:val="000000"/>
        </w:rPr>
        <w:t xml:space="preserve"> возникающие в связи с исполнением и (или) толкованием Лицензионного договора, разрешаются Сторонами путем переговоров. При невозможности урегулирования Сторонами возникших разногласий путем переговоров спор подлежит разрешению в порядке арбитражного судоп</w:t>
      </w:r>
      <w:r>
        <w:rPr>
          <w:rFonts w:ascii="Times New Roman" w:hAnsi="Times New Roman"/>
          <w:color w:val="000000"/>
        </w:rPr>
        <w:t xml:space="preserve">роизводства в соответствии с общими правилами подсудности с обязательным соблюдением претензионного порядка урегулирования споров и разногласий. Срок ответа на претензию составляет 30 (тридцать) календарных дней с момента ее поступления в письменной форме.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7. Ответственность Сторон. Конфиденциальность информации. Антикоррупционные условия. Форс-мажор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7.1.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7.2. Лицензиар не будет нести ответственность за невозможность использования Продукта по причинам, не зависящим от Лицензиара.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7.3. Лицензиар не будет нести ответственность за отсутствие у Лицензиата подключения к сети Интернет, за попытки получения доступа к Продукту с неисправного компьютера, либо компьют</w:t>
      </w:r>
      <w:r>
        <w:rPr>
          <w:rFonts w:ascii="Times New Roman" w:hAnsi="Times New Roman"/>
          <w:color w:val="000000"/>
        </w:rPr>
        <w:t xml:space="preserve">ера, зараженного каким-либо компьютерным вирусом, при использовании Лицензиатом нелицензионного программного обеспечения, а также в случае несвоевременного осуществления Лицензиатом интеграции Продукта со своей информационной системой с использованием API.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7.4. Лицензиар не будет нести ответственность за невозможность получения той или иной информации, если такая невозможность возникла по вине владельца информации, а также за полноту и достоверность информаци</w:t>
      </w:r>
      <w:r>
        <w:rPr>
          <w:rFonts w:ascii="Times New Roman" w:hAnsi="Times New Roman"/>
          <w:color w:val="000000"/>
        </w:rPr>
        <w:t xml:space="preserve">и в источнике. В случае возникновения у Лицензиата и третьих лиц претензий относительно достоверности информации, получаемой с использованием Продукта, претензия подлежит разрешению Лицензиатом путем обращения к владельцу официального источника информации.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7.5. Лицензиар не будет нести ответственность за неверную интерпретацию Лицензиатом или иными Лицензиатами полученной с использованием Продукта информации, а также за игнорирование предупреждений и подсказок Лицензиара, размещенных в Продукте.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7.6. Лицензиар не</w:t>
      </w:r>
      <w:r>
        <w:rPr>
          <w:rFonts w:ascii="Times New Roman" w:hAnsi="Times New Roman"/>
          <w:color w:val="000000"/>
        </w:rPr>
        <w:t xml:space="preserve"> будет нести ответственность за действия и решения Лицензиата, принятые на основании информации, полученной при использовании Продукта, их последствия, а также прямые и косвенные убытки, включая упущенную выгоду, возникшие в результате применения Продукта.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7.7. Лицензиар не будет нести ответственность</w:t>
      </w:r>
      <w:r>
        <w:rPr>
          <w:rFonts w:ascii="Times New Roman" w:hAnsi="Times New Roman"/>
          <w:color w:val="000000"/>
        </w:rPr>
        <w:t xml:space="preserve"> за содержание скоринговых моделей, реализованных в Продукте и используемых Лицензиатом, за рейтинги, присвоенные на основании скоринговых моделей, выводы, действия или решения Лицензиата, основанные на таких рейтингах. Претензии третьих лиц в отношении со</w:t>
      </w:r>
      <w:r>
        <w:rPr>
          <w:rFonts w:ascii="Times New Roman" w:hAnsi="Times New Roman"/>
          <w:color w:val="000000"/>
        </w:rPr>
        <w:t xml:space="preserve">держания скоринговых моделей, включая, но не ограничиваясь претензиями в отношении достоверности модели, набора используемых критериев оценки, установленных в модели значений, их веса, полноты используемых источников разрешаются Лицензиатом самостоятельно.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7.8. Лицензиар не будет нести ответственность за действия, совершаемые пользователями Лицензиата в Продукте.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7.9. В случае возникновения у Лицензиата технических проблем, препятствующих нормальному использованию Продукта, Лицензиат обязуе</w:t>
      </w:r>
      <w:r>
        <w:rPr>
          <w:rFonts w:ascii="Times New Roman" w:hAnsi="Times New Roman"/>
          <w:color w:val="000000"/>
        </w:rPr>
        <w:t xml:space="preserve">тся незамедлительно обратиться в техническую поддержку Лицензиара. Лицензиар не будет нести ответственность за возникшие у Лицензиата убытки, вызванные техническими проблемами, в случае если Лицензиат нарушит обязательство, установленное настоящим пунктом.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7.10. Совокупный размер ответственности Лицензиара, включая любые убытки (в случае есл</w:t>
      </w:r>
      <w:r>
        <w:rPr>
          <w:rFonts w:ascii="Times New Roman" w:hAnsi="Times New Roman"/>
          <w:color w:val="000000"/>
        </w:rPr>
        <w:t xml:space="preserve">и Лицензиат в конкретном случае имеет право на их возмещение), не может превышать стоимости прав, услуг и работ, которые были реализованы Лицензиаром Лицензиату по Лицензионному договору в течение одного года, предшествующего моменту возникновения убытков.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7.11. Все возможные убытки, которые будет нести Конечный пользователь при невозможности использования</w:t>
      </w:r>
      <w:r>
        <w:rPr>
          <w:rFonts w:ascii="Times New Roman" w:hAnsi="Times New Roman"/>
          <w:color w:val="000000"/>
        </w:rPr>
        <w:t xml:space="preserve"> Продукта по причинам, не зависящим от Лицензиара,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вознаграждения, возлагаются на Лицензиата.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7.12. Стороны обязуются соблюдать конфиденциальность информации,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7.13. Факт заключения Лицензионного договора не является конфиденциальной информацией.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7.14. При исполнении своих обязательств по Лицензионному договору Стороны, их аффилированные лица, работники или посредники не выплачивают, не предлагают выплатить и не разрешают выплату денежных сред</w:t>
      </w:r>
      <w:r>
        <w:rPr>
          <w:rFonts w:ascii="Times New Roman" w:hAnsi="Times New Roman"/>
          <w:color w:val="000000"/>
        </w:rPr>
        <w:t xml:space="preserve">ств или ценностей прямо или косвенно любым лицам для оказания влияния на их действия или решения с целью получения каких-либо неправомерных преимуществ или для достижения иных неправомерных целей. Также при исполнении своих обязательств по Лицензионному до</w:t>
      </w:r>
      <w:r>
        <w:rPr>
          <w:rFonts w:ascii="Times New Roman" w:hAnsi="Times New Roman"/>
          <w:color w:val="000000"/>
        </w:rPr>
        <w:t xml:space="preserve">говору Стороны и вышеперечисленные лица не осуществляют действия, квалифицируемые законодательством Российской Федерации как дача или получение взятки, коммерческий подкуп, а также иные действия, нарушающие требования законодательства Российской Федерации.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случае возникновения у Стороны обоснованных подозрений, </w:t>
      </w:r>
      <w:r>
        <w:rPr>
          <w:rFonts w:ascii="Times New Roman" w:hAnsi="Times New Roman"/>
          <w:color w:val="000000"/>
        </w:rPr>
        <w:t xml:space="preserve">что произошло или может произойти нарушение положений данного пункта, она обязуется уведомить об этом другую Сторону в письменной форме. В уведомлении указываются лица, причастные к нарушению условий Лицензионного договора, фактические обстоятельства дела </w:t>
      </w:r>
      <w:r>
        <w:rPr>
          <w:rFonts w:ascii="Times New Roman" w:hAnsi="Times New Roman"/>
          <w:color w:val="000000"/>
        </w:rPr>
        <w:t xml:space="preserve">и предоставляются материалы, достоверно подтверждающие или дающие основание предполагать, что произошло или может произойти нарушение. Сторона, получившая письменное уведомление, обязана рассмотреть его и сообщить другой Стороне об итогах его рассмотрения.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случае подтверждения факта нарушения одной Стороной положений настоящего пункта Лицензионного договора и/или неполучения другой Стороной информации об итогах рассмотрения уведомления о нарушении другая Стор</w:t>
      </w:r>
      <w:r>
        <w:rPr>
          <w:rFonts w:ascii="Times New Roman" w:hAnsi="Times New Roman"/>
          <w:color w:val="000000"/>
        </w:rPr>
        <w:t xml:space="preserve">она имеет право отказаться от Лицензионного договора, направив письменное уведомление. Сторона, по инициативе которой расторгнут Лицензионный договор, вправе требовать возмещения реального ущерба, возникшего в результате расторжения Лицензионного договора.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7.15. Стороны освобождаются от ответственности за неисполнение или не</w:t>
      </w:r>
      <w:r>
        <w:rPr>
          <w:rFonts w:ascii="Times New Roman" w:hAnsi="Times New Roman"/>
          <w:color w:val="000000"/>
        </w:rPr>
        <w:t xml:space="preserve">надлежащее исполнение условий Лицензионного договора в случае наступления обстоятельств непреодолимой силы (форс-мажор), определяемых в соответствии с законодательством Российской Федерации, если они предъявят доказательства того, что эти обстоятельства во</w:t>
      </w:r>
      <w:r>
        <w:rPr>
          <w:rFonts w:ascii="Times New Roman" w:hAnsi="Times New Roman"/>
          <w:color w:val="000000"/>
        </w:rPr>
        <w:t xml:space="preserve">спрепятствовали исполнению обязательств по Лицензионному договору, такими доказательствами являются документы компетентных органов Российской Федерации. С момента устранения обстоятельств непреодолимой силы Лицензионный договор действует в обычном порядке.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8. Заверения об обстоятельствах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8.1. Каждая из Сторон заявляет и подтверждает другой Стороне, что на момент заключения Лицензионного договора: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является надлежащим образом зарегистрированным юридическим лицом, состоит на налоговом учете и правомерно осуществляет свою деятельность в соответствии с законодательством Российской Федерации;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фактически находится по адресу, указанному в ЕГРЮЛ;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располагает полномочиями, денежными, материальными и трудовыми ресурсами, а также прочими условиями, необходимыми для заключения Лицензионного договора и исполнения обязательств по нему;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все полномочия, необходимые для заключения Лицензионного договора и/или осуществления в связи с ним действий, получены должным образом, в том числе получены все необходимые согласия, разрешения, одобрения в соответствии с законодательством.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8.2. Стороны подтверждают, что: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Лицензионный договор заключается добровольно, Стороны не введены в заблуждение относительно правовой природы сделки и/или правовых последствий, которые возникают или могут возникнуть в связи с заключением Лицензионного договора;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Лицензионный договор не нарушает какие-либо права на объекты интеллектуальной собственности или иные имущественные права какого-либо третьего лица;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Лицензионный договор заключается в соответствии с законодательством Российской Федерации и не является сделкой, в совершении которой имеется заинтересованность;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исполнение Лицензионного договора не влечет за собой нарушение или неисполнение положений каких-либо иных договоров, соглашений, судебных и иных запретов или постановлений.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8.3. Сторона, полагавшаяся на недостоверные заверения другой Стороны, вправе досрочно расторгнуть Лицензионный договор независимо от наличия или отсутствия у нее убытков, а также потребовать возмещения убытков, причиненных недостоверностью таких заверений.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8.4. Стороны вправе использовать фирменные наименования друг друга, коммерческие обозначения, товарные знаки и другие идентифицирующие знаки Сторон, а также информацию о факте заключения Лицензионног</w:t>
      </w:r>
      <w:r>
        <w:rPr>
          <w:rFonts w:ascii="Times New Roman" w:hAnsi="Times New Roman"/>
          <w:color w:val="000000"/>
        </w:rPr>
        <w:t xml:space="preserve">о договора для целей публикации на сайтах Сторон, публикации и цитирования в прессе, использования в маркетинговых материалах, а также в корпоративных изданиях: буклетах о компании, примерах, решениях и т.д.; ссылок друг на друга в интервью и презентациях.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9. Исключительные права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9.1. Исключительные права на Продукт принадлежат Лицензиару.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9.2. Лицензиар гарантирует, что в Продукте не используются никакие элементы в нар</w:t>
      </w:r>
      <w:r>
        <w:rPr>
          <w:rFonts w:ascii="Times New Roman" w:hAnsi="Times New Roman"/>
          <w:color w:val="000000"/>
        </w:rPr>
        <w:t xml:space="preserve">ушение прав третьих лиц и что Продукт не содержит вредоносных, шпионских элементов и программного кода, созданных для вывода из строя, нарушения работы или выполнения несанкционированных действий в компьютерной системе или для передачи каких-либо данных с </w:t>
      </w:r>
      <w:r>
        <w:rPr>
          <w:rFonts w:ascii="Times New Roman" w:hAnsi="Times New Roman"/>
          <w:color w:val="000000"/>
        </w:rPr>
        <w:t xml:space="preserve">компьютера пользователя без его предварительного уведомления и согласия. В случае если эти гарантии будут нарушены, Лицензиар обязуется принять меры, которые обеспечат Лицензиату беспрепятственное использование прав, передаваемых по Лицензионному договору.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9.3. Право использования Продукта предоставляется исключительно Лицензиату и Конечным пользователям Лицензиата без права передачи третьим лицам, исключительно в объеме, установленном Лицензионным договором, если нет письменного согласия Лицензиара на иное.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9.4. Свидетельство о государственной регистрации прав на Продукт официально публикуется на сайте Лицензиара </w:t>
      </w:r>
      <w:hyperlink r:id="rId13" w:tooltip="https://kontur.ru/about/licences" w:history="1">
        <w:r>
          <w:rPr>
            <w:rFonts w:ascii="Times New Roman" w:hAnsi="Times New Roman"/>
            <w:color w:val="0000cd"/>
          </w:rPr>
          <w:t xml:space="preserve">https://kontur.ru/about/licences</w:t>
        </w:r>
      </w:hyperlink>
      <w:r>
        <w:rPr>
          <w:rFonts w:ascii="Times New Roman" w:hAnsi="Times New Roman"/>
          <w:color w:val="000000"/>
        </w:rPr>
        <w:t xml:space="preserve">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9.5. Продукт внесен в единый реестр российских программ для электронных вычислительных машин и баз данных 29.04.2016, регистрационный номер 508.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9.6. Продукт передается Лицензиату «как есть», и Лицензиар не гарантирует, что функциональные возможности Продукта будут полностью отвечать ожиданиям, потребностям и представлениям Лицензиата.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10. Обязательства Сторон в области обработки персональных данных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10.1. Заключение Лицензионного договора рассматривается Сторонами как поручение Оператора персональных данных (Л</w:t>
      </w:r>
      <w:r>
        <w:rPr>
          <w:rFonts w:ascii="Times New Roman" w:hAnsi="Times New Roman"/>
          <w:color w:val="000000"/>
        </w:rPr>
        <w:t xml:space="preserve">ицензиата по Лицензионному договору) другому лицу, предусмотренное ч. 3 ст. 6 Федерального закона от 27.07.2006 № 152-ФЗ «О персональных данных» (далее – Закон о персональных данных). При этом Лицензиат поручает Лицензиару осуществление следующих действий </w:t>
      </w:r>
      <w:r>
        <w:rPr>
          <w:rFonts w:ascii="Times New Roman" w:hAnsi="Times New Roman"/>
          <w:color w:val="000000"/>
        </w:rPr>
        <w:t xml:space="preserve">(операций) с персональными данными, совершаемых с использованием средств автоматизации или без использования таких средств: сбор через заполнение Лицензиатом веб-форм Продукта, запись, систематизацию, накопление, хранение на сервере Лицензиара, уточнение (</w:t>
      </w:r>
      <w:r>
        <w:rPr>
          <w:rFonts w:ascii="Times New Roman" w:hAnsi="Times New Roman"/>
          <w:color w:val="000000"/>
        </w:rPr>
        <w:t xml:space="preserve">обновление, изменение) после внесения изменений Лицензиатом, извлечение, использование, обезличивание, блокирование, удаление, уничтожение персональных данных — исключительно с целью исполнения обязательств, предусмотренных Лицензионным договором. Лицензиа</w:t>
      </w:r>
      <w:r>
        <w:rPr>
          <w:rFonts w:ascii="Times New Roman" w:hAnsi="Times New Roman"/>
          <w:color w:val="000000"/>
        </w:rPr>
        <w:t xml:space="preserve">т дает поручение Лицензиару в отношении следующего перечня возможных персональных данных (включая, но не ограничиваясь ФИО, ИНН, сведения из документа, удостоверяющего личность, контактные данные), которые Лицензиат может разместить в Продукте. Поручение н</w:t>
      </w:r>
      <w:r>
        <w:rPr>
          <w:rFonts w:ascii="Times New Roman" w:hAnsi="Times New Roman"/>
          <w:color w:val="000000"/>
        </w:rPr>
        <w:t xml:space="preserve">а обработку персональных данных действует до момента удаления персональных данных Лицензиатом самостоятельно либо до момента уничтожения персональных данных Лицензиаром в том числе по требованию Лицензиата в соответствии с условиями Лицензионного договора.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10.2. Лицензиат заверяет (по смыслу ст. 431.2 Гражданского кодекса Российской Федерации):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10.2.1. что при обработке персональных данных им соблюдены все права субъектов персональных данных, предусмотренные законодательством Российской Федерации в области защиты персональных данных;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10.2.2. что им получено согласие субъектов персональных данных на обработку принадлежащих им персональных данных либо иное правовое основание, в том числе на поручение такой обработки Лицензиару как третьему лицу;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10.2.3. что при размещении персональных данных им соблюдены все принципы и условия обработки персональных данных и ограничения, предусмотренные законодательством Российской Федерации.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10.3. Лицензиар обязуется: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10.3.1. обеспечивать конфиденциальность персональных данных;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10.3.2. обрабатывать персональные данные с использованием баз данных, находящихся на территории Российской Федерации;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10.3.3. принимать меры по обеспечению безопасности персональных данных в соответствии со ст. 18.1, 19 Закона о персональных данных, в том числе: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определять угрозы безопасности персональных данных при их обработке;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устанавливать правила доступа к обрабатываемым персональным данным;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обеспечивать обнаружение фактов несанкционированного доступа к персональным данным и принятие мер по их пресечению;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проводить оценку эффективности принимаемых мер по обеспечению безопасности персональных данных и контроля за принимаемыми мерами;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10.3.4. в случае установления факт</w:t>
      </w:r>
      <w:r>
        <w:rPr>
          <w:rFonts w:ascii="Times New Roman" w:hAnsi="Times New Roman"/>
          <w:color w:val="000000"/>
        </w:rPr>
        <w:t xml:space="preserve">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незамедлительно уведомить Лицензиата в соответствии с ч. 3.1 ст. 21 Закона о персональных данных;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10.3.5. по письменному запросу Лицензиата в течение срока действия его поручения на обработку персона</w:t>
      </w:r>
      <w:r>
        <w:rPr>
          <w:rFonts w:ascii="Times New Roman" w:hAnsi="Times New Roman"/>
          <w:color w:val="000000"/>
        </w:rPr>
        <w:t xml:space="preserve">льных данных, в том числе до обработки персональных данных, предоставлять Лицензиату документы и иную информацию, подтверждающие принятие мер и соблюдение в целях исполнения поручения Лицензиата требований, установленных ст. 6 Закона о персональных данных.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10.4. Лицензиар уведомляет, что им направлено в уполномоченный о</w:t>
      </w:r>
      <w:r>
        <w:rPr>
          <w:rFonts w:ascii="Times New Roman" w:hAnsi="Times New Roman"/>
          <w:color w:val="000000"/>
        </w:rPr>
        <w:t xml:space="preserve">рган по защите прав субъектов персональных данных уведомление о намерении осуществлять обработку персональных данных в порядке, предусмотренном законодательством Российской Федерации. Политика обработки персональных данных публикуется Лицензиаром на сайте </w:t>
      </w:r>
      <w:hyperlink r:id="rId14" w:tooltip="https://kontur.ru/" w:history="1">
        <w:r>
          <w:rPr>
            <w:rFonts w:ascii="Times New Roman" w:hAnsi="Times New Roman"/>
            <w:color w:val="0000cd"/>
          </w:rPr>
          <w:t xml:space="preserve">https://kontur.ru</w:t>
        </w:r>
      </w:hyperlink>
      <w:r>
        <w:rPr>
          <w:rFonts w:ascii="Times New Roman" w:hAnsi="Times New Roman"/>
          <w:color w:val="000000"/>
        </w:rPr>
        <w:t xml:space="preserve">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10.5. В случаях, предусмотренных ст. 2</w:t>
      </w:r>
      <w:r>
        <w:rPr>
          <w:rFonts w:ascii="Times New Roman" w:hAnsi="Times New Roman"/>
          <w:color w:val="000000"/>
        </w:rPr>
        <w:t xml:space="preserve">1 Закона о персональных данных (за исключением ч. 3.1), Лицензиат обязуется самостоятельно выполнить необходимые действия, а при невозможности самостоятельного их выполнения незамедлительно обратиться к Лицензиару с соответствующим официальным требованием.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10.6. Принимая условия Лицензионного договора, Лицензиат заверяет (по смыслу ст. 43</w:t>
      </w:r>
      <w:r>
        <w:rPr>
          <w:rFonts w:ascii="Times New Roman" w:hAnsi="Times New Roman"/>
          <w:color w:val="000000"/>
        </w:rPr>
        <w:t xml:space="preserve">1.2 Гражданского кодекса Российской Федерации) о наличии согласий субъектов персональных данных – уполномоченных лиц Лицензиата, контактные данные (ФИО, номер телефона, адрес электронной почты) которых передаются Лицензиатом Лицензиару, на обработку принад</w:t>
      </w:r>
      <w:r>
        <w:rPr>
          <w:rFonts w:ascii="Times New Roman" w:hAnsi="Times New Roman"/>
          <w:color w:val="000000"/>
        </w:rPr>
        <w:t xml:space="preserve">лежащих им персональных данных, в том числе на передачу персональных данных Лицензиару и Сервисным центрам в целях исполнения Лицензионного договора, включая совершение массовых и (или) автоматических вызовов (все вызовы Лицензиара, совершаемые с его АТС).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10.7. Дополнительно к п. 10.2 Лицензионного договора при использовании Продукта за пределами Российской Федерации Лицензиат заверяет (по смыслу ст. 431.2 Гражданского кодекса Российской Федерации):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10.7.1.</w:t>
      </w:r>
      <w:r>
        <w:rPr>
          <w:rFonts w:ascii="Times New Roman" w:hAnsi="Times New Roman"/>
          <w:color w:val="000000"/>
        </w:rPr>
        <w:t xml:space="preserve"> что он обязуется самостоятельно (без участия Лицензиара) осуществлять хранение копии базы персональных данных, размещенных Пользователем в Продукте, и поддержание ее в актуальном состоянии, если это требуется в соответствии с применимым законодательством;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</w:t>
      </w:r>
      <w:r>
        <w:rPr>
          <w:rFonts w:ascii="Times New Roman" w:hAnsi="Times New Roman"/>
          <w:color w:val="000000"/>
        </w:rPr>
        <w:t xml:space="preserve">7.2. что он произвел оценку применимого законодательства в области обработки персональных данных, и использование Продукта не накладывает на Лицензиара обязанностей, не предусмотренных законодательством Российской Федерации о персональных данных и Лицензио</w:t>
      </w:r>
      <w:r>
        <w:rPr>
          <w:rFonts w:ascii="Times New Roman" w:hAnsi="Times New Roman"/>
          <w:color w:val="000000"/>
        </w:rPr>
        <w:t xml:space="preserve">нным договором.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10.7.3. что им получено согласие субъектов персональных данных на трансграничную передачу персональных Лицензиару (если применимо).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11. Дополнительные условия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11.1. Приложениями к Лицензионному договору являются: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− </w:t>
      </w:r>
      <w:r>
        <w:rPr>
          <w:rFonts w:ascii="Times New Roman" w:hAnsi="Times New Roman"/>
          <w:color w:val="000000"/>
        </w:rPr>
        <w:t xml:space="preserve">Спецификация (Приложение № 1);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– </w:t>
      </w:r>
      <w:r>
        <w:rPr>
          <w:rFonts w:ascii="Times New Roman" w:hAnsi="Times New Roman"/>
          <w:color w:val="000000"/>
        </w:rPr>
        <w:t xml:space="preserve">Список Конечных пользователей (Приложение № 2).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11.2. Стороны договорились о </w:t>
      </w:r>
      <w:r>
        <w:rPr>
          <w:rFonts w:ascii="Times New Roman" w:hAnsi="Times New Roman"/>
          <w:color w:val="000000"/>
        </w:rPr>
        <w:t xml:space="preserve">возможности использования факсимиле подписи уполномоченного лица Лицензиара для подписания Лицензионного договора и документов, необходимых для заключения и исполнения Лицензионного договора, в качестве аналога собственноручной подписи, равнозначного собст</w:t>
      </w:r>
      <w:r>
        <w:rPr>
          <w:rFonts w:ascii="Times New Roman" w:hAnsi="Times New Roman"/>
          <w:color w:val="000000"/>
        </w:rPr>
        <w:t xml:space="preserve">венноручной подписи. При этом указанные документы имеют такую же юридическую силу, какую бы имели документы, подписанные уполномоченным лицом Лицензиара собственноручно на основании п. 2 ст. 160 Гражданского кодекса Российской Федерации. Кроме того, Сторон</w:t>
      </w:r>
      <w:r>
        <w:rPr>
          <w:rFonts w:ascii="Times New Roman" w:hAnsi="Times New Roman"/>
          <w:color w:val="000000"/>
        </w:rPr>
        <w:t xml:space="preserve">ы могут использовать для указанных целей квалифицированные электронные подписи Сторон (или их уполномоченных физических лиц), условия признания которых установлены ст. 11 Федерального закона от 06.04.2011 № 63-ФЗ «Об электронной подписи», в рамках электрон</w:t>
      </w:r>
      <w:r>
        <w:rPr>
          <w:rFonts w:ascii="Times New Roman" w:hAnsi="Times New Roman"/>
          <w:color w:val="000000"/>
        </w:rPr>
        <w:t xml:space="preserve">ного документооборота в программе для ЭВМ «Контур.Диадок», правообладателем которой является Лицензиар и использование которой для целей обмена электронными документами с Лицензиаром в рамках Лицензионного договора не будет тарифицироваться для Лицензиата.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11.3. Стороны обязуются информировать друг друга в течение 15 (пятнадцати) календарных дней об изменении своих реквизитов, указанных в Лицензионном договоре и возможных приложе</w:t>
      </w:r>
      <w:r>
        <w:rPr>
          <w:rFonts w:ascii="Times New Roman" w:hAnsi="Times New Roman"/>
          <w:color w:val="000000"/>
        </w:rPr>
        <w:t xml:space="preserve">ниях к нему, а также о любых решениях, касающихся их ликвидации, реорганизации как юридического лица.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11.4. Принимая условия Лицензионного договора, Лицензиат дает согласие на получение от</w:t>
      </w:r>
      <w:r>
        <w:rPr>
          <w:rFonts w:ascii="Times New Roman" w:hAnsi="Times New Roman"/>
          <w:color w:val="000000"/>
        </w:rPr>
        <w:t xml:space="preserve"> Лицензиара и/или Сервисного центра дополнительной информации и информационных рассылок по указанному при регистрации, а также предоставленному Лицензиару и/или Сервисному центру в ходе исполнения Лицензионного договора адресу электронной почты и телефону.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11.5. Принимая условия Лицензионного договора, Лицензиат соглашается на массовые и (или) автоматические телефонные вызовы (все вызовы Лицензиара, совершаемые с его АТС), получение сообщений в мессенджеры, а также на получение голосовых и</w:t>
      </w:r>
      <w:r>
        <w:rPr>
          <w:rFonts w:ascii="Times New Roman" w:hAnsi="Times New Roman"/>
          <w:color w:val="000000"/>
        </w:rPr>
        <w:t xml:space="preserve"> текстовых сообщений с использованием голосовых роботов, чат-ботов и почтовых ботов Лицензиара на номер подвижной мобильной связи или адрес электронной почты, с которых произведено обращение, либо указанные уполномоченным лицом Лицензиата. Согласие распрос</w:t>
      </w:r>
      <w:r>
        <w:rPr>
          <w:rFonts w:ascii="Times New Roman" w:hAnsi="Times New Roman"/>
          <w:color w:val="000000"/>
        </w:rPr>
        <w:t xml:space="preserve">траняется в том числе, но не ограничиваясь на информирование о результатах обращения в Федеральный контакт-центр Лицензиара, о результатах выполнения работ, оказания услуг, о необходимости обновления/проведения необходимых доработок интеграционных модулей.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11.6. Лицензиат подтверждает, что по смыслу п. 4 ст. 185 Гражданского кодекса Российской Федерации все действия, совершаемые пользователями Лицензиата в Продукте, признаются Сторонами совершаемыми от имени и в интересах Лицензиата.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11.7. Лицензиар вправе, в том числе в случае изменения требований законодательства или появления необходимости урегулирования отношений Сторон, которые не были урегулированы на момент заключения Лицензионного договора, вносить изменения в договор-оферту,</w:t>
      </w:r>
      <w:r>
        <w:rPr>
          <w:rFonts w:ascii="Times New Roman" w:hAnsi="Times New Roman"/>
          <w:color w:val="000000"/>
        </w:rPr>
        <w:t xml:space="preserve"> публикуемый в Продукте. В таком случае к отношениям Сторон в этой части будут применяться условия оферты с момента ее публикации с изменениями. Такие изменения не могут вводить новые меры ответственности и иным явным образом ухудшать положение Лицензиата.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jc w:val="both"/>
        <w:spacing w:before="0" w:after="0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12. Реквизиты и подписи Сторон</w:t>
      </w:r>
      <w:r>
        <w:rPr>
          <w:rFonts w:ascii="Times New Roman" w:hAnsi="Times New Roman"/>
          <w:b/>
          <w:bCs/>
          <w:color w:val="000000"/>
        </w:rPr>
      </w:r>
    </w:p>
    <w:tbl>
      <w:tblPr>
        <w:tblW w:w="10374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87"/>
        <w:gridCol w:w="5186"/>
      </w:tblGrid>
      <w:tr>
        <w:tblPrEx/>
        <w:trPr/>
        <w:tc>
          <w:tcPr>
            <w:tcW w:w="5187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ЛИЦЕНЗИАР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Mar>
              <w:left w:w="0" w:type="dxa"/>
              <w:right w:w="0" w:type="dxa"/>
            </w:tcMar>
            <w:tcW w:w="5186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ЛИЦЕНЗИАТ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ФГБОУ ВО “АЛТАЙСКИЙ ГОСУДАРСТВЕННЫЙ УНИВЕРСИТЕТ”,АЛТГУ,АЛТАЙСКИЙ ГОСУДАРСТВЕННЫЙ УНИВЕРСИТЕТ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656049, Алтайский край, г. Барнаул, пр-кт Ленина, д. 61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ИНН: 2225004738   КПП: 222501001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 ОКЦ № 2 СибГУ Банка России//УФК по Алтайскому краю, г Барнаул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Лицевой счёт казначейства: 20176U88990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ЕКС: 40102810045370000009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Казначейский счёт: 03214643000000011700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БИК: 010173001</w:t>
            </w:r>
            <w:r/>
          </w:p>
        </w:tc>
      </w:tr>
      <w:tr>
        <w:tblPrEx/>
        <w:trPr/>
        <w:tc>
          <w:tcPr>
            <w:tcMar>
              <w:left w:w="0" w:type="dxa"/>
              <w:right w:w="0" w:type="dxa"/>
            </w:tcMar>
            <w:tcW w:w="5187" w:type="dxa"/>
            <w:textDirection w:val="lrTb"/>
            <w:noWrap w:val="false"/>
          </w:tcPr>
          <w:tbl>
            <w:tblPr>
              <w:tblW w:w="5000" w:type="pct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2593"/>
              <w:gridCol w:w="2593"/>
            </w:tblGrid>
            <w:tr>
              <w:tblPrEx/>
              <w:trPr>
                <w:trHeight w:val="283"/>
              </w:trPr>
              <w:tc>
                <w:tcPr>
                  <w:gridSpan w:val="2"/>
                  <w:tcW w:w="5186" w:type="dxa"/>
                  <w:textDirection w:val="lrTb"/>
                  <w:noWrap w:val="false"/>
                </w:tcPr>
                <w:p>
                  <w:pPr>
                    <w:pStyle w:val="617"/>
                    <w:ind w:left="0" w:right="0" w:firstLine="0"/>
                    <w:spacing w:before="0" w:after="0"/>
                    <w:widowControl w:val="off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</w:r>
                  <w:r>
                    <w:rPr>
                      <w:rFonts w:ascii="Times New Roman" w:hAnsi="Times New Roman"/>
                      <w:color w:val="000000"/>
                    </w:rPr>
                  </w:r>
                </w:p>
              </w:tc>
            </w:tr>
            <w:tr>
              <w:tblPrEx/>
              <w:trPr>
                <w:trHeight w:val="283"/>
              </w:trPr>
              <w:tc>
                <w:tcPr>
                  <w:gridSpan w:val="2"/>
                  <w:tcW w:w="5186" w:type="dxa"/>
                  <w:textDirection w:val="lrTb"/>
                  <w:noWrap w:val="false"/>
                </w:tcPr>
                <w:p>
                  <w:pPr>
                    <w:pStyle w:val="617"/>
                    <w:ind w:left="0" w:right="0" w:firstLine="0"/>
                    <w:spacing w:before="0" w:after="0"/>
                    <w:widowControl w:val="off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</w:r>
                  <w:r>
                    <w:rPr>
                      <w:rFonts w:ascii="Times New Roman" w:hAnsi="Times New Roman"/>
                      <w:color w:val="000000"/>
                    </w:rPr>
                  </w:r>
                </w:p>
              </w:tc>
            </w:tr>
            <w:tr>
              <w:tblPrEx/>
              <w:trPr>
                <w:trHeight w:val="170"/>
              </w:trPr>
              <w:tc>
                <w:tcPr>
                  <w:tcBorders>
                    <w:bottom w:val="single" w:color="000000" w:sz="6" w:space="0"/>
                  </w:tcBorders>
                  <w:tcW w:w="2593" w:type="dxa"/>
                  <w:textDirection w:val="lrTb"/>
                  <w:noWrap w:val="false"/>
                </w:tcPr>
                <w:p>
                  <w:pPr>
                    <w:pStyle w:val="617"/>
                    <w:ind w:left="0" w:right="0" w:firstLine="0"/>
                    <w:spacing w:before="0" w:after="0"/>
                    <w:widowControl w:val="off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</w:r>
                  <w:r>
                    <w:rPr>
                      <w:rFonts w:ascii="Times New Roman" w:hAnsi="Times New Roman"/>
                      <w:color w:val="000000"/>
                    </w:rPr>
                  </w:r>
                </w:p>
              </w:tc>
              <w:tc>
                <w:tcPr>
                  <w:tcW w:w="2593" w:type="dxa"/>
                  <w:textDirection w:val="lrTb"/>
                  <w:noWrap w:val="false"/>
                </w:tcPr>
                <w:p>
                  <w:pPr>
                    <w:pStyle w:val="617"/>
                    <w:ind w:left="0" w:right="0" w:firstLine="0"/>
                    <w:spacing w:before="0" w:after="0"/>
                    <w:widowControl w:val="off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</w:r>
                  <w:r>
                    <w:rPr>
                      <w:rFonts w:ascii="Times New Roman" w:hAnsi="Times New Roman"/>
                      <w:color w:val="000000"/>
                    </w:rPr>
                  </w:r>
                </w:p>
              </w:tc>
            </w:tr>
            <w:tr>
              <w:tblPrEx/>
              <w:trPr>
                <w:trHeight w:val="170"/>
              </w:trPr>
              <w:tc>
                <w:tcPr>
                  <w:gridSpan w:val="2"/>
                  <w:tcW w:w="5186" w:type="dxa"/>
                  <w:textDirection w:val="lrTb"/>
                  <w:noWrap w:val="false"/>
                </w:tcPr>
                <w:p>
                  <w:pPr>
                    <w:pStyle w:val="617"/>
                    <w:ind w:left="0" w:right="0" w:firstLine="0"/>
                    <w:jc w:val="center"/>
                    <w:spacing w:before="0" w:after="0"/>
                    <w:widowControl w:val="off"/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М.П.</w:t>
                  </w:r>
                  <w:r/>
                </w:p>
              </w:tc>
            </w:tr>
          </w:tbl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Mar>
              <w:left w:w="0" w:type="dxa"/>
              <w:right w:w="0" w:type="dxa"/>
            </w:tcMar>
            <w:tcW w:w="5186" w:type="dxa"/>
            <w:textDirection w:val="lrTb"/>
            <w:noWrap w:val="false"/>
          </w:tcPr>
          <w:tbl>
            <w:tblPr>
              <w:tblW w:w="5000" w:type="pct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2593"/>
              <w:gridCol w:w="2593"/>
            </w:tblGrid>
            <w:tr>
              <w:tblPrEx/>
              <w:trPr>
                <w:trHeight w:val="283"/>
              </w:trPr>
              <w:tc>
                <w:tcPr>
                  <w:gridSpan w:val="2"/>
                  <w:tcW w:w="5186" w:type="dxa"/>
                  <w:textDirection w:val="lrTb"/>
                  <w:noWrap w:val="false"/>
                </w:tcPr>
                <w:p>
                  <w:pPr>
                    <w:pStyle w:val="617"/>
                    <w:ind w:left="0" w:right="0" w:firstLine="0"/>
                    <w:spacing w:before="0" w:after="0"/>
                    <w:widowControl w:val="off"/>
                    <w:tabs>
                      <w:tab w:val="clear" w:pos="720" w:leader="none"/>
                    </w:tabs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</w:r>
                  <w:r>
                    <w:rPr>
                      <w:rFonts w:ascii="Times New Roman" w:hAnsi="Times New Roman"/>
                      <w:color w:val="000000"/>
                    </w:rPr>
                  </w:r>
                </w:p>
              </w:tc>
            </w:tr>
            <w:tr>
              <w:tblPrEx/>
              <w:trPr>
                <w:trHeight w:val="283"/>
              </w:trPr>
              <w:tc>
                <w:tcPr>
                  <w:gridSpan w:val="2"/>
                  <w:tcW w:w="5186" w:type="dxa"/>
                  <w:textDirection w:val="lrTb"/>
                  <w:noWrap w:val="false"/>
                </w:tcPr>
                <w:p>
                  <w:pPr>
                    <w:pStyle w:val="617"/>
                    <w:ind w:left="0" w:right="0" w:firstLine="0"/>
                    <w:spacing w:before="0" w:after="0"/>
                    <w:widowControl w:val="off"/>
                    <w:tabs>
                      <w:tab w:val="clear" w:pos="720" w:leader="none"/>
                    </w:tabs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Ректор</w:t>
                  </w:r>
                  <w:r/>
                </w:p>
              </w:tc>
            </w:tr>
            <w:tr>
              <w:tblPrEx/>
              <w:trPr>
                <w:trHeight w:val="170"/>
              </w:trPr>
              <w:tc>
                <w:tcPr>
                  <w:tcBorders>
                    <w:bottom w:val="single" w:color="000000" w:sz="6" w:space="0"/>
                  </w:tcBorders>
                  <w:tcW w:w="2593" w:type="dxa"/>
                  <w:textDirection w:val="lrTb"/>
                  <w:noWrap w:val="false"/>
                </w:tcPr>
                <w:p>
                  <w:pPr>
                    <w:pStyle w:val="617"/>
                    <w:ind w:left="0" w:right="0" w:firstLine="0"/>
                    <w:spacing w:before="0" w:after="0"/>
                    <w:widowControl w:val="off"/>
                    <w:tabs>
                      <w:tab w:val="clear" w:pos="720" w:leader="none"/>
                    </w:tabs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</w:r>
                  <w:r>
                    <w:rPr>
                      <w:rFonts w:ascii="Times New Roman" w:hAnsi="Times New Roman"/>
                      <w:color w:val="000000"/>
                    </w:rPr>
                  </w:r>
                </w:p>
              </w:tc>
              <w:tc>
                <w:tcPr>
                  <w:tcW w:w="2593" w:type="dxa"/>
                  <w:textDirection w:val="lrTb"/>
                  <w:noWrap w:val="false"/>
                </w:tcPr>
                <w:p>
                  <w:pPr>
                    <w:pStyle w:val="617"/>
                    <w:ind w:left="0" w:right="0" w:firstLine="0"/>
                    <w:spacing w:before="0" w:after="0"/>
                    <w:widowControl w:val="off"/>
                    <w:tabs>
                      <w:tab w:val="clear" w:pos="720" w:leader="none"/>
                    </w:tabs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С.Н. Бочаров</w:t>
                  </w:r>
                  <w:r/>
                </w:p>
              </w:tc>
            </w:tr>
            <w:tr>
              <w:tblPrEx/>
              <w:trPr>
                <w:trHeight w:val="170"/>
              </w:trPr>
              <w:tc>
                <w:tcPr>
                  <w:gridSpan w:val="2"/>
                  <w:tcW w:w="5186" w:type="dxa"/>
                  <w:textDirection w:val="lrTb"/>
                  <w:noWrap w:val="false"/>
                </w:tcPr>
                <w:p>
                  <w:pPr>
                    <w:pStyle w:val="617"/>
                    <w:ind w:left="0" w:right="0" w:firstLine="0"/>
                    <w:jc w:val="center"/>
                    <w:spacing w:before="0" w:after="0"/>
                    <w:widowControl w:val="off"/>
                    <w:tabs>
                      <w:tab w:val="clear" w:pos="720" w:leader="none"/>
                    </w:tabs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М.П.</w:t>
                  </w:r>
                  <w:r/>
                </w:p>
              </w:tc>
            </w:tr>
          </w:tbl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</w:tbl>
    <w:tbl>
      <w:tblPr>
        <w:tblW w:w="10600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133"/>
        <w:gridCol w:w="9466"/>
      </w:tblGrid>
      <w:tr>
        <w:tblPrEx/>
        <w:trPr/>
        <w:tc>
          <w:tcPr>
            <w:tcW w:w="1133" w:type="dxa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b/>
                <w:bCs/>
                <w:color w:val="000000"/>
              </w:rPr>
            </w:pPr>
            <w:r/>
            <w:r>
              <w:rPr>
                <w:rFonts w:ascii="Times New Roman" w:hAnsi="Times New Roman"/>
                <w:b/>
                <w:bCs/>
                <w:color w:val="000000"/>
              </w:rPr>
            </w:r>
          </w:p>
        </w:tc>
        <w:tc>
          <w:tcPr>
            <w:tcW w:w="9466" w:type="dxa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Приложение 1</w:t>
            </w:r>
            <w:r>
              <w:rPr>
                <w:rFonts w:ascii="Times New Roman" w:hAnsi="Times New Roman"/>
                <w:b/>
                <w:bCs/>
                <w:color w:val="000000"/>
              </w:rPr>
            </w:r>
          </w:p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к Договору № </w:t>
            </w:r>
            <w:r/>
          </w:p>
        </w:tc>
      </w:tr>
      <w:tr>
        <w:tblPrEx/>
        <w:trPr/>
        <w:tc>
          <w:tcPr>
            <w:gridSpan w:val="2"/>
            <w:tcW w:w="10599" w:type="dxa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Спецификация №</w:t>
            </w:r>
            <w:r>
              <w:rPr>
                <w:rFonts w:ascii="Times New Roman" w:hAnsi="Times New Roman"/>
                <w:b/>
                <w:bCs/>
                <w:color w:val="000000"/>
              </w:rPr>
            </w:r>
          </w:p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с ФГБОУ ВО “АЛТАЙСКИЙ ГОСУДАРСТВЕННЫЙ УНИВЕРСИТЕТ”,АЛТГУ,АЛТАЙСКИЙ ГОСУДАРСТВЕННЫЙ УНИВЕРСИТЕТ (ИНН 2225004738; КПП 222501001)</w:t>
            </w:r>
            <w:r/>
          </w:p>
        </w:tc>
      </w:tr>
    </w:tbl>
    <w:p>
      <w:pPr>
        <w:pStyle w:val="617"/>
        <w:ind w:left="0" w:right="0" w:firstLine="0"/>
        <w:spacing w:before="226" w:after="113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1.1. Право использования программы для ЭВМ</w:t>
      </w:r>
      <w:r>
        <w:rPr>
          <w:rFonts w:ascii="Times New Roman" w:hAnsi="Times New Roman"/>
          <w:color w:val="000000"/>
        </w:rPr>
      </w:r>
    </w:p>
    <w:tbl>
      <w:tblPr>
        <w:tblW w:w="10201" w:type="dxa"/>
        <w:tblInd w:w="119" w:type="dxa"/>
        <w:tblLayout w:type="fixed"/>
        <w:tblCellMar>
          <w:left w:w="56" w:type="dxa"/>
          <w:top w:w="28" w:type="dxa"/>
          <w:right w:w="56" w:type="dxa"/>
          <w:bottom w:w="28" w:type="dxa"/>
        </w:tblCellMar>
        <w:tblLook w:val="04A0" w:firstRow="1" w:lastRow="0" w:firstColumn="1" w:lastColumn="0" w:noHBand="0" w:noVBand="1"/>
      </w:tblPr>
      <w:tblGrid>
        <w:gridCol w:w="339"/>
        <w:gridCol w:w="3401"/>
        <w:gridCol w:w="453"/>
        <w:gridCol w:w="566"/>
        <w:gridCol w:w="907"/>
        <w:gridCol w:w="1248"/>
        <w:gridCol w:w="1189"/>
        <w:gridCol w:w="851"/>
        <w:gridCol w:w="1246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39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№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Ед.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Кол-во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Цена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Стоимость без налога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Налоговая ставка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Сумма налога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Стоимость с налогом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39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Лицензия на право использования программы для ЭВМ «Контур.Фокус» по тарифному плану «Базовый» для дополнительного пользователя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шт.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6,00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Без НДС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Без НДС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39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</w:pPr>
            <w:r>
              <w:rPr>
                <w:rFonts w:ascii="Times New Roman" w:hAnsi="Times New Roman"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</w:pPr>
            <w:r>
              <w:rPr>
                <w:rFonts w:ascii="Times New Roman" w:hAnsi="Times New Roman"/>
                <w:color w:val="000000"/>
              </w:rPr>
              <w:t xml:space="preserve">Лицензия на право использования программы для ЭВМ «Контур.Фокус» по тарифному плану «Базовый» на 13 месяцев для основного пользователя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</w:pPr>
            <w:r>
              <w:rPr>
                <w:rFonts w:ascii="Times New Roman" w:hAnsi="Times New Roman"/>
                <w:color w:val="000000"/>
              </w:rPr>
              <w:t xml:space="preserve">шт.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</w:pPr>
            <w:r>
              <w:rPr>
                <w:rFonts w:ascii="Times New Roman" w:hAnsi="Times New Roman"/>
                <w:color w:val="000000"/>
              </w:rPr>
              <w:t xml:space="preserve">1,00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</w:pPr>
            <w:r>
              <w:rPr>
                <w:rFonts w:ascii="Times New Roman" w:hAnsi="Times New Roman"/>
                <w:color w:val="000000"/>
              </w:rPr>
              <w:t xml:space="preserve">Без НДС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center"/>
              <w:spacing w:before="0" w:after="0"/>
              <w:widowControl w:val="off"/>
            </w:pPr>
            <w:r>
              <w:rPr>
                <w:rFonts w:ascii="Times New Roman" w:hAnsi="Times New Roman"/>
                <w:color w:val="000000"/>
              </w:rPr>
              <w:t xml:space="preserve">Без НДС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/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03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ИТОГО: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Без НДС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</w:r>
            <w:r>
              <w:rPr>
                <w:rFonts w:ascii="Times New Roman" w:hAnsi="Times New Roman"/>
                <w:b/>
                <w:bCs/>
                <w:color w:val="000000"/>
              </w:rPr>
            </w:r>
          </w:p>
        </w:tc>
      </w:tr>
    </w:tbl>
    <w:p>
      <w:pPr>
        <w:pStyle w:val="617"/>
        <w:ind w:left="0" w:right="0" w:firstLine="0"/>
        <w:spacing w:before="226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Общая стоимость Спецификации по п.1 составляет: </w:t>
      </w:r>
      <w:r>
        <w:rPr>
          <w:rFonts w:ascii="Times New Roman" w:hAnsi="Times New Roman"/>
          <w:color w:val="000000"/>
        </w:rPr>
      </w:r>
    </w:p>
    <w:p>
      <w:pPr>
        <w:pStyle w:val="617"/>
        <w:ind w:left="0" w:right="0" w:firstLine="0"/>
        <w:spacing w:before="226" w:after="226"/>
        <w:widowControl w:val="off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ВНИМАНИЕ! Стоимость права использования программы для ЭВМ, внесенной в единый реестр российских программ для электронных </w:t>
      </w:r>
      <w:r>
        <w:rPr>
          <w:rFonts w:ascii="Times New Roman" w:hAnsi="Times New Roman"/>
          <w:b/>
          <w:bCs/>
          <w:color w:val="000000"/>
        </w:rPr>
        <w:t xml:space="preserve">вычислительных машин и баз данных, НДС не облагается на основании подпункта 26 пункта 2 статьи 149 Налогового кодекса Российской Федерации, не внесенной – облагается НДС по ставке, установленной пунктом 3 статьи 164 Налогового кодекса Российской Федерации.</w:t>
      </w:r>
      <w:r>
        <w:rPr>
          <w:rFonts w:ascii="Times New Roman" w:hAnsi="Times New Roman"/>
          <w:b/>
          <w:bCs/>
          <w:color w:val="000000"/>
        </w:rPr>
      </w:r>
    </w:p>
    <w:p>
      <w:pPr>
        <w:pStyle w:val="617"/>
        <w:ind w:left="0" w:right="0" w:firstLine="0"/>
        <w:spacing w:before="0" w:after="0"/>
        <w:widowControl w:val="o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  </w:t>
      </w:r>
      <w:r>
        <w:rPr>
          <w:rFonts w:ascii="Times New Roman" w:hAnsi="Times New Roman"/>
          <w:color w:val="000000"/>
        </w:rPr>
      </w:r>
    </w:p>
    <w:tbl>
      <w:tblPr>
        <w:tblW w:w="10600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650"/>
        <w:gridCol w:w="2650"/>
        <w:gridCol w:w="2650"/>
        <w:gridCol w:w="2649"/>
      </w:tblGrid>
      <w:tr>
        <w:tblPrEx/>
        <w:trPr/>
        <w:tc>
          <w:tcPr>
            <w:gridSpan w:val="2"/>
            <w:tcW w:w="5300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ЛИЦЕНЗИАР</w:t>
            </w:r>
            <w:r/>
          </w:p>
        </w:tc>
        <w:tc>
          <w:tcPr>
            <w:gridSpan w:val="2"/>
            <w:tcW w:w="5299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ЛИЦЕНЗИАТ</w:t>
            </w:r>
            <w:r/>
          </w:p>
        </w:tc>
      </w:tr>
      <w:tr>
        <w:tblPrEx/>
        <w:trPr/>
        <w:tc>
          <w:tcPr>
            <w:gridSpan w:val="2"/>
            <w:tcW w:w="5300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gridSpan w:val="2"/>
            <w:tcW w:w="5299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</w:pPr>
            <w:r>
              <w:rPr>
                <w:rFonts w:ascii="Times New Roman" w:hAnsi="Times New Roman"/>
                <w:color w:val="000000"/>
              </w:rPr>
              <w:t xml:space="preserve">ФГБОУ ВО “АЛТАЙСКИЙ ГОСУДАРСТВЕННЫЙ УНИВЕРСИТЕТ”,АЛТГУ,АЛТАЙСКИЙ ГОСУДАРСТВЕННЫЙ УНИВЕРСИТЕТ</w:t>
            </w:r>
            <w:r/>
          </w:p>
        </w:tc>
      </w:tr>
      <w:tr>
        <w:tblPrEx/>
        <w:trPr/>
        <w:tc>
          <w:tcPr>
            <w:gridSpan w:val="2"/>
            <w:tcW w:w="5300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gridSpan w:val="2"/>
            <w:tcW w:w="5299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</w:pPr>
            <w:r>
              <w:rPr>
                <w:rFonts w:ascii="Times New Roman" w:hAnsi="Times New Roman"/>
                <w:color w:val="000000"/>
              </w:rPr>
              <w:t xml:space="preserve">Ректор</w:t>
            </w:r>
            <w:r/>
          </w:p>
        </w:tc>
      </w:tr>
      <w:tr>
        <w:tblPrEx/>
        <w:trPr/>
        <w:tc>
          <w:tcPr>
            <w:tcBorders>
              <w:bottom w:val="single" w:color="000000" w:sz="6" w:space="0"/>
            </w:tcBorders>
            <w:tcW w:w="2650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2650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bottom w:val="single" w:color="000000" w:sz="6" w:space="0"/>
            </w:tcBorders>
            <w:tcW w:w="2650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2649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С.Н. Бочаров</w:t>
            </w:r>
            <w:r/>
          </w:p>
        </w:tc>
      </w:tr>
      <w:tr>
        <w:tblPrEx/>
        <w:trPr/>
        <w:tc>
          <w:tcPr>
            <w:tcW w:w="2650" w:type="dxa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М.П.</w:t>
            </w:r>
            <w:r/>
          </w:p>
        </w:tc>
        <w:tc>
          <w:tcPr>
            <w:tcW w:w="2650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2650" w:type="dxa"/>
            <w:textDirection w:val="lrTb"/>
            <w:noWrap w:val="false"/>
          </w:tcPr>
          <w:p>
            <w:pPr>
              <w:pStyle w:val="617"/>
              <w:ind w:left="0" w:right="0" w:firstLine="0"/>
              <w:jc w:val="right"/>
              <w:spacing w:before="0" w:after="0"/>
              <w:widowControl w:val="off"/>
              <w:tabs>
                <w:tab w:val="clear" w:pos="720" w:leader="none"/>
              </w:tabs>
            </w:pPr>
            <w:r>
              <w:rPr>
                <w:rFonts w:ascii="Times New Roman" w:hAnsi="Times New Roman"/>
                <w:color w:val="000000"/>
              </w:rPr>
              <w:t xml:space="preserve">М.П.</w:t>
            </w:r>
            <w:r/>
          </w:p>
        </w:tc>
        <w:tc>
          <w:tcPr>
            <w:tcW w:w="2649" w:type="dxa"/>
            <w:textDirection w:val="lrTb"/>
            <w:noWrap w:val="false"/>
          </w:tcPr>
          <w:p>
            <w:pPr>
              <w:pStyle w:val="617"/>
              <w:ind w:left="0" w:right="0" w:firstLine="0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</w:tbl>
    <w:p>
      <w:pPr>
        <w:pStyle w:val="617"/>
        <w:ind w:left="0" w:right="0" w:firstLine="0"/>
        <w:spacing w:before="0"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623" w:right="623" w:bottom="623" w:left="90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CJK SC">
    <w:panose1 w:val="020B0500000000000000"/>
  </w:font>
  <w:font w:name="Times New Roman">
    <w:panose1 w:val="02020603050405020304"/>
  </w:font>
  <w:font w:name="Calibri">
    <w:panose1 w:val="020F0502020204030204"/>
  </w:font>
  <w:font w:name="Noto Serif CJK SC">
    <w:panose1 w:val="02020400000000000000"/>
  </w:font>
  <w:font w:name="FreeSans">
    <w:panose1 w:val="020B0504020202020204"/>
  </w:font>
  <w:font w:name="Arial">
    <w:panose1 w:val="020B0604020202020204"/>
  </w:font>
  <w:font w:name="PT Astra Serif">
    <w:panose1 w:val="020A0603040505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23"/>
    <w:link w:val="44"/>
    <w:uiPriority w:val="99"/>
  </w:style>
  <w:style w:type="table" w:styleId="48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character" w:styleId="618" w:default="1">
    <w:name w:val="Default Paragraph Font"/>
    <w:qFormat/>
  </w:style>
  <w:style w:type="character" w:styleId="619">
    <w:name w:val="Hyperlink"/>
    <w:rPr>
      <w:color w:val="000080"/>
      <w:u w:val="single"/>
    </w:rPr>
  </w:style>
  <w:style w:type="paragraph" w:styleId="620">
    <w:name w:val="Заголовок"/>
    <w:basedOn w:val="617"/>
    <w:next w:val="621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621">
    <w:name w:val="Body Text"/>
    <w:basedOn w:val="617"/>
    <w:pPr>
      <w:spacing w:before="0" w:after="140" w:line="276" w:lineRule="auto"/>
    </w:pPr>
  </w:style>
  <w:style w:type="paragraph" w:styleId="622">
    <w:name w:val="List"/>
    <w:basedOn w:val="621"/>
    <w:rPr>
      <w:rFonts w:ascii="PT Astra Serif" w:hAnsi="PT Astra Serif" w:cs="FreeSans"/>
    </w:rPr>
  </w:style>
  <w:style w:type="paragraph" w:styleId="623">
    <w:name w:val="Caption"/>
    <w:basedOn w:val="617"/>
    <w:qFormat/>
    <w:pPr>
      <w:spacing w:before="120" w:after="120"/>
      <w:suppressLineNumbers/>
    </w:pPr>
    <w:rPr>
      <w:rFonts w:ascii="PT Astra Serif" w:hAnsi="PT Astra Serif" w:cs="FreeSans"/>
      <w:i/>
      <w:iCs/>
      <w:sz w:val="24"/>
      <w:szCs w:val="24"/>
    </w:rPr>
  </w:style>
  <w:style w:type="paragraph" w:styleId="624">
    <w:name w:val="Указатель"/>
    <w:basedOn w:val="617"/>
    <w:qFormat/>
    <w:pPr>
      <w:suppressLineNumbers/>
    </w:pPr>
    <w:rPr>
      <w:rFonts w:ascii="PT Astra Serif" w:hAnsi="PT Astra Serif" w:cs="FreeSans"/>
    </w:rPr>
  </w:style>
  <w:style w:type="paragraph" w:styleId="625" w:default="1">
    <w:name w:val="Normal Table"/>
    <w:qFormat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numbering" w:styleId="20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focus.kontur.ru/site/price" TargetMode="External"/><Relationship Id="rId10" Type="http://schemas.openxmlformats.org/officeDocument/2006/relationships/hyperlink" Target="https://kontur.ru/contacts/all" TargetMode="External"/><Relationship Id="rId11" Type="http://schemas.openxmlformats.org/officeDocument/2006/relationships/hyperlink" Target="https://kontur.ru/about/licences" TargetMode="External"/><Relationship Id="rId12" Type="http://schemas.openxmlformats.org/officeDocument/2006/relationships/hyperlink" Target="https://focus.kontur.ru/site/gov" TargetMode="External"/><Relationship Id="rId13" Type="http://schemas.openxmlformats.org/officeDocument/2006/relationships/hyperlink" Target="https://kontur.ru/about/licences" TargetMode="External"/><Relationship Id="rId14" Type="http://schemas.openxmlformats.org/officeDocument/2006/relationships/hyperlink" Target="https://kontur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Елена Николаевна</dc:creator>
  <dc:description/>
  <dc:language>ru-RU</dc:language>
  <cp:lastModifiedBy>alferova</cp:lastModifiedBy>
  <cp:revision>4</cp:revision>
  <dcterms:created xsi:type="dcterms:W3CDTF">2026-08-04T10:55:00Z</dcterms:created>
  <dcterms:modified xsi:type="dcterms:W3CDTF">2026-08-11T03:37:57Z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Деренчук Майя Александровна</vt:lpwstr>
  </property>
</Properties>
</file>