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№ ___</w:t>
      </w:r>
    </w:p>
    <w:p>
      <w:pPr>
        <w:tabs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оказание метрологических услуг (выполнение работ)</w:t>
      </w:r>
    </w:p>
    <w:p>
      <w:pPr>
        <w:tabs>
          <w:tab w:val="left" w:pos="864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__________2026 г.</w:t>
      </w:r>
    </w:p>
    <w:p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именуемая в дальнейшем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Исполниетль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», Сахалинская таможня от имени Российской Федерации, именуемая в дальнейшем «Заказчик», в лице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заместителя начальника Сахалинской таможни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Жарникова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Евгения Геннадьевича, действующего на основании приказа Сахалинской таможни от 20.12.2024 № 345 «О полномочиях по заключению государственных контрактов и договоров, подписанию финансовых документов и иных документов», доверенности от 03.04.2026 № 05-28/03498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при совместном упоминании именуемые «Стороны», на основании пункта </w:t>
      </w:r>
      <w:r>
        <w:rPr>
          <w:rFonts w:ascii="Times New Roman" w:hAnsi="Times New Roman" w:cs="Times New Roman"/>
          <w:sz w:val="24"/>
          <w:szCs w:val="24"/>
        </w:rPr>
        <w:t xml:space="preserve"> 4 части 1 статьи 93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Предметом настоящего договора является оказание «Исполнителем» по заданию и за счет «Заказчика метрологических услуг (работ) по поверке (калибровке) средств измерений (далее СИ), периодической аттестации испытательного оборудования (далее ИО), указанных в Графике поверки СИ на текущий год, а также оказание услуг (работ) по ремонту и юстировке СИ. Перечень и стоимость услуг (работ) указывается в Приложении №1, являющимся неотъемлемой частью Договора.</w:t>
      </w:r>
    </w:p>
    <w:p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ДОСТАВКА СИ осуществляет за счет Исполнителя (местонахождение СИ – г. Магадан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Шандора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Шимича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6/1)</w:t>
      </w:r>
    </w:p>
    <w:p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Поверка СИ проводится в соответствии с Федеральным законом от 26.06.2008№102-ФЗ «Об обеспечении единства измерений» и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31.07.2020№251 О «Об утверждении порядка проведения поверки средств измерений, требований к знаку поверки и содержанию свидетельства о поверке»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 .При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изменении объема услуг (работ), предусмотренных Приложением №1, сторонами заключается дополнительное соглашение к Договору.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.«Исполнитель» обязуется: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9195" cy="36576"/>
            <wp:effectExtent l="0" t="0" r="0" b="0"/>
            <wp:docPr id="28266" name="Picture 28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6" name="Picture 28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19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7342877</wp:posOffset>
            </wp:positionH>
            <wp:positionV relativeFrom="page">
              <wp:posOffset>7958422</wp:posOffset>
            </wp:positionV>
            <wp:extent cx="3048" cy="9144"/>
            <wp:effectExtent l="0" t="0" r="0" b="0"/>
            <wp:wrapSquare wrapText="bothSides"/>
            <wp:docPr id="7006" name="Picture 7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" name="Picture 70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2.1.1.Провести поверку (калибровку) СИ, периодическую аттестацию ИО в соответствии с утвержденными в установленном порядке нормативными документами в области обеспечения единства измерений,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44" cy="18288"/>
            <wp:effectExtent l="0" t="0" r="0" b="0"/>
            <wp:docPr id="7005" name="Picture 7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" name="Picture 70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поверки отразить в Федеральном информационном фонде по обеспечению единства измерений в соответствии с требованиями Приказа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28.08.2020 № 2906 «06 утверждении Порядка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сведений», конкретными документами по видам измерений и типам СИ, результаты аттестации - в соответствии с ГОСТ 8.568-2017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Атгестация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испытательного оборудования».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2.12. Предоставить услуги (работы), указанные в Приложении №1, в течение 20 рабочих дней с момента поступления предоплаты и средств измерений.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По согласованию с «Заказчиком» оказать срочные услуги (работы) в течение 1-3 рабочих дней, если это допустимо по технологии поверки (калибровки), аттестации ИО, при наличии письменной заявки.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 По согласованию с «Заказчиком» провести поверку (калибровку) СИ, аттестацию ИО, указанные в Приложении №1, на месте их эксплуатации.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По согласованию с «Заказчиком» провести поверку (калибровку) СИ, аттестацию ИО, предоставленных вне Перечня или с нарушенными сроками.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По согласованию с «Заказчиком» организовать или провести ремонт, регулировку, юстировку неисправных СИ с последующей их поверкой (калибровкой).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21.7. Обеспечить сохранность СИ, переданных «Исполнителю», в течение всего срока оказания услуг (работ).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«Заказчик» обязуется: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2.2.l. Предоставлять средства измерений своевременно, согласно графику поверки, и в полном объеме. В случае оказания услуг (проведения работ) на месте эксплуатации СИ, предварительно предоставить заявку, оформить счет и согласовать с «Исполнителем» дату и место оказания услуг, назначить ответственное лицо Сроки предоставления СИ на поверку Заказчик контролирует самостоятельно.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2.22. Предоставлять СИ на поверку (калибровку) с заявкой на поверку СИ (образец доступен для скачивания на сайте Центра), идентификационными номерами, в технически исправном состоянии,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расконсервированными, чистыми, без упаковочной тары, укомплектованные технической документацией, соединительными проводами и др. устройствами, ГСО, необходимыми для проведения поверки (калибровки).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СИ, эксплуатируемые в (на) агрессивных (специальных) средах, должны представляться на поверку (калибровку) обеззараженными, нейтрализованными, дезактивированными. Указанные в настоящем пункте СИ принимаются на поверку (калибровку) только при наличии справки, подтверждающей выполнение необходимых мероприятий по обеззараживанию, нейтрализации, дезактивации.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2.23. При оказании услуг (работ) на месте эксплуатации СИ и ИО, предоставлять ”Исполнителю”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44" cy="3048"/>
            <wp:effectExtent l="0" t="0" r="0" b="0"/>
            <wp:docPr id="7007" name="Picture 7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" name="Picture 70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вспомогательный персонал (специалистов, компетентных в области эксплуатации предъявляемых СИ и ИО, грузчиков), помещения, рабочее место, для которого по результатам специальной оценки условий труда в соответствии с ФЗ от 28.12.2013 г. № 426-ФЗ «О специальной оценке условий труда» определены критерии, отвечающие эргономичным, гигиеничным и безопасным условиям труда, а так же отвечающее требованиям эксплуатационной документации средств поверки, вспомогательного оборудования и поверяемых СИ, и требований к условиям применяемых методик поверки, программ и методик аттестации.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2.24. Своевременно и в полном объеме оплачивать услуги (работы) «Исполнителя», а также его затраты, связанные с выездом в другую местность (командировочные и другие расходы).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2.25. Вносить изменения в График поверки СИ по мере необходимости с письменным уведомлением «Исполнителя» за 30 дней до установленных сроков оказания услуг (проведения работ).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РФ.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Стоимость метрологических услуг (работ) и порядок расчетов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1. Стоимость предоставляемых метрологических услуг (работ) определяется в соответствии с Прейскурантом, утвержденным «Исполнителем» (размещен на сайте ________________).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Стоимость метрологических услуг (работ) по Договору, согласно Приложению №1, составляет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4496" cy="27440"/>
            <wp:effectExtent l="0" t="0" r="0" b="0"/>
            <wp:docPr id="28270" name="Picture 28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0" name="Picture 282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49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(в ценах на момент подписания договора)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Стоимость услуг по Договору может изменяться в случаях, предусмотренных п.п.2.1.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2.1.4.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настоящего контракта является твердой и не может изменяться в ходе его исполнения, за исключением случаев, предусмотренных законодательством Российской Федерации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За оказание дополнительных услуг (работ), оговоренных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2.1 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.-2.1 А., ”Исполнителем” взимается дополнительная плата (надбавка) в % отношении от основного тарифа (надбавки за дополнительные услуги (работы) указаны в Приложении №1).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Оплата услуг (работ) производится «Заказчиком» на основании выставленного «Исполнителем» счета и акта об оказании метрологических услуг не позднее 10 рабочих дней со дня выставления соответствующего счета в размере 10094.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Допускаются авансовые платежи в размере 3094 от суммы счета, внесенные не позднее 7 рабочих дней со дня выставления соответствующего счета. Окончательный расчет производится на основании акта об оказании услуг не позднее 7 рабочих дней со дня его подписания.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.5. Акт об оказании услуг подписывается обеими сторонами в течение 10 рабочих дней.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неподписания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акта и не предоставления официального мотивированного отказа от его подписания в течение 10 рабочих дней с момента его оформления, акт считается утвержденным, а услуги (работы) по данному акту оказанными (выполненными) надлежащим образом и подлежащими оплате.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 .6. Расчеты производятся путем перечисления денежных средств на лицевой счет «Исполнителя».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 Обязательства «Заказчика» по оплате услуг (работ) считаются исполненными с момента зачисления денежных средств на лицевой счет «Исполнителя».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 «Исполнитель» имеет право на изменение тарифов в течение срока действия Договора. При этом по письменному требованию «Заказчика» направляет в его адрес действующий расчет стоимости услуг (работ) с информационным письмом об изменении тарифов. Дополнительно «Исполнитель» размещает на сайте Центра информацию об изменении тарифов на услуги (работы) не позднее, чем за 10 календарных дней до ввода в действие нового Прейскуранта цен.</w:t>
      </w:r>
    </w:p>
    <w:p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Ответственность сторон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своих обязательств по настоящему кон-тракту СТОРОНЫ несут ответственность в соответствии с действующим законодательством Российской Федерации,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сдачи и приема оказанных услуг (выполненных работ)</w:t>
      </w:r>
    </w:p>
    <w:p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окончании услуг (завершении работ) «Исполнитель» отражает результат поверки в Федеральном информационном фонде по обеспечению единства измерений в соответствии с требованиями Порядка, утвержденными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28.08.2020г. №2906 в сроки, не превышающие 40 раб.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  <w:lang w:eastAsia="ru-RU"/>
        </w:rPr>
        <w:drawing>
          <wp:inline distT="0" distB="0" distL="0" distR="0">
            <wp:extent cx="9147" cy="9146"/>
            <wp:effectExtent l="0" t="0" r="0" b="0"/>
            <wp:docPr id="11478" name="Picture 1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" name="Picture 114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дней, аттестации ИО - в соответствии с ГОСТ 8.568-2017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Атгестация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испытательного оборудования»</w:t>
      </w:r>
      <w:r>
        <w:rPr>
          <w:noProof/>
          <w:lang w:eastAsia="ru-RU"/>
        </w:rPr>
        <w:drawing>
          <wp:inline distT="0" distB="0" distL="0" distR="0">
            <wp:extent cx="21344" cy="21342"/>
            <wp:effectExtent l="0" t="0" r="0" b="0"/>
            <wp:docPr id="11479" name="Picture 1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" name="Picture 114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Получение средств измерений после поверки представителем «Заказчика» производится на основании надлежаще оформленной доверенности.</w:t>
      </w:r>
    </w:p>
    <w:p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оплаты счета в полном размере и фактически оказанных услуг (работ) «Исполнитель» выставляет «Заказчику» счет-фактуру, оформленную в соответствии с требованиями ст. 169 НК РФ, и акт об оказании услуг.</w:t>
      </w:r>
    </w:p>
    <w:p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претензии по оказанию услуг, комплектности СИ, идентичности и т.д. принимаются «Исполнителем» в момент сдачи оказанных услуг (выполненных работ) «Заказчику». После приемки оказанных услуг (выполненных работ) и средств измерений претензии «Исполнителем» не принимаются.</w:t>
      </w:r>
    </w:p>
    <w:p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отсутствия оплаты (неполной оплаты) Заказчиком за оказанные услуги (работы), Исполнитель имеет право задержать выдачу СИ и результатов проведенных работ до полной оплаты услуг (работ).</w:t>
      </w:r>
    </w:p>
    <w:p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потери рабочего времени специалиста при оказании услуг (выполнении работ) на месте эксплуатации СИ. Исполнитель вправе востребовать компенсации потерь, исходя из стоимости 1 нормативного часа специалиста.</w:t>
      </w:r>
    </w:p>
    <w:p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оказания метрологических услуг (работ) по договору - не позднее 18 декабря 2026 года.</w:t>
      </w:r>
    </w:p>
    <w:p>
      <w:pPr>
        <w:pStyle w:val="a3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Антикоррупционные условия</w:t>
      </w:r>
    </w:p>
    <w:p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каких=либо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48" cy="9147"/>
            <wp:effectExtent l="0" t="0" r="0" b="0"/>
            <wp:docPr id="11480" name="Picture 1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" name="Picture 114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цели.</w:t>
      </w:r>
    </w:p>
    <w:p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(отмыванию) доходов, полученных преступным путем.</w:t>
      </w:r>
    </w:p>
    <w:p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посредниками, выражающееся в действиях квалифицируемых применимым законодательством, как дача или получение взятки, коммерческий подкуп а так 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 и другие условия</w:t>
      </w:r>
    </w:p>
    <w:p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подписания его обеими сторонами и действует до 26.12.2026г., а в части взаиморасчетов - до исполнения своих обязательств каждой из сторон в полном объеме.</w:t>
      </w:r>
    </w:p>
    <w:p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расторжения, изменения Договора, разрешения споров между сторонами осуществляется в соответствии с действующим законодательством РФ.</w:t>
      </w:r>
    </w:p>
    <w:p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досрочного расторжения Договора «Заказчик» оплачивает «Исполнителю» стоимость фактически оказанных услуг (выполненных работ).</w:t>
      </w:r>
    </w:p>
    <w:p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из сторон.</w:t>
      </w:r>
    </w:p>
    <w:p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Договор не подтверждает наличия каких-либо партнерских отношений между «Исполнителем»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”Заказчиком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”, кроме оказания услуг (выполнения работ) прямо предусмотренных настоящим Договором и не дает права использования наименования ”Исполнителя”, ссылок на ”Исполнителя” и его информационные ресурсы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 сети Интернет) в целях рекламы, продвижения продукции (работ, услуг) ”Заказчика”, либо и иных целях, прямо не предусмотренных настоящим Договором.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Юридические адреса и банковские реквизиты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                                                                                                                  Исполнитель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693008, г. Южно-Сахалинск,                                                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Пограничная, 56,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49 12 87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sakh@dvtu.customs.gov.ru  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ОКЦ № 1 ДГУ Банка России //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УФК по Приморскому краю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Владивосток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(Сахалинская таможня,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л/сч.03611255660)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Единый казначейский счет:         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40102810545370000012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Казначейский счет: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03211643000000012004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010507002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ОКОНХ 97200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48712477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6500000793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650101001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64701000001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 таможни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____________________________/Е.Г. Жарников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ectPr>
          <w:pgSz w:w="12034" w:h="16925"/>
          <w:pgMar w:top="125" w:right="494" w:bottom="256" w:left="288" w:header="720" w:footer="720" w:gutter="0"/>
          <w:cols w:space="720"/>
        </w:sectPr>
      </w:pPr>
    </w:p>
    <w:p>
      <w:pPr>
        <w:spacing w:after="0"/>
      </w:pPr>
    </w:p>
    <w:tbl>
      <w:tblPr>
        <w:tblStyle w:val="TableGrid"/>
        <w:tblpPr w:vertAnchor="text" w:horzAnchor="margin"/>
        <w:tblOverlap w:val="never"/>
        <w:tblW w:w="10885" w:type="dxa"/>
        <w:tblInd w:w="0" w:type="dxa"/>
        <w:tblLayout w:type="fixed"/>
        <w:tblCellMar>
          <w:top w:w="5" w:type="dxa"/>
        </w:tblCellMar>
        <w:tblLook w:val="04A0" w:firstRow="1" w:lastRow="0" w:firstColumn="1" w:lastColumn="0" w:noHBand="0" w:noVBand="1"/>
      </w:tblPr>
      <w:tblGrid>
        <w:gridCol w:w="10885"/>
      </w:tblGrid>
      <w:tr>
        <w:trPr>
          <w:trHeight w:val="1282"/>
        </w:trPr>
        <w:tc>
          <w:tcPr>
            <w:tcW w:w="10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65" w:line="251" w:lineRule="auto"/>
              <w:ind w:left="7699" w:firstLine="1594"/>
              <w:jc w:val="both"/>
            </w:pPr>
            <w:r>
              <w:rPr>
                <w:rFonts w:ascii="Times New Roman" w:eastAsia="Times New Roman" w:hAnsi="Times New Roman" w:cs="Times New Roman"/>
              </w:rPr>
              <w:t>Приложение № 1 к договору КФ119 от 14.04.2026г.</w:t>
            </w:r>
          </w:p>
          <w:p>
            <w:pPr>
              <w:ind w:left="274"/>
            </w:pPr>
            <w:r>
              <w:rPr>
                <w:rFonts w:ascii="Times New Roman" w:eastAsia="Times New Roman" w:hAnsi="Times New Roman" w:cs="Times New Roman"/>
              </w:rPr>
              <w:t>Перечень средств измерений (оборудования), подлежащих поверке(калибровке) в 2026 году, принадлежащих</w:t>
            </w:r>
          </w:p>
          <w:p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Заказчику: САХАЛИНСКАЯ ТАМОЖНЯ</w:t>
            </w:r>
          </w:p>
          <w:tbl>
            <w:tblPr>
              <w:tblStyle w:val="TableGrid"/>
              <w:tblW w:w="10933" w:type="dxa"/>
              <w:tblInd w:w="0" w:type="dxa"/>
              <w:tblLayout w:type="fixed"/>
              <w:tblCellMar>
                <w:top w:w="43" w:type="dxa"/>
                <w:left w:w="107" w:type="dxa"/>
                <w:right w:w="133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2004"/>
              <w:gridCol w:w="1591"/>
              <w:gridCol w:w="1684"/>
              <w:gridCol w:w="554"/>
              <w:gridCol w:w="1020"/>
              <w:gridCol w:w="698"/>
              <w:gridCol w:w="1026"/>
              <w:gridCol w:w="916"/>
              <w:gridCol w:w="965"/>
            </w:tblGrid>
            <w:tr>
              <w:trPr>
                <w:trHeight w:val="453"/>
              </w:trPr>
              <w:tc>
                <w:tcPr>
                  <w:tcW w:w="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2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238" w:hanging="23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Наименование, тип, оборудование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right="5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код</w:t>
                  </w:r>
                </w:p>
              </w:tc>
              <w:tc>
                <w:tcPr>
                  <w:tcW w:w="16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5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Вид работ</w:t>
                  </w:r>
                </w:p>
              </w:tc>
              <w:tc>
                <w:tcPr>
                  <w:tcW w:w="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14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Кол</w:t>
                  </w:r>
                </w:p>
                <w:p>
                  <w:pPr>
                    <w:framePr w:wrap="around" w:vAnchor="text" w:hAnchor="margin"/>
                    <w:ind w:right="10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-во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right="5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Цена без</w:t>
                  </w:r>
                </w:p>
                <w:p>
                  <w:pPr>
                    <w:framePr w:wrap="around" w:vAnchor="text" w:hAnchor="margin"/>
                    <w:ind w:right="5"/>
                    <w:suppressOverlap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ндс</w:t>
                  </w:r>
                  <w:proofErr w:type="spellEnd"/>
                </w:p>
              </w:tc>
              <w:tc>
                <w:tcPr>
                  <w:tcW w:w="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106" w:hanging="101"/>
                    <w:suppressOverlap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Надба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вка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231" w:hanging="197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Сумма без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ндс</w:t>
                  </w:r>
                  <w:proofErr w:type="spellEnd"/>
                </w:p>
              </w:tc>
              <w:tc>
                <w:tcPr>
                  <w:tcW w:w="9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173" w:hanging="7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Сумма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ндс</w:t>
                  </w:r>
                  <w:proofErr w:type="spellEnd"/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Всего</w:t>
                  </w:r>
                </w:p>
              </w:tc>
            </w:tr>
            <w:tr>
              <w:trPr>
                <w:trHeight w:val="757"/>
              </w:trPr>
              <w:tc>
                <w:tcPr>
                  <w:tcW w:w="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11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2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right="1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Поверка:</w:t>
                  </w:r>
                </w:p>
                <w:p>
                  <w:pPr>
                    <w:framePr w:wrap="around" w:vAnchor="text" w:hAnchor="margin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Теплосчетчики СПТ-941 (мод 941.10, 941.11)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10"/>
                    <w:suppressOverlap/>
                  </w:pPr>
                </w:p>
              </w:tc>
              <w:tc>
                <w:tcPr>
                  <w:tcW w:w="16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5"/>
                    <w:suppressOverlap/>
                    <w:jc w:val="center"/>
                  </w:pPr>
                </w:p>
              </w:tc>
              <w:tc>
                <w:tcPr>
                  <w:tcW w:w="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right="5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19"/>
                    <w:suppressOverlap/>
                    <w:jc w:val="center"/>
                  </w:pPr>
                </w:p>
              </w:tc>
              <w:tc>
                <w:tcPr>
                  <w:tcW w:w="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right="5"/>
                    <w:suppressOverlap/>
                    <w:jc w:val="center"/>
                  </w:pPr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34"/>
                    <w:suppressOverlap/>
                  </w:pPr>
                </w:p>
              </w:tc>
              <w:tc>
                <w:tcPr>
                  <w:tcW w:w="9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5"/>
                    <w:suppressOverlap/>
                    <w:jc w:val="center"/>
                  </w:pPr>
                </w:p>
              </w:tc>
            </w:tr>
            <w:tr>
              <w:trPr>
                <w:trHeight w:val="1380"/>
              </w:trPr>
              <w:tc>
                <w:tcPr>
                  <w:tcW w:w="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16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2</w:t>
                  </w:r>
                </w:p>
              </w:tc>
              <w:tc>
                <w:tcPr>
                  <w:tcW w:w="2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Аренда оборудования – Стенд поверочный для вычислителей модуля СКС-6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14"/>
                    <w:suppressOverlap/>
                  </w:pPr>
                </w:p>
              </w:tc>
              <w:tc>
                <w:tcPr>
                  <w:tcW w:w="16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suppressOverlap/>
                    <w:jc w:val="center"/>
                  </w:pPr>
                </w:p>
              </w:tc>
              <w:tc>
                <w:tcPr>
                  <w:tcW w:w="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5"/>
                    <w:suppressOverlap/>
                    <w:jc w:val="center"/>
                  </w:pPr>
                </w:p>
              </w:tc>
              <w:tc>
                <w:tcPr>
                  <w:tcW w:w="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14"/>
                    <w:suppressOverlap/>
                    <w:jc w:val="center"/>
                  </w:pPr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5"/>
                    <w:suppressOverlap/>
                    <w:jc w:val="center"/>
                  </w:pPr>
                </w:p>
              </w:tc>
              <w:tc>
                <w:tcPr>
                  <w:tcW w:w="9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10"/>
                    <w:suppressOverlap/>
                    <w:jc w:val="center"/>
                  </w:pP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38"/>
                    <w:suppressOverlap/>
                  </w:pPr>
                </w:p>
              </w:tc>
            </w:tr>
            <w:tr>
              <w:trPr>
                <w:trHeight w:val="1861"/>
              </w:trPr>
              <w:tc>
                <w:tcPr>
                  <w:tcW w:w="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35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З</w:t>
                  </w:r>
                </w:p>
              </w:tc>
              <w:tc>
                <w:tcPr>
                  <w:tcW w:w="2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Поверка Преобразователя расхода вихревые электромагнитные 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14"/>
                    <w:suppressOverlap/>
                    <w:jc w:val="center"/>
                  </w:pPr>
                </w:p>
              </w:tc>
              <w:tc>
                <w:tcPr>
                  <w:tcW w:w="16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53" w:right="14" w:firstLine="91"/>
                    <w:suppressOverlap/>
                    <w:jc w:val="both"/>
                  </w:pPr>
                </w:p>
              </w:tc>
              <w:tc>
                <w:tcPr>
                  <w:tcW w:w="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29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34"/>
                    <w:suppressOverlap/>
                    <w:jc w:val="center"/>
                  </w:pPr>
                </w:p>
              </w:tc>
              <w:tc>
                <w:tcPr>
                  <w:tcW w:w="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34"/>
                    <w:suppressOverlap/>
                    <w:jc w:val="center"/>
                  </w:pPr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48"/>
                    <w:suppressOverlap/>
                    <w:jc w:val="center"/>
                  </w:pPr>
                </w:p>
              </w:tc>
              <w:tc>
                <w:tcPr>
                  <w:tcW w:w="9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24"/>
                    <w:suppressOverlap/>
                    <w:jc w:val="center"/>
                  </w:pP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framePr w:wrap="around" w:vAnchor="text" w:hAnchor="margin"/>
                    <w:ind w:left="43"/>
                    <w:suppressOverlap/>
                    <w:jc w:val="center"/>
                  </w:pPr>
                </w:p>
              </w:tc>
            </w:tr>
            <w:tr>
              <w:trPr>
                <w:trHeight w:val="319"/>
              </w:trPr>
              <w:tc>
                <w:tcPr>
                  <w:tcW w:w="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  <w:r>
                    <w:t>4</w:t>
                  </w:r>
                </w:p>
              </w:tc>
              <w:tc>
                <w:tcPr>
                  <w:tcW w:w="2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Аренда оборудования Установка проверочная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расходмерная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модель УПР-300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6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9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48"/>
                    <w:suppressOverlap/>
                    <w:jc w:val="center"/>
                  </w:pP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48"/>
                    <w:suppressOverlap/>
                    <w:jc w:val="center"/>
                  </w:pPr>
                </w:p>
              </w:tc>
            </w:tr>
            <w:tr>
              <w:trPr>
                <w:trHeight w:val="319"/>
              </w:trPr>
              <w:tc>
                <w:tcPr>
                  <w:tcW w:w="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  <w:r>
                    <w:t>5</w:t>
                  </w:r>
                </w:p>
              </w:tc>
              <w:tc>
                <w:tcPr>
                  <w:tcW w:w="2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Поверка преобразователя расхода вихревые электромагнитные 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6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9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48"/>
                    <w:suppressOverlap/>
                    <w:jc w:val="center"/>
                  </w:pP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48"/>
                    <w:suppressOverlap/>
                    <w:jc w:val="center"/>
                  </w:pPr>
                </w:p>
              </w:tc>
            </w:tr>
            <w:tr>
              <w:trPr>
                <w:trHeight w:val="319"/>
              </w:trPr>
              <w:tc>
                <w:tcPr>
                  <w:tcW w:w="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  <w:r>
                    <w:t>6</w:t>
                  </w:r>
                </w:p>
              </w:tc>
              <w:tc>
                <w:tcPr>
                  <w:tcW w:w="2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Аренда оборудования Установка проверочная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расходомерная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модель УПР -300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6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suppressOverlap/>
                  </w:pPr>
                </w:p>
              </w:tc>
              <w:tc>
                <w:tcPr>
                  <w:tcW w:w="9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48"/>
                    <w:suppressOverlap/>
                    <w:jc w:val="center"/>
                  </w:pP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framePr w:wrap="around" w:vAnchor="text" w:hAnchor="margin"/>
                    <w:ind w:left="48"/>
                    <w:suppressOverlap/>
                    <w:jc w:val="center"/>
                  </w:pPr>
                </w:p>
              </w:tc>
            </w:tr>
          </w:tbl>
          <w:p/>
        </w:tc>
      </w:tr>
    </w:tbl>
    <w:p>
      <w:pPr>
        <w:spacing w:after="0"/>
        <w:ind w:left="58" w:right="254" w:hanging="10"/>
        <w:jc w:val="right"/>
      </w:pPr>
      <w:bookmarkStart w:id="0" w:name="_GoBack"/>
      <w:bookmarkEnd w:id="0"/>
    </w:p>
    <w:sectPr>
      <w:type w:val="continuous"/>
      <w:pgSz w:w="12034" w:h="16925"/>
      <w:pgMar w:top="456" w:right="701" w:bottom="2366" w:left="734" w:header="720" w:footer="720" w:gutter="0"/>
      <w:cols w:num="2" w:space="720" w:equalWidth="0">
        <w:col w:w="5251" w:space="1052"/>
        <w:col w:w="42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94A"/>
    <w:multiLevelType w:val="hybridMultilevel"/>
    <w:tmpl w:val="A754CD9A"/>
    <w:lvl w:ilvl="0" w:tplc="8DFC77D0">
      <w:start w:val="5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F">
      <w:start w:val="1"/>
      <w:numFmt w:val="decimal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" w15:restartNumberingAfterBreak="0">
    <w:nsid w:val="2EA76E55"/>
    <w:multiLevelType w:val="multilevel"/>
    <w:tmpl w:val="ECA29986"/>
    <w:lvl w:ilvl="0">
      <w:start w:val="4"/>
      <w:numFmt w:val="decimal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911A0F"/>
    <w:multiLevelType w:val="hybridMultilevel"/>
    <w:tmpl w:val="ADBA2422"/>
    <w:lvl w:ilvl="0" w:tplc="53E4E12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F">
      <w:start w:val="1"/>
      <w:numFmt w:val="decimal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3" w15:restartNumberingAfterBreak="0">
    <w:nsid w:val="6F932490"/>
    <w:multiLevelType w:val="hybridMultilevel"/>
    <w:tmpl w:val="9346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02EB4"/>
    <w:multiLevelType w:val="multilevel"/>
    <w:tmpl w:val="CD4EDD9C"/>
    <w:lvl w:ilvl="0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3A3E0-9535-46AB-A0BD-20B09EFA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"/>
      <w:ind w:left="10" w:right="13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Иванникова Екатерина Александровна</dc:creator>
  <cp:keywords/>
  <cp:lastModifiedBy>Иванникова Екатерина Александровна</cp:lastModifiedBy>
  <cp:revision>2</cp:revision>
  <dcterms:created xsi:type="dcterms:W3CDTF">2026-06-04T04:39:00Z</dcterms:created>
  <dcterms:modified xsi:type="dcterms:W3CDTF">2026-06-04T04:39:00Z</dcterms:modified>
</cp:coreProperties>
</file>