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0AB1F7AA" w14:textId="27D63BE9" w:rsidR="0077227F" w:rsidRDefault="00011BDC" w:rsidP="0077227F">
      <w:pPr>
        <w:pStyle w:val="a6"/>
        <w:ind w:firstLine="709"/>
        <w:rPr>
          <w:lang w:eastAsia="x-none"/>
        </w:rPr>
      </w:pPr>
      <w:r w:rsidRPr="00011BDC">
        <w:rPr>
          <w:sz w:val="24"/>
          <w:szCs w:val="24"/>
        </w:rPr>
        <w:t xml:space="preserve">предоставление права использования базы данных Электронный периодический справочник «Система ГАРАНТ» </w:t>
      </w:r>
      <w:r w:rsidR="0077227F" w:rsidRPr="000B3DA1">
        <w:rPr>
          <w:lang w:eastAsia="x-none"/>
        </w:rPr>
        <w:t xml:space="preserve"> </w:t>
      </w:r>
    </w:p>
    <w:p w14:paraId="07EECD22" w14:textId="6876EE3A" w:rsidR="00333191" w:rsidRPr="000B3DA1" w:rsidRDefault="00333191" w:rsidP="0077227F">
      <w:pPr>
        <w:pStyle w:val="a6"/>
        <w:ind w:firstLine="709"/>
      </w:pPr>
      <w:r w:rsidRPr="000B3DA1">
        <w:rPr>
          <w:lang w:eastAsia="x-none"/>
        </w:rPr>
        <w:t xml:space="preserve">ИКЗ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0DA94F7D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017A1E" w:rsidRPr="00017A1E">
        <w:rPr>
          <w:sz w:val="24"/>
          <w:szCs w:val="24"/>
        </w:rPr>
        <w:t xml:space="preserve"> </w:t>
      </w:r>
      <w:r w:rsidR="00017A1E" w:rsidRPr="00074B41">
        <w:rPr>
          <w:sz w:val="24"/>
          <w:szCs w:val="24"/>
        </w:rPr>
        <w:t>на</w:t>
      </w:r>
      <w:r w:rsidR="00017A1E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____________, 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650E4537" w14:textId="489755D1" w:rsidR="00C54803" w:rsidRDefault="003C39D1" w:rsidP="00011BDC">
      <w:pPr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333191">
        <w:rPr>
          <w:sz w:val="24"/>
          <w:szCs w:val="24"/>
        </w:rPr>
        <w:t xml:space="preserve">1.1. </w:t>
      </w:r>
      <w:r w:rsidR="00011BDC" w:rsidRPr="00011BDC">
        <w:rPr>
          <w:sz w:val="22"/>
          <w:szCs w:val="22"/>
        </w:rPr>
        <w:t>Заказчик</w:t>
      </w:r>
      <w:r w:rsidR="00017A1E" w:rsidRPr="007275AD">
        <w:rPr>
          <w:sz w:val="22"/>
          <w:szCs w:val="22"/>
        </w:rPr>
        <w:t xml:space="preserve"> поручает, а </w:t>
      </w:r>
      <w:r w:rsidR="00011BDC" w:rsidRPr="00011BDC">
        <w:rPr>
          <w:sz w:val="22"/>
          <w:szCs w:val="22"/>
        </w:rPr>
        <w:t>Исполнитель</w:t>
      </w:r>
      <w:r w:rsidR="00017A1E" w:rsidRPr="007275AD">
        <w:rPr>
          <w:sz w:val="22"/>
          <w:szCs w:val="22"/>
        </w:rPr>
        <w:t xml:space="preserve"> обязуется оказать услуги </w:t>
      </w:r>
      <w:r w:rsidR="00011BDC" w:rsidRPr="00011BDC">
        <w:rPr>
          <w:rFonts w:eastAsia="SimSun"/>
          <w:color w:val="000000"/>
          <w:kern w:val="2"/>
          <w:sz w:val="24"/>
          <w:szCs w:val="24"/>
          <w:lang w:eastAsia="zh-CN" w:bidi="hi-IN"/>
        </w:rPr>
        <w:t>предоставление права использования базы данных Электронный периодический справочник «Система ГАРАНТ» (справочная правовая система) (далее – ЭПС «Система ГАРАНТ»),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простой (неисключительной) лицензии</w:t>
      </w:r>
      <w:r w:rsidR="00011BDC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, </w:t>
      </w:r>
      <w:r w:rsidR="00011BDC" w:rsidRPr="00011BDC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в соответствии со Спецификацией (Приложение № 1 к </w:t>
      </w:r>
      <w:r w:rsidR="00011BDC">
        <w:rPr>
          <w:rFonts w:eastAsia="SimSun"/>
          <w:color w:val="000000"/>
          <w:kern w:val="2"/>
          <w:sz w:val="24"/>
          <w:szCs w:val="24"/>
          <w:lang w:eastAsia="zh-CN" w:bidi="hi-IN"/>
        </w:rPr>
        <w:t>Договору</w:t>
      </w:r>
      <w:r w:rsidR="00011BDC" w:rsidRPr="00011BDC">
        <w:rPr>
          <w:rFonts w:eastAsia="SimSun"/>
          <w:color w:val="000000"/>
          <w:kern w:val="2"/>
          <w:sz w:val="24"/>
          <w:szCs w:val="24"/>
          <w:lang w:eastAsia="zh-CN" w:bidi="hi-IN"/>
        </w:rPr>
        <w:t>), являющейся неотъемлемой частью настоящего Договора.</w:t>
      </w:r>
    </w:p>
    <w:p w14:paraId="3DD5DCFC" w14:textId="77777777" w:rsidR="00011BDC" w:rsidRPr="00333191" w:rsidRDefault="00011BDC" w:rsidP="00011BDC">
      <w:pPr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305E15C8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017A1E">
        <w:rPr>
          <w:sz w:val="24"/>
          <w:szCs w:val="24"/>
        </w:rPr>
        <w:t>Заказчика</w:t>
      </w:r>
      <w:r w:rsidRPr="00333191">
        <w:rPr>
          <w:sz w:val="24"/>
          <w:szCs w:val="24"/>
        </w:rPr>
        <w:t>.</w:t>
      </w:r>
    </w:p>
    <w:p w14:paraId="22E9EFE8" w14:textId="33EF84C3" w:rsidR="00F02EA5" w:rsidRDefault="00F02EA5" w:rsidP="00017A1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C4110" w:rsidRPr="002C4110">
        <w:rPr>
          <w:sz w:val="24"/>
          <w:szCs w:val="24"/>
        </w:rPr>
        <w:t>.2. Срок оказа</w:t>
      </w:r>
      <w:r>
        <w:rPr>
          <w:sz w:val="24"/>
          <w:szCs w:val="24"/>
        </w:rPr>
        <w:t>ния услуг: с</w:t>
      </w:r>
      <w:r w:rsidR="002C4110" w:rsidRPr="002C4110">
        <w:rPr>
          <w:sz w:val="24"/>
          <w:szCs w:val="24"/>
        </w:rPr>
        <w:t xml:space="preserve"> даты заключения контракта </w:t>
      </w:r>
      <w:r w:rsidR="00DD6C98">
        <w:rPr>
          <w:sz w:val="24"/>
          <w:szCs w:val="24"/>
        </w:rPr>
        <w:t>до 31.12.2026</w:t>
      </w:r>
      <w:r w:rsidR="002C4110" w:rsidRPr="002C4110">
        <w:rPr>
          <w:sz w:val="24"/>
          <w:szCs w:val="24"/>
        </w:rPr>
        <w:t>.</w:t>
      </w:r>
    </w:p>
    <w:p w14:paraId="3B18B824" w14:textId="350C0D12" w:rsidR="00107082" w:rsidRPr="00F46A83" w:rsidRDefault="00F46A83" w:rsidP="00017A1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C39D1"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для оказания услуг может </w:t>
      </w:r>
      <w:r w:rsidRPr="00F46A83">
        <w:rPr>
          <w:sz w:val="24"/>
          <w:szCs w:val="24"/>
        </w:rPr>
        <w:t xml:space="preserve">привлекать к </w:t>
      </w:r>
      <w:r>
        <w:rPr>
          <w:sz w:val="24"/>
          <w:szCs w:val="24"/>
        </w:rPr>
        <w:t>оказанию услуг</w:t>
      </w:r>
      <w:r w:rsidR="00F02EA5">
        <w:rPr>
          <w:sz w:val="24"/>
          <w:szCs w:val="24"/>
        </w:rPr>
        <w:t xml:space="preserve"> иные организации или лиц.</w:t>
      </w:r>
      <w:r w:rsidRPr="00F46A83">
        <w:rPr>
          <w:sz w:val="24"/>
          <w:szCs w:val="24"/>
        </w:rPr>
        <w:t xml:space="preserve"> При этом ответственность за </w:t>
      </w:r>
      <w:r>
        <w:rPr>
          <w:sz w:val="24"/>
          <w:szCs w:val="24"/>
        </w:rPr>
        <w:t>оказание услуг</w:t>
      </w:r>
      <w:r w:rsidRPr="00F46A83">
        <w:rPr>
          <w:sz w:val="24"/>
          <w:szCs w:val="24"/>
        </w:rPr>
        <w:t xml:space="preserve"> ины</w:t>
      </w:r>
      <w:r>
        <w:rPr>
          <w:sz w:val="24"/>
          <w:szCs w:val="24"/>
        </w:rPr>
        <w:t>ми</w:t>
      </w:r>
      <w:r w:rsidRPr="00F46A83">
        <w:rPr>
          <w:sz w:val="24"/>
          <w:szCs w:val="24"/>
        </w:rPr>
        <w:t xml:space="preserve"> лиц</w:t>
      </w:r>
      <w:r>
        <w:rPr>
          <w:sz w:val="24"/>
          <w:szCs w:val="24"/>
        </w:rPr>
        <w:t>ами</w:t>
      </w:r>
      <w:r w:rsidRPr="00F46A83">
        <w:rPr>
          <w:sz w:val="24"/>
          <w:szCs w:val="24"/>
        </w:rPr>
        <w:t xml:space="preserve"> и организаци</w:t>
      </w:r>
      <w:r>
        <w:rPr>
          <w:sz w:val="24"/>
          <w:szCs w:val="24"/>
        </w:rPr>
        <w:t>ями</w:t>
      </w:r>
      <w:r w:rsidRPr="00F46A83">
        <w:rPr>
          <w:sz w:val="24"/>
          <w:szCs w:val="24"/>
        </w:rPr>
        <w:t xml:space="preserve"> несет </w:t>
      </w:r>
      <w:r>
        <w:rPr>
          <w:sz w:val="24"/>
          <w:szCs w:val="24"/>
        </w:rPr>
        <w:t>Исполнитель</w:t>
      </w:r>
      <w:r w:rsidR="003C39D1" w:rsidRPr="00F46A83">
        <w:rPr>
          <w:sz w:val="24"/>
          <w:szCs w:val="24"/>
        </w:rPr>
        <w:t>.</w:t>
      </w:r>
    </w:p>
    <w:p w14:paraId="0F54E350" w14:textId="79D2975C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02EA5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После оказания услуг Исполнитель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31F5CB2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3.1.1. 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14:paraId="0533D343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3.1.2. Запрашивать у Исполнителя информацию о ходе оказываемых услуг.</w:t>
      </w:r>
    </w:p>
    <w:p w14:paraId="303C6677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3.1.3. Осуществлять контроль за объемом и сроками оказания услуг.</w:t>
      </w:r>
    </w:p>
    <w:p w14:paraId="1833B4C1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3.1.4. Ссылаться на недостатки услуг, в том числе в части объема и стоимости этих услуг.</w:t>
      </w:r>
    </w:p>
    <w:p w14:paraId="12AA1B92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3.1.5.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22F06025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3.1.6. Своевременно принять и оплатить надлежащим образом оказанные услуги в соответствии с настоящим Контрактом.</w:t>
      </w:r>
    </w:p>
    <w:p w14:paraId="7AA53671" w14:textId="77777777" w:rsidR="00F02EA5" w:rsidRPr="00F02EA5" w:rsidRDefault="00F02EA5" w:rsidP="00F02EA5">
      <w:pPr>
        <w:widowControl/>
        <w:tabs>
          <w:tab w:val="left" w:pos="0"/>
          <w:tab w:val="left" w:pos="540"/>
          <w:tab w:val="left" w:pos="108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3.1.7. Требовать оплаты неустойки (штрафа, пени) в соответствии с условиями настоящего Контракта.</w:t>
      </w:r>
    </w:p>
    <w:p w14:paraId="2F268670" w14:textId="77777777" w:rsidR="00F02EA5" w:rsidRPr="00F02EA5" w:rsidRDefault="00F02EA5" w:rsidP="00F02EA5">
      <w:pPr>
        <w:widowControl/>
        <w:tabs>
          <w:tab w:val="left" w:pos="1276"/>
          <w:tab w:val="left" w:pos="1560"/>
        </w:tabs>
        <w:suppressAutoHyphens/>
        <w:autoSpaceDE/>
        <w:autoSpaceDN/>
        <w:adjustRightInd/>
        <w:ind w:firstLine="567"/>
        <w:jc w:val="both"/>
        <w:rPr>
          <w:color w:val="000000"/>
          <w:sz w:val="22"/>
        </w:rPr>
      </w:pPr>
      <w:r w:rsidRPr="00F02EA5">
        <w:rPr>
          <w:color w:val="000000"/>
          <w:sz w:val="22"/>
        </w:rPr>
        <w:t>3.1.8. Принять и оплатить Услугу в порядке и на условиях, предусмотренных настоящим Контрактом.</w:t>
      </w:r>
    </w:p>
    <w:p w14:paraId="7400340D" w14:textId="77777777" w:rsidR="00F02EA5" w:rsidRPr="00F02EA5" w:rsidRDefault="00F02EA5" w:rsidP="00F02EA5">
      <w:pPr>
        <w:widowControl/>
        <w:autoSpaceDE/>
        <w:autoSpaceDN/>
        <w:adjustRightInd/>
        <w:spacing w:after="20"/>
        <w:ind w:firstLine="567"/>
        <w:jc w:val="both"/>
        <w:rPr>
          <w:sz w:val="22"/>
        </w:rPr>
      </w:pPr>
      <w:r w:rsidRPr="00F02EA5">
        <w:rPr>
          <w:sz w:val="22"/>
        </w:rPr>
        <w:t>3.1.9. Контролировать процесс оказания услуг Исполнителем и при некачественном оказании услуг Исполнителем требовать от него:</w:t>
      </w:r>
    </w:p>
    <w:p w14:paraId="46D9CDDC" w14:textId="77777777" w:rsidR="00F02EA5" w:rsidRPr="00F02EA5" w:rsidRDefault="00F02EA5" w:rsidP="00F02EA5">
      <w:pPr>
        <w:widowControl/>
        <w:autoSpaceDE/>
        <w:autoSpaceDN/>
        <w:adjustRightInd/>
        <w:spacing w:after="20"/>
        <w:ind w:firstLine="567"/>
        <w:jc w:val="both"/>
        <w:rPr>
          <w:sz w:val="22"/>
        </w:rPr>
      </w:pPr>
      <w:r w:rsidRPr="00F02EA5">
        <w:rPr>
          <w:sz w:val="22"/>
        </w:rPr>
        <w:t>- безвозмездного устранения недостатков, возникших по вине Исполнителя, зафиксированных актом;</w:t>
      </w:r>
    </w:p>
    <w:p w14:paraId="2CBB4392" w14:textId="77777777" w:rsidR="00F02EA5" w:rsidRPr="00F02EA5" w:rsidRDefault="00F02EA5" w:rsidP="00F02EA5">
      <w:pPr>
        <w:widowControl/>
        <w:autoSpaceDE/>
        <w:autoSpaceDN/>
        <w:adjustRightInd/>
        <w:spacing w:after="20"/>
        <w:ind w:firstLine="567"/>
        <w:jc w:val="both"/>
        <w:rPr>
          <w:sz w:val="22"/>
        </w:rPr>
      </w:pPr>
      <w:r w:rsidRPr="00F02EA5">
        <w:rPr>
          <w:sz w:val="22"/>
        </w:rPr>
        <w:lastRenderedPageBreak/>
        <w:t>- возмещения вреда, возникшего из-за невыполнения и/или некачественного выполнения Исполнителем своих обязательств по настоящему контракту, причиненного Заказчику и/или третьим лицам.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47FEA3DC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</w:t>
      </w:r>
      <w:r w:rsidR="00F02EA5">
        <w:rPr>
          <w:sz w:val="24"/>
          <w:szCs w:val="24"/>
        </w:rPr>
        <w:t>Д</w:t>
      </w:r>
      <w:r w:rsidRPr="00333191">
        <w:rPr>
          <w:sz w:val="24"/>
          <w:szCs w:val="24"/>
        </w:rPr>
        <w:t>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B41153">
        <w:rPr>
          <w:color w:val="FF0000"/>
          <w:sz w:val="24"/>
          <w:szCs w:val="24"/>
        </w:rPr>
        <w:t>включая НДС</w:t>
      </w:r>
      <w:r w:rsidR="0068746E" w:rsidRPr="00B41153">
        <w:rPr>
          <w:color w:val="FF0000"/>
          <w:sz w:val="24"/>
          <w:szCs w:val="24"/>
        </w:rPr>
        <w:t xml:space="preserve"> _______________ (без НДС)</w:t>
      </w:r>
      <w:r w:rsidR="00E7420D" w:rsidRPr="00B41153">
        <w:rPr>
          <w:color w:val="FF0000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7E83E110" w:rsidR="00B41153" w:rsidRPr="00D40AAD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D40AAD" w:rsidRPr="00D40AAD">
        <w:rPr>
          <w:sz w:val="24"/>
          <w:szCs w:val="24"/>
        </w:rPr>
        <w:t>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1756C8E1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50C2FC1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3204947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8753CE">
        <w:rPr>
          <w:sz w:val="24"/>
          <w:szCs w:val="24"/>
        </w:rPr>
        <w:t>Ежемесячно, п</w:t>
      </w:r>
      <w:r w:rsidRPr="00B41153">
        <w:rPr>
          <w:sz w:val="24"/>
          <w:szCs w:val="24"/>
        </w:rPr>
        <w:t xml:space="preserve">о завершении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 В случае создания приемочной комиссии не позднее 5 (пяти) рабочих дней, </w:t>
      </w:r>
      <w:r w:rsidRPr="00B41153">
        <w:rPr>
          <w:sz w:val="24"/>
          <w:szCs w:val="24"/>
        </w:rPr>
        <w:lastRenderedPageBreak/>
        <w:t>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</w:t>
      </w:r>
      <w:r w:rsidRPr="008B19E9">
        <w:rPr>
          <w:sz w:val="24"/>
          <w:szCs w:val="24"/>
        </w:rPr>
        <w:lastRenderedPageBreak/>
        <w:t xml:space="preserve">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</w:t>
      </w:r>
      <w:r w:rsidRPr="00333191">
        <w:rPr>
          <w:sz w:val="24"/>
          <w:szCs w:val="24"/>
        </w:rPr>
        <w:lastRenderedPageBreak/>
        <w:t>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14BD89D4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но не позднее</w:t>
      </w:r>
      <w:r w:rsidR="003C39D1" w:rsidRPr="00333191">
        <w:rPr>
          <w:sz w:val="24"/>
          <w:szCs w:val="24"/>
        </w:rPr>
        <w:t xml:space="preserve"> </w:t>
      </w:r>
      <w:r w:rsidR="00D40AAD">
        <w:rPr>
          <w:sz w:val="24"/>
          <w:szCs w:val="24"/>
        </w:rPr>
        <w:t>31.12.</w:t>
      </w:r>
      <w:r w:rsidR="003C39D1" w:rsidRPr="00333191">
        <w:rPr>
          <w:sz w:val="24"/>
          <w:szCs w:val="24"/>
        </w:rPr>
        <w:t>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</w:t>
      </w:r>
      <w:r w:rsidRPr="00333191">
        <w:rPr>
          <w:sz w:val="24"/>
          <w:szCs w:val="24"/>
          <w:lang w:eastAsia="en-US"/>
        </w:rPr>
        <w:lastRenderedPageBreak/>
        <w:t>об одностороннем отказе от исполнения Договора.</w:t>
      </w:r>
    </w:p>
    <w:p w14:paraId="19C4E5F8" w14:textId="689D230D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3D1093A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4F50EC7A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6E8CF1A3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учреждение культуры «Государственный </w:t>
            </w:r>
          </w:p>
          <w:p w14:paraId="301EFAF1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Лермонтовский музей-заповедник "Тарханы"»</w:t>
            </w:r>
          </w:p>
          <w:p w14:paraId="2F8DCBCA" w14:textId="31C2A70E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Юридический </w:t>
            </w:r>
            <w:r w:rsidR="004E610C">
              <w:rPr>
                <w:sz w:val="22"/>
                <w:szCs w:val="22"/>
              </w:rPr>
              <w:t>и фактический</w:t>
            </w:r>
            <w:r w:rsidRPr="00CB57C1">
              <w:rPr>
                <w:sz w:val="22"/>
                <w:szCs w:val="22"/>
              </w:rPr>
              <w:t xml:space="preserve"> адрес:</w:t>
            </w:r>
          </w:p>
          <w:p w14:paraId="204E0385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442280, Пензенская область, </w:t>
            </w:r>
          </w:p>
          <w:p w14:paraId="583FBCE4" w14:textId="138F831B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203E511E" w14:textId="14FB50A4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ИНН 5810001139</w:t>
            </w:r>
            <w:r w:rsidR="004E610C">
              <w:rPr>
                <w:sz w:val="22"/>
                <w:szCs w:val="22"/>
              </w:rPr>
              <w:t xml:space="preserve">, КПП </w:t>
            </w:r>
            <w:r w:rsidRPr="00CB57C1">
              <w:rPr>
                <w:sz w:val="22"/>
                <w:szCs w:val="22"/>
              </w:rPr>
              <w:t>581001001</w:t>
            </w:r>
          </w:p>
          <w:p w14:paraId="02C759E0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Номер казначейского счета </w:t>
            </w:r>
          </w:p>
          <w:p w14:paraId="11BAC105" w14:textId="34CF9E0C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№ 03214643000000013238</w:t>
            </w:r>
          </w:p>
          <w:p w14:paraId="1BEF0AA1" w14:textId="45899E9C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</w:t>
            </w:r>
            <w:r w:rsidR="00297E7C">
              <w:rPr>
                <w:sz w:val="22"/>
                <w:szCs w:val="22"/>
              </w:rPr>
              <w:t>2</w:t>
            </w:r>
            <w:r w:rsidRPr="00CB57C1">
              <w:rPr>
                <w:sz w:val="22"/>
                <w:szCs w:val="22"/>
              </w:rPr>
              <w:t xml:space="preserve">4, </w:t>
            </w:r>
          </w:p>
          <w:p w14:paraId="448B9D7B" w14:textId="5C726C25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БИК 012202102,</w:t>
            </w:r>
            <w:r w:rsidR="004E610C">
              <w:rPr>
                <w:sz w:val="22"/>
                <w:szCs w:val="22"/>
              </w:rPr>
              <w:t xml:space="preserve"> </w:t>
            </w:r>
            <w:r w:rsidRPr="00CB57C1">
              <w:rPr>
                <w:sz w:val="22"/>
                <w:szCs w:val="22"/>
              </w:rPr>
              <w:t>л/с 20556X19110</w:t>
            </w:r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 Печникова</w:t>
            </w:r>
          </w:p>
          <w:p w14:paraId="4C33109F" w14:textId="5C6701A1" w:rsidR="003C39D1" w:rsidRPr="00CB57C1" w:rsidRDefault="00F3729E" w:rsidP="00F3729E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4D6BF5BD" w:rsidR="003C39D1" w:rsidRPr="00CB57C1" w:rsidRDefault="00F3729E" w:rsidP="00F3729E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5640919E" w14:textId="77777777" w:rsidR="0014061F" w:rsidRDefault="0014061F" w:rsidP="00F3729E">
      <w:pPr>
        <w:shd w:val="clear" w:color="auto" w:fill="FFFFFF"/>
        <w:ind w:firstLine="567"/>
        <w:rPr>
          <w:sz w:val="22"/>
          <w:szCs w:val="22"/>
        </w:rPr>
      </w:pPr>
    </w:p>
    <w:p w14:paraId="76EA851C" w14:textId="77777777" w:rsidR="00165D51" w:rsidRDefault="00165D51" w:rsidP="00F3729E">
      <w:pPr>
        <w:shd w:val="clear" w:color="auto" w:fill="FFFFFF"/>
        <w:ind w:firstLine="567"/>
        <w:rPr>
          <w:sz w:val="22"/>
          <w:szCs w:val="22"/>
        </w:rPr>
      </w:pPr>
    </w:p>
    <w:p w14:paraId="1E017FA1" w14:textId="77777777" w:rsidR="00165D51" w:rsidRDefault="00165D51" w:rsidP="00F3729E">
      <w:pPr>
        <w:shd w:val="clear" w:color="auto" w:fill="FFFFFF"/>
        <w:ind w:firstLine="567"/>
        <w:rPr>
          <w:sz w:val="22"/>
          <w:szCs w:val="22"/>
        </w:rPr>
      </w:pPr>
    </w:p>
    <w:p w14:paraId="3A8A1217" w14:textId="77777777" w:rsidR="00165D51" w:rsidRDefault="00165D51" w:rsidP="00F3729E">
      <w:pPr>
        <w:shd w:val="clear" w:color="auto" w:fill="FFFFFF"/>
        <w:ind w:firstLine="567"/>
        <w:rPr>
          <w:sz w:val="22"/>
          <w:szCs w:val="22"/>
        </w:rPr>
      </w:pPr>
    </w:p>
    <w:p w14:paraId="74C181DB" w14:textId="77777777" w:rsidR="008753CE" w:rsidRDefault="008753CE" w:rsidP="00165D51">
      <w:pPr>
        <w:suppressAutoHyphens/>
        <w:autoSpaceDE/>
        <w:autoSpaceDN/>
        <w:adjustRightInd/>
        <w:jc w:val="right"/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3E9FB7D4" w14:textId="77777777" w:rsidR="008753CE" w:rsidRDefault="008753CE" w:rsidP="00165D51">
      <w:pPr>
        <w:suppressAutoHyphens/>
        <w:autoSpaceDE/>
        <w:autoSpaceDN/>
        <w:adjustRightInd/>
        <w:jc w:val="right"/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7BE525EC" w14:textId="77777777" w:rsidR="00165D51" w:rsidRPr="00165D51" w:rsidRDefault="00165D51" w:rsidP="00165D51">
      <w:pPr>
        <w:suppressAutoHyphens/>
        <w:autoSpaceDE/>
        <w:autoSpaceDN/>
        <w:adjustRightInd/>
        <w:jc w:val="right"/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165D51"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>Приложение № __</w:t>
      </w:r>
    </w:p>
    <w:p w14:paraId="20ECD5AF" w14:textId="77777777" w:rsidR="00165D51" w:rsidRPr="00165D51" w:rsidRDefault="00165D51" w:rsidP="00165D51">
      <w:pPr>
        <w:suppressAutoHyphens/>
        <w:autoSpaceDE/>
        <w:autoSpaceDN/>
        <w:adjustRightInd/>
        <w:jc w:val="right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  <w:t>к договору №</w:t>
      </w:r>
      <w:r w:rsidRPr="00165D51">
        <w:rPr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b/>
          <w:bCs/>
          <w:color w:val="000000"/>
          <w:kern w:val="2"/>
          <w:sz w:val="24"/>
          <w:szCs w:val="24"/>
          <w:lang w:eastAsia="zh-CN" w:bidi="hi-IN"/>
        </w:rPr>
        <w:t>______ от ____________________</w:t>
      </w:r>
    </w:p>
    <w:p w14:paraId="3FA018D3" w14:textId="77777777" w:rsidR="00165D51" w:rsidRDefault="00165D51" w:rsidP="00165D51">
      <w:pPr>
        <w:tabs>
          <w:tab w:val="left" w:pos="12600"/>
        </w:tabs>
        <w:suppressAutoHyphens/>
        <w:autoSpaceDE/>
        <w:autoSpaceDN/>
        <w:adjustRightInd/>
        <w:jc w:val="center"/>
        <w:rPr>
          <w:b/>
          <w:sz w:val="21"/>
        </w:rPr>
      </w:pPr>
    </w:p>
    <w:p w14:paraId="2C568C3B" w14:textId="77777777" w:rsidR="00165D51" w:rsidRDefault="00165D51" w:rsidP="00165D51">
      <w:pPr>
        <w:tabs>
          <w:tab w:val="left" w:pos="12600"/>
        </w:tabs>
        <w:suppressAutoHyphens/>
        <w:autoSpaceDE/>
        <w:autoSpaceDN/>
        <w:adjustRightInd/>
        <w:jc w:val="center"/>
        <w:rPr>
          <w:color w:val="000000"/>
          <w:sz w:val="24"/>
        </w:rPr>
      </w:pPr>
      <w:r w:rsidRPr="00165D51">
        <w:rPr>
          <w:b/>
          <w:sz w:val="21"/>
        </w:rPr>
        <w:t>СПЕЦИФИКАЦИЯ</w:t>
      </w:r>
      <w:r w:rsidRPr="00165D51">
        <w:rPr>
          <w:color w:val="000000"/>
          <w:sz w:val="24"/>
        </w:rPr>
        <w:t xml:space="preserve"> </w:t>
      </w:r>
    </w:p>
    <w:p w14:paraId="38CE534C" w14:textId="77777777" w:rsidR="00165D51" w:rsidRPr="00165D51" w:rsidRDefault="00165D51" w:rsidP="00165D51">
      <w:pPr>
        <w:tabs>
          <w:tab w:val="left" w:pos="12600"/>
        </w:tabs>
        <w:suppressAutoHyphens/>
        <w:autoSpaceDE/>
        <w:autoSpaceDN/>
        <w:adjustRightInd/>
        <w:jc w:val="center"/>
        <w:rPr>
          <w:color w:val="000000"/>
          <w:sz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727"/>
        <w:gridCol w:w="1449"/>
        <w:gridCol w:w="864"/>
        <w:gridCol w:w="992"/>
        <w:gridCol w:w="1134"/>
        <w:gridCol w:w="1560"/>
      </w:tblGrid>
      <w:tr w:rsidR="00165D51" w:rsidRPr="00165D51" w14:paraId="233EE09C" w14:textId="77777777" w:rsidTr="005D41CB">
        <w:trPr>
          <w:trHeight w:val="147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FD4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№ 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DAED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Наименование товара, работы, услуги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7CE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ОКПД2, КТРУ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E48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Кол.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2ED4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094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76E9E75E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065DE6E8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5B6FF92B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Сумма руб.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ADF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50AE4666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48CF99F6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</w:p>
          <w:p w14:paraId="5F524337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  <w:r w:rsidRPr="00165D51">
              <w:rPr>
                <w:sz w:val="16"/>
              </w:rPr>
              <w:t xml:space="preserve">Сумма руб. </w:t>
            </w:r>
          </w:p>
          <w:p w14:paraId="71E96E71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sz w:val="16"/>
              </w:rPr>
            </w:pPr>
            <w:r w:rsidRPr="00165D51">
              <w:rPr>
                <w:sz w:val="16"/>
              </w:rPr>
              <w:t>всего</w:t>
            </w:r>
          </w:p>
        </w:tc>
      </w:tr>
      <w:tr w:rsidR="00165D51" w:rsidRPr="00165D51" w14:paraId="5A31F7D4" w14:textId="77777777" w:rsidTr="005D41CB">
        <w:trPr>
          <w:trHeight w:val="2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8861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sz w:val="24"/>
              </w:rPr>
            </w:pPr>
            <w:r w:rsidRPr="00165D51">
              <w:rPr>
                <w:sz w:val="16"/>
              </w:rPr>
              <w:t>1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C490" w14:textId="77777777" w:rsidR="00165D51" w:rsidRPr="00165D51" w:rsidRDefault="00165D51" w:rsidP="00165D51">
            <w:pPr>
              <w:suppressAutoHyphens/>
              <w:autoSpaceDE/>
              <w:autoSpaceDN/>
              <w:adjustRightInd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65D5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предоставление права использования базы данных Электронный периодический справочник «Система ГАРАНТ» (справочная правовая система) (далее – ЭПС «Система ГАРАНТ»),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простой (неисключительной) лицензии.</w:t>
            </w:r>
          </w:p>
          <w:p w14:paraId="4BE07B30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rPr>
                <w:sz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C716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</w:rPr>
            </w:pPr>
            <w:r w:rsidRPr="00165D51">
              <w:rPr>
                <w:color w:val="000000"/>
                <w:sz w:val="24"/>
              </w:rPr>
              <w:t>58.29.50.000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9159" w14:textId="66E74EF0" w:rsidR="00165D51" w:rsidRPr="00165D51" w:rsidRDefault="008461E6" w:rsidP="00165D51">
            <w:pPr>
              <w:widowControl/>
              <w:suppressAutoHyphens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F500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color w:val="000000"/>
                <w:sz w:val="24"/>
              </w:rPr>
            </w:pPr>
            <w:r w:rsidRPr="00165D51">
              <w:rPr>
                <w:color w:val="000000"/>
                <w:sz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C99A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1987" w14:textId="77777777" w:rsidR="00165D51" w:rsidRPr="00165D51" w:rsidRDefault="00165D51" w:rsidP="00165D51">
            <w:pPr>
              <w:widowControl/>
              <w:suppressAutoHyphens/>
              <w:autoSpaceDE/>
              <w:autoSpaceDN/>
              <w:adjustRightInd/>
              <w:ind w:left="-108" w:right="-107"/>
              <w:jc w:val="center"/>
              <w:rPr>
                <w:color w:val="000000"/>
                <w:sz w:val="24"/>
              </w:rPr>
            </w:pPr>
          </w:p>
        </w:tc>
      </w:tr>
    </w:tbl>
    <w:p w14:paraId="49FD6B2A" w14:textId="77777777" w:rsidR="00165D51" w:rsidRPr="00165D51" w:rsidRDefault="00165D51" w:rsidP="00165D51">
      <w:pPr>
        <w:widowControl/>
        <w:autoSpaceDE/>
        <w:autoSpaceDN/>
        <w:adjustRightInd/>
        <w:jc w:val="both"/>
        <w:rPr>
          <w:color w:val="000000"/>
          <w:sz w:val="24"/>
        </w:rPr>
      </w:pPr>
    </w:p>
    <w:p w14:paraId="1A04FA5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1. Наименование объекта закупки: предоставление права использования базы данных Электронный периодический справочник «Система ГАРАНТ» (справочная правовая система) (далее – ЭПС «Система ГАРАНТ»),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простой (неисключительной) лицензии.</w:t>
      </w:r>
    </w:p>
    <w:p w14:paraId="4C055591" w14:textId="078CF08D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2. Количество лицензий: </w:t>
      </w:r>
      <w:r w:rsidR="008461E6">
        <w:rPr>
          <w:rFonts w:eastAsia="SimSun"/>
          <w:color w:val="000000"/>
          <w:kern w:val="2"/>
          <w:sz w:val="24"/>
          <w:szCs w:val="24"/>
          <w:lang w:eastAsia="zh-CN" w:bidi="hi-IN"/>
        </w:rPr>
        <w:t>7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(</w:t>
      </w:r>
      <w:r w:rsidR="008461E6">
        <w:rPr>
          <w:rFonts w:eastAsia="SimSun"/>
          <w:color w:val="000000"/>
          <w:kern w:val="2"/>
          <w:sz w:val="24"/>
          <w:szCs w:val="24"/>
          <w:lang w:eastAsia="zh-CN" w:bidi="hi-IN"/>
        </w:rPr>
        <w:t>Семь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).</w:t>
      </w:r>
    </w:p>
    <w:p w14:paraId="03B073B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3. Срок действия лицензии(</w:t>
      </w:r>
      <w:proofErr w:type="spellStart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ий</w:t>
      </w:r>
      <w:proofErr w:type="spellEnd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): 1 </w:t>
      </w:r>
      <w:proofErr w:type="gramStart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месяц.*</w:t>
      </w:r>
      <w:proofErr w:type="gramEnd"/>
    </w:p>
    <w:p w14:paraId="23541DB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*</w:t>
      </w:r>
      <w:r w:rsidRPr="00165D51">
        <w:rPr>
          <w:rFonts w:eastAsia="SimSun"/>
          <w:i/>
          <w:color w:val="000000"/>
          <w:kern w:val="2"/>
          <w:sz w:val="24"/>
          <w:szCs w:val="24"/>
          <w:lang w:eastAsia="zh-CN" w:bidi="hi-IN"/>
        </w:rPr>
        <w:t>Каждая последующая лицензия предоставляется после истечения срока действия предыдущей лицензии.</w:t>
      </w:r>
    </w:p>
    <w:p w14:paraId="6D055823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4. Заказчику предоставляется право использования ЭПС «Система ГАРАНТ» на условиях простой (неисключительной) лицензии следующими способами:</w:t>
      </w:r>
    </w:p>
    <w:p w14:paraId="01132251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–</w:t>
      </w:r>
      <w:r w:rsidRPr="00165D51"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получение удаленного доступа к размещенной в информационно-телекоммуникационной сети Интернет ЭПС «Система ГАРАНТ» в объеме комплекта, указанного в п. 7.1 (далее – «комплект»), через информационно-телекоммуникационную сеть Интернет;</w:t>
      </w:r>
    </w:p>
    <w:p w14:paraId="56182A9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–</w:t>
      </w:r>
      <w:r w:rsidRPr="00165D51"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доведение до всеобщего сведения части ЭПС «Система ГАРАНТ» в информационно-телекоммуникационной сети Интернет путем размещения на </w:t>
      </w:r>
      <w:proofErr w:type="spellStart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интернет-ресурсах</w:t>
      </w:r>
      <w:proofErr w:type="spellEnd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, определенных Исполнителем, активной ссылки на документ, являющийся частью ЭПС «Система ГАРАНТ», при переходе по которой в течение 3 (трех) дней с момента размещения любое лицо из любого места и в любое время по собственному выбору может получить доступ к размещенной Исполнителем на специальном сервере части ЭПС «Система ГАРАНТ», содержащей в том числе выбранный документ;</w:t>
      </w:r>
    </w:p>
    <w:p w14:paraId="78276A74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–</w:t>
      </w:r>
      <w:r w:rsidRPr="00165D51"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воспроизведение на компьютере или в локальной вычислительной сети Заказчика ЭПС «Система ГАРАНТ» в объеме Комплекта для автономной работы, являющегося определенной Исполнителем частью ЭПС «Система ГАРАНТ» с обновляемым банком данных законодательства, и позволяющего осуществлять работу с ним, в том числе при отсутствии удаленного доступа через информационно-телекоммуникационную сеть Интернет.</w:t>
      </w:r>
    </w:p>
    <w:p w14:paraId="79ED2370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5. Удаленный доступ к ЭПС «Система ГАРАНТ» в объеме комплекта будет осуществляться Заказчиком по адресу (адресам): ______________________________________.</w:t>
      </w:r>
    </w:p>
    <w:p w14:paraId="19758A4F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lastRenderedPageBreak/>
        <w:t>6. Функционирование всех характеристик ЭПС «Система ГАРАНТ», указанных в настоящем Техническом задании, в течение срока действия предоставленной(</w:t>
      </w:r>
      <w:proofErr w:type="spellStart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ых</w:t>
      </w:r>
      <w:proofErr w:type="spellEnd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) лицензии(</w:t>
      </w:r>
      <w:proofErr w:type="spellStart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ий</w:t>
      </w:r>
      <w:proofErr w:type="spellEnd"/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) должно быть гарантировано Исполнителем. Для указанных целей Исполнитель должен являться правообладателем на ЭПС «Система ГАРАНТ» или иметь соответствующие права на предоставление лицензий на право использования ЭПС «Система ГАРАНТ» третьим лицам. В подтверждение изложенного Исполнитель может предоставить документы, подтверждающие правомерность предоставления права использования ЭПС «Система ГАРАНТ» третьим лицам. Такими документами могут являться, например, копия лицензионного договора, заключенного с правообладателем или иным лицензиаром, выписка из лицензионного договора, письмо правообладателя о правомерности предоставления права использования ЭПС «Система ГАРАНТ» Исполнителем (один из перечисленных документов по выбору Исполнителя).</w:t>
      </w:r>
    </w:p>
    <w:p w14:paraId="4D47ADA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7. Требования к ЭПС «Система ГАРАНТ»:</w:t>
      </w:r>
    </w:p>
    <w:p w14:paraId="51DE896F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i/>
          <w:iCs/>
          <w:color w:val="000000"/>
          <w:kern w:val="2"/>
          <w:sz w:val="24"/>
          <w:szCs w:val="24"/>
          <w:lang w:eastAsia="zh-CN" w:bidi="hi-IN"/>
        </w:rPr>
        <w:t>7.1. Заказчику предоставляется право использования ЭПС «Система ГАРАНТ» в объеме комплекта «ГАРАНТ-Юрист</w:t>
      </w:r>
      <w:r w:rsidRPr="00165D51">
        <w:rPr>
          <w:rFonts w:eastAsia="SimSun"/>
          <w:i/>
          <w:iCs/>
          <w:kern w:val="2"/>
          <w:sz w:val="24"/>
          <w:szCs w:val="24"/>
          <w:lang w:eastAsia="zh-CN" w:bidi="hi-IN"/>
        </w:rPr>
        <w:t>», включающего информационные блоки:</w:t>
      </w:r>
    </w:p>
    <w:p w14:paraId="614B3B04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«Законодательство России»;</w:t>
      </w:r>
    </w:p>
    <w:p w14:paraId="1E240489" w14:textId="77777777" w:rsidR="00165D51" w:rsidRPr="00165D51" w:rsidRDefault="00165D51" w:rsidP="00165D51">
      <w:pPr>
        <w:suppressAutoHyphens/>
        <w:autoSpaceDE/>
        <w:autoSpaceDN/>
        <w:adjustRightInd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информационный блок «Справочник по охране труда»;</w:t>
      </w:r>
    </w:p>
    <w:p w14:paraId="66CECDD0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«Решения Федеральной антимонопольной службы и территориальных органов»;</w:t>
      </w:r>
    </w:p>
    <w:p w14:paraId="26BAA0C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информационные блоки «Практика высших судебных органов», «Практика арбитражных судов округов»;</w:t>
      </w:r>
    </w:p>
    <w:p w14:paraId="60B76BB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онлайн-архивы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 «Банк судебной практики», «Определения арбитражных судов»;</w:t>
      </w:r>
    </w:p>
    <w:p w14:paraId="77ACB28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«Судебная практика: приложение к консультационным блокам»;</w:t>
      </w:r>
    </w:p>
    <w:p w14:paraId="374AF8AF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 xml:space="preserve">информационные блоки «Энциклопедия решений. Налоги и взносы», «Энциклопедия решений. Трудовые отношения, кадры», «Энциклопедия решений. Договоры и иные сделки», «Энциклопедия решений. Корпоративное право», «Энциклопедия решений. Бюджетная сфера: учет, отчетность, </w:t>
      </w:r>
      <w:proofErr w:type="spellStart"/>
      <w:r w:rsidRPr="00165D51">
        <w:rPr>
          <w:rFonts w:eastAsia="Arial"/>
          <w:kern w:val="2"/>
          <w:sz w:val="24"/>
          <w:szCs w:val="24"/>
          <w:lang w:eastAsia="zh-CN" w:bidi="hi-IN"/>
        </w:rPr>
        <w:t>финконтроль</w:t>
      </w:r>
      <w:proofErr w:type="spellEnd"/>
      <w:r w:rsidRPr="00165D51">
        <w:rPr>
          <w:rFonts w:eastAsia="Arial"/>
          <w:kern w:val="2"/>
          <w:sz w:val="24"/>
          <w:szCs w:val="24"/>
          <w:lang w:eastAsia="zh-CN" w:bidi="hi-IN"/>
        </w:rPr>
        <w:t xml:space="preserve">», «Энциклопедия решений. Проверки организаций и предпринимателей», «Энциклопедия решений. </w:t>
      </w:r>
      <w:proofErr w:type="spellStart"/>
      <w:r w:rsidRPr="00165D51">
        <w:rPr>
          <w:rFonts w:eastAsia="Arial"/>
          <w:kern w:val="2"/>
          <w:sz w:val="24"/>
          <w:szCs w:val="24"/>
          <w:lang w:eastAsia="zh-CN" w:bidi="hi-IN"/>
        </w:rPr>
        <w:t>Госзакупки</w:t>
      </w:r>
      <w:proofErr w:type="spellEnd"/>
      <w:r w:rsidRPr="00165D51">
        <w:rPr>
          <w:rFonts w:eastAsia="Arial"/>
          <w:kern w:val="2"/>
          <w:sz w:val="24"/>
          <w:szCs w:val="24"/>
          <w:lang w:eastAsia="zh-CN" w:bidi="hi-IN"/>
        </w:rPr>
        <w:t>»;</w:t>
      </w:r>
    </w:p>
    <w:p w14:paraId="5233183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«Энциклопедия. Формы правовых документов»;</w:t>
      </w:r>
    </w:p>
    <w:p w14:paraId="0D35744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«Большая домашняя правовая энциклопедия»;</w:t>
      </w:r>
    </w:p>
    <w:p w14:paraId="56BB0117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«Большая библиотека бухгалтера и кадрового работника»;</w:t>
      </w:r>
    </w:p>
    <w:p w14:paraId="5F25B0C3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«Библиотека научных публикаций»;</w:t>
      </w:r>
    </w:p>
    <w:p w14:paraId="43FB07C6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«Большая библиотека юриста»;</w:t>
      </w:r>
    </w:p>
    <w:p w14:paraId="1066161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 xml:space="preserve">информационный блок «Архивы </w:t>
      </w:r>
      <w:proofErr w:type="spellStart"/>
      <w:r w:rsidRPr="00165D51">
        <w:rPr>
          <w:rFonts w:eastAsia="Arial"/>
          <w:kern w:val="2"/>
          <w:sz w:val="24"/>
          <w:szCs w:val="24"/>
          <w:lang w:eastAsia="zh-CN" w:bidi="hi-IN"/>
        </w:rPr>
        <w:t>ГАРАНТа</w:t>
      </w:r>
      <w:proofErr w:type="spellEnd"/>
      <w:r w:rsidRPr="00165D51">
        <w:rPr>
          <w:rFonts w:eastAsia="Arial"/>
          <w:kern w:val="2"/>
          <w:sz w:val="24"/>
          <w:szCs w:val="24"/>
          <w:lang w:eastAsia="zh-CN" w:bidi="hi-IN"/>
        </w:rPr>
        <w:t>. Россия»;</w:t>
      </w:r>
    </w:p>
    <w:p w14:paraId="376A3E0F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информационный блок «Интернет-семинары»;</w:t>
      </w:r>
    </w:p>
    <w:p w14:paraId="01DB86C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shd w:val="clear" w:color="auto" w:fill="FF3333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информационный блок «База знаний службы Правового консалтинга».</w:t>
      </w:r>
    </w:p>
    <w:p w14:paraId="5DCEB5D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i/>
          <w:iCs/>
          <w:kern w:val="2"/>
          <w:sz w:val="24"/>
          <w:szCs w:val="24"/>
          <w:lang w:eastAsia="zh-CN" w:bidi="hi-IN"/>
        </w:rPr>
        <w:t>7.2. Функциональные возможности и свойства ЭПС «Система ГАРАНТ»:</w:t>
      </w:r>
    </w:p>
    <w:p w14:paraId="5E22FDB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наличие единой строки Базового поиска, позволяющей формулировать запрос в свободной форме с выстраиванием результирующего списка по степени соответствия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запросу. При отображении полученных результатов Базовый поиск должен предоставлять возможность обращаться для поиска непосредственно из </w:t>
      </w:r>
      <w:r w:rsidRPr="00165D51">
        <w:rPr>
          <w:rFonts w:eastAsia="SimSun"/>
          <w:iCs/>
          <w:color w:val="000000"/>
          <w:kern w:val="2"/>
          <w:sz w:val="24"/>
          <w:szCs w:val="24"/>
          <w:lang w:eastAsia="zh-CN" w:bidi="hi-IN"/>
        </w:rPr>
        <w:t>ЭПС «Система ГАРАНТ»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к онлайн-архивам судебных решений и муниципальных актов без повторного ввода поискового запроса;</w:t>
      </w:r>
    </w:p>
    <w:p w14:paraId="7F6CCCB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поиск по реквизитам (включая реквизиты регистрации в Министерстве юстиции Российской Федерации, возможность выбора территории регулирования, поиск по норме права с возможностью пересечения норм права: по главе, разделу или статье кодексов и основных федеральных законов);</w:t>
      </w:r>
    </w:p>
    <w:p w14:paraId="0BF77EC0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применения логических условий при запросе нескольких значений одного реквизита («Тема», «Орган/Источник», «Тип», «Территория», «Вид информации»); </w:t>
      </w:r>
    </w:p>
    <w:p w14:paraId="42295216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поиск материалов периодических печатных изданий по источнику их опубликования;</w:t>
      </w:r>
    </w:p>
    <w:p w14:paraId="463EE2C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поиск по ситуации (без указания реквизитов документа и без обязательного контекстного соответствия поискового запроса тексту документов);</w:t>
      </w:r>
    </w:p>
    <w:p w14:paraId="758F668D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поиск правовых актов по дате (интервалу дат) вступления в силу, утраты силы, внесения изменений;</w:t>
      </w:r>
    </w:p>
    <w:p w14:paraId="195E2324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в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информационном блоке «Справочник по охране труда» осуществлять поиск по графическим копиям документов с точностью до слова, а также просматривать схемы преемственности для предшествующих и вновь принятых документов;</w:t>
      </w:r>
    </w:p>
    <w:p w14:paraId="4B76CF8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lastRenderedPageBreak/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поиска контекста в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видеосеминарах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 с помощью единой строки Базового поиска. При осуществлении поиска контекста найденное видео должно открываться с того момента, который содержит искомый контекст, а в случае упоминания контекста в конкретном видео несколько раз, вхождения для быстрого переключения должны быть отмечены в окне просмотра; </w:t>
      </w:r>
    </w:p>
    <w:p w14:paraId="28054C42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обращения непосредственно из ЭПС «Система ГАРАНТ» в объеме комплекта в открытые источники сети Интернет при необходимости продолжения поиска контекста по сформулированному запросу в единой строке Базового поиска;</w:t>
      </w:r>
    </w:p>
    <w:p w14:paraId="6E4B595D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shd w:val="clear" w:color="auto" w:fill="FF3333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поиска трактовки нормативных определений для понятий и терминов, используемых в той или иной области права или сфере деятельности;</w:t>
      </w:r>
    </w:p>
    <w:p w14:paraId="5BB0395F" w14:textId="77777777" w:rsidR="00165D51" w:rsidRPr="00165D51" w:rsidRDefault="00165D51" w:rsidP="00165D51">
      <w:pPr>
        <w:shd w:val="clear" w:color="auto" w:fill="FFFFFF"/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автоматическое </w:t>
      </w:r>
      <w:r w:rsidRPr="00165D51">
        <w:rPr>
          <w:rFonts w:eastAsia="Calibri"/>
          <w:color w:val="000000"/>
          <w:kern w:val="2"/>
          <w:sz w:val="24"/>
          <w:szCs w:val="24"/>
          <w:lang w:eastAsia="zh-CN" w:bidi="hi-IN"/>
        </w:rPr>
        <w:t>исправление опечаток без прерывания процесса поиска с возможностью отказа от предложенного варианта исправления;</w:t>
      </w:r>
    </w:p>
    <w:p w14:paraId="1295E3A1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обращения к онлайн-архиву судебных решений, в том числе решений мировых судей и определений арбитражных судов. Судебные решения могут сопровождаться аннотациями, содержащими краткое изложение темы решений, требований истца и выводов суда;</w:t>
      </w:r>
    </w:p>
    <w:p w14:paraId="1B4A637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поиск судебной практики по специальным критериям: ключевым темам и сторонам спора, судье и виду судопроизводства; отбор документов из полученного в результате поиска списка арбитражной практики по делам с участием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определенных Исполнителем органов власти, отбор документов из полученного в результате поиска списка арбитражной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 практики кассационной инстанции по делам с решениями в пользу налогового органа или налогоплательщика;</w:t>
      </w:r>
    </w:p>
    <w:p w14:paraId="0FD6AD1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просмотра непосредственно в ЭПС «Система ГАРАНТ» в объеме комплекта анонсов предстоящих интернет-семинаров, содержащих их название, ФИО, фото и регалии лектора, срок, в течение которого семинар доступен для просмотра в ЭПС «Система ГАРАНТ», программу семинара, ссылку на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видеоанонс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>, а также наличие интернет-семинаров для просмотра;</w:t>
      </w:r>
    </w:p>
    <w:p w14:paraId="39BC060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функция «ПРАЙМ»: наличие аналитических аннотаций, кратко излагающих суть документов федерального и регионального законодательства;</w:t>
      </w:r>
    </w:p>
    <w:p w14:paraId="7D411CB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на Главной странице ЭПС «Система ГАРАНТ» в объеме комплекта знакомиться с профессиональными новостями (с возможностью перехода к текстам правовых актов, судебных решений, проектов правовых актов), в том числе по тематикам: бухгалтерский учет и налогообложение, кадровые вопросы, юридические вопросы, государственный сектор, государственные закупки, охрана труда;</w:t>
      </w:r>
    </w:p>
    <w:p w14:paraId="45F7FD03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сортировки списков документов по степени соответствия запросу,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14:paraId="55B2363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работы в активном списке документов (результате поиска), в том числе возможность его уточнения по имеющимся реквизитам;</w:t>
      </w:r>
    </w:p>
    <w:p w14:paraId="30D73C9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наличие в списке документов маркировки у часто цитируемых судебных решений; возможность построить с использованием различных критериев список только часто цитируемых судебных решений;</w:t>
      </w:r>
    </w:p>
    <w:p w14:paraId="4C3D424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из открытого документа, содержащегося в построенном списке документов, перейти к просмотру предыдущего или следующего документа этого списка (навигация по списку документов);</w:t>
      </w:r>
    </w:p>
    <w:p w14:paraId="65257A0F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быстрого знакомства с документами, включая возможность одновременного просмотра текста синхронно с оглавлением документа (при перемещении по оглавлению отображается соответствующий раздел документа, а при перемещении по разделам документа – пункт оглавления);</w:t>
      </w:r>
    </w:p>
    <w:p w14:paraId="69C8757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возможность постановки на контроль документа, списка документов, фрагмента документа с целью получения информации об изменениях;</w:t>
      </w:r>
    </w:p>
    <w:p w14:paraId="4A4FB5F7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сохранения поискового запроса, сгенерировавшего список документов, возможность отслеживания поступления новых документов по сохраненному поисковому запросу с помощью его постановки на контроль;</w:t>
      </w:r>
    </w:p>
    <w:p w14:paraId="6F04AD1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построения списка документов, упоминаемых в открытом документе или его фрагменте;</w:t>
      </w:r>
    </w:p>
    <w:p w14:paraId="2171BFA0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постановки на контроль списка документов, связанных с документом или его фрагментом, в том числе возможность отслеживать появление новых актов. Возможность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lastRenderedPageBreak/>
        <w:t>получения уведомления о данных изменениях на указанный адрес электронной почты. Возможность изменения названия поставленного на контроль списка документов;</w:t>
      </w:r>
    </w:p>
    <w:p w14:paraId="23D1164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экспорта (сохранения) выбранного документа или фрагмента документа в файл формата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rtf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odt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 или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pdf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27512BC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экспорта (сохранения) названий первых ста документов построенного списка документов в файл формата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rtf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7009B77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сохранения построенного списка документов в папку пользователя;</w:t>
      </w:r>
    </w:p>
    <w:p w14:paraId="3FD0AE05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сохранения в один файл и (или) совместной печати нескольких фрагментов текста документа с помощью выделения нужных пунктов оглавления; </w:t>
      </w:r>
    </w:p>
    <w:p w14:paraId="43B0C27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установки закладок в тексте документа, их изменение и удаление, а также возможность поиска документов по контексту среди названий закладок;</w:t>
      </w:r>
    </w:p>
    <w:p w14:paraId="6F214876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функция «Графическая копия официальной публикации»: возможность обращения к графической копии публикации первоначальной редакции нормативного акта при ее наличии;</w:t>
      </w:r>
    </w:p>
    <w:p w14:paraId="6AE5D305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функция «Машина времени»: возможность получения текста правового акта в том виде, в котором он действовал или будет действовать (при наличии утративших или не вступивших в силу редакций соответственно) на конкретную дату с возможностью автоматической перестройки на искомый момент времени других документов при переходе по ссылкам;</w:t>
      </w:r>
    </w:p>
    <w:p w14:paraId="0DDD6646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функция «Похожие документы»: наличие аналитического инструмента для построения списка документов, применяющихся в схожей ситуации и близких по смысловому содержанию, без необходимости использования поиска по реквизитам и по контексту;</w:t>
      </w:r>
    </w:p>
    <w:p w14:paraId="01A93DD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перехода по ссылкам из документов, включая судебную практику и авторские материалы, на актуальные редакции нормативных правовых актов (по умолчанию);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54B6DDC3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функция «Калькуляторы»: наличие инструментов для автоматического вычисления отдельных показателей по введенным пользователем данным по тематикам: налоги и бухгалтерский учет; пени, проценты, штрафы; пособия и трудовые отношения; кассовая дисциплина; государственные закупки;</w:t>
      </w:r>
    </w:p>
    <w:p w14:paraId="06666E91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настройки открытия документа из построенного списка документов или при переходе по ссылке на документ: в текущей вкладке, новой вкладке или в новом окне;</w:t>
      </w:r>
    </w:p>
    <w:p w14:paraId="22AC5EC2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обращения непосредственно из ЭПС «Система ГАРАНТ» в объеме комплекта к сервису, позволяющему в автоматическом режиме определять, к какому коду относятся товары, работы или услуги согласно Общероссийскому классификатору продукции по видам экономической деятельности (ОКПД 2) ОК 034-2014 (КПЕС 2008), а также получать информацию об установленных запретах, ограничениях или преференциях при осуществлении закупок товаров, работ или услуг;</w:t>
      </w:r>
    </w:p>
    <w:p w14:paraId="49BC0727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функциональная возможность «Конструктор правовых документов», позволяющая осуществлять составление документов по одной из предусмотренных в ней форм: исковое заявление в суды (арбитражные и общей юрисдикции), учредительные документы (уставы акционерных обществ, обществ с ограниченной ответственностью), учетная политика (возможность формирования учетной политики организации госсектора), гражданско-правовые и трудовые договоры, государственные (муниципальные) контракты, доверенности и другие документы; </w:t>
      </w:r>
    </w:p>
    <w:p w14:paraId="4D6B325E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функциональная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возможность «Экспресс проверка контрагентов», позволяющая получить информацию о юридических лицах и индивидуальных предпринимателях по запросам Заказчика в виде справок в количестве до 200 запросов в месяц;</w:t>
      </w:r>
    </w:p>
    <w:p w14:paraId="247819C4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функциональная возможность «Гарант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ЧекФарм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», позволяющая одновременно проверить до 10 лекарственных препаратов на наличие сведений о потенциальных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межлекарственных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 взаимодействиях, совместимости с алкоголем и влиянии на управление транспортными средствами с целью оценки возможных рисков совместного применения лекарств, безопасности одновременного приема лекарств, а также снижения возможной ошибки врачебных назначений лекарственных препаратов;</w:t>
      </w:r>
    </w:p>
    <w:p w14:paraId="2E8130F9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функциональная возможность обеспечивающая поиск с заданием «логических условий» (поиска с использованием выбора союзов </w:t>
      </w:r>
      <w:proofErr w:type="gramStart"/>
      <w:r w:rsidRPr="00165D51">
        <w:rPr>
          <w:rFonts w:eastAsia="SimSun"/>
          <w:kern w:val="2"/>
          <w:sz w:val="24"/>
          <w:szCs w:val="24"/>
          <w:lang w:eastAsia="zh-CN" w:bidi="hi-IN"/>
        </w:rPr>
        <w:t>И</w:t>
      </w:r>
      <w:proofErr w:type="gramEnd"/>
      <w:r w:rsidRPr="00165D51">
        <w:rPr>
          <w:rFonts w:eastAsia="SimSun"/>
          <w:kern w:val="2"/>
          <w:sz w:val="24"/>
          <w:szCs w:val="24"/>
          <w:lang w:eastAsia="zh-CN" w:bidi="hi-IN"/>
        </w:rPr>
        <w:t>/ИЛИ/КРОМЕ) при поиске судебных решений;</w:t>
      </w:r>
    </w:p>
    <w:p w14:paraId="2D407FD9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shd w:val="clear" w:color="auto" w:fill="FFFF00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сохранения поисковых запросов с автоматическим сохранением истории запросов и открытых документов не менее чем за 42 дня;</w:t>
      </w:r>
    </w:p>
    <w:p w14:paraId="1E7574F0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возможность изменения размера шрифта документа в соответствии с предпочтениями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lastRenderedPageBreak/>
        <w:t>пользователя;</w:t>
      </w:r>
    </w:p>
    <w:p w14:paraId="1B13CB25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возможность персональной настройки Главной страницы в соответствии с профессиональными интересами пользователя, в том числе по тематикам: налогообложение и бухгалтерский учет, кадровые вопросы, юридические вопросы, государственный сектор, государственные закупки, медицинское право, охрана труда, промышленная безопасность;</w:t>
      </w:r>
    </w:p>
    <w:p w14:paraId="61650782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shd w:val="clear" w:color="auto" w:fill="FFFF00"/>
          <w:lang w:eastAsia="zh-CN" w:bidi="hi-IN"/>
        </w:rPr>
      </w:pP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–</w:t>
      </w:r>
      <w:r w:rsidRPr="00165D51"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наличие функции голосового поиска, позволяющей осуществлять перевод речевого запроса пользователя в текстовый вид с последующим поиском по ЭПС «Система ГАРАНТ» и выстраиванием результирующего списка по степени соответствия запросу (если данная функциональность допускается используемым пользователем браузером);</w:t>
      </w:r>
    </w:p>
    <w:p w14:paraId="7BDDE17C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Arial"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функция «Администратор пользователей»: специальный интерфейс администратора, позволяющий создавать, загружать учетные записи (в том числе списком), удалять учетные записи пользователей;</w:t>
      </w:r>
    </w:p>
    <w:p w14:paraId="0A205B65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i/>
          <w:iCs/>
          <w:kern w:val="2"/>
          <w:sz w:val="24"/>
          <w:szCs w:val="24"/>
          <w:lang w:eastAsia="zh-CN" w:bidi="hi-IN"/>
        </w:rPr>
      </w:pPr>
      <w:r w:rsidRPr="00165D51">
        <w:rPr>
          <w:rFonts w:eastAsia="Arial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Arial"/>
          <w:kern w:val="2"/>
          <w:sz w:val="24"/>
          <w:szCs w:val="24"/>
          <w:lang w:eastAsia="zh-CN" w:bidi="hi-IN"/>
        </w:rPr>
        <w:t>наличие раздела (личного кабинета) для изменения пользователем пароля и настройки других параметров.</w:t>
      </w:r>
    </w:p>
    <w:p w14:paraId="165EE339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i/>
          <w:iCs/>
          <w:kern w:val="2"/>
          <w:sz w:val="24"/>
          <w:szCs w:val="24"/>
          <w:lang w:eastAsia="zh-CN" w:bidi="hi-IN"/>
        </w:rPr>
        <w:t>7.3. Общие требования:</w:t>
      </w:r>
    </w:p>
    <w:p w14:paraId="513FB7A8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удаленный доступ к ЭПС «Система ГАРАНТ» через информационно-телекоммуникационную сеть Интернет может осуществляться посредством интернет-браузера (интернет-браузеров): актуальные версии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Chrome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Firefox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  <w:r w:rsidRPr="00165D51">
        <w:rPr>
          <w:rFonts w:eastAsia="SimSun"/>
          <w:kern w:val="2"/>
          <w:sz w:val="24"/>
          <w:szCs w:val="24"/>
          <w:lang w:val="en-US" w:eastAsia="zh-CN" w:bidi="hi-IN"/>
        </w:rPr>
        <w:t>O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pera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; IE; </w:t>
      </w:r>
      <w:proofErr w:type="spellStart"/>
      <w:r w:rsidRPr="00165D51">
        <w:rPr>
          <w:rFonts w:eastAsia="SimSun"/>
          <w:kern w:val="2"/>
          <w:sz w:val="24"/>
          <w:szCs w:val="24"/>
          <w:lang w:eastAsia="zh-CN" w:bidi="hi-IN"/>
        </w:rPr>
        <w:t>Edge</w:t>
      </w:r>
      <w:proofErr w:type="spellEnd"/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  <w:proofErr w:type="spellStart"/>
      <w:r w:rsidRPr="00165D51">
        <w:rPr>
          <w:rFonts w:eastAsia="Times New Roman CYR"/>
          <w:kern w:val="2"/>
          <w:sz w:val="24"/>
          <w:szCs w:val="24"/>
          <w:lang w:eastAsia="zh-CN" w:bidi="hi-IN"/>
        </w:rPr>
        <w:t>Safari</w:t>
      </w:r>
      <w:proofErr w:type="spellEnd"/>
      <w:r w:rsidRPr="00165D51">
        <w:rPr>
          <w:rFonts w:eastAsia="Times New Roman CYR"/>
          <w:kern w:val="2"/>
          <w:sz w:val="24"/>
          <w:szCs w:val="24"/>
          <w:lang w:eastAsia="zh-CN" w:bidi="hi-IN"/>
        </w:rPr>
        <w:t xml:space="preserve"> (</w:t>
      </w:r>
      <w:proofErr w:type="spellStart"/>
      <w:r w:rsidRPr="00165D51">
        <w:rPr>
          <w:rFonts w:eastAsia="Times New Roman CYR"/>
          <w:kern w:val="2"/>
          <w:sz w:val="24"/>
          <w:szCs w:val="24"/>
          <w:lang w:val="en-US" w:eastAsia="zh-CN" w:bidi="hi-IN"/>
        </w:rPr>
        <w:t>MacOS</w:t>
      </w:r>
      <w:proofErr w:type="spellEnd"/>
      <w:r w:rsidRPr="00165D51">
        <w:rPr>
          <w:rFonts w:eastAsia="Times New Roman CYR"/>
          <w:kern w:val="2"/>
          <w:sz w:val="24"/>
          <w:szCs w:val="24"/>
          <w:lang w:eastAsia="zh-CN" w:bidi="hi-IN"/>
        </w:rPr>
        <w:t>), Яндекс. Браузер;</w:t>
      </w:r>
    </w:p>
    <w:p w14:paraId="1475797B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для удаленного доступа к ЭПС «Система ГАРАНТ» через информационно-телекоммуникационную сеть Интернет не должна требоваться установка какого-либо дополнительного программного обеспечения на компьютере пользователя, помимо интернет-браузера;</w:t>
      </w:r>
    </w:p>
    <w:p w14:paraId="79C2282A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b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 xml:space="preserve">удаленный доступ через информационно-телекоммуникационную сеть Интернет должен обеспечивать возможность одновременной работы с ЭПС «Система ГАРАНТ» в объеме </w:t>
      </w:r>
      <w:r w:rsidRPr="00165D51">
        <w:rPr>
          <w:rFonts w:eastAsia="SimSun"/>
          <w:color w:val="000000"/>
          <w:kern w:val="2"/>
          <w:sz w:val="24"/>
          <w:szCs w:val="24"/>
          <w:lang w:eastAsia="zh-CN" w:bidi="hi-IN"/>
        </w:rPr>
        <w:t>комплекта 2(двух) пользователей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288BD436" w14:textId="77777777" w:rsidR="00165D51" w:rsidRPr="00165D51" w:rsidRDefault="00165D51" w:rsidP="00165D51">
      <w:pPr>
        <w:suppressAutoHyphens/>
        <w:autoSpaceDE/>
        <w:autoSpaceDN/>
        <w:adjustRightInd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165D51">
        <w:rPr>
          <w:rFonts w:eastAsia="SimSun"/>
          <w:kern w:val="2"/>
          <w:sz w:val="24"/>
          <w:szCs w:val="24"/>
          <w:lang w:eastAsia="zh-CN" w:bidi="hi-IN"/>
        </w:rPr>
        <w:t>–</w:t>
      </w:r>
      <w:r w:rsidRPr="00165D51">
        <w:rPr>
          <w:kern w:val="2"/>
          <w:sz w:val="24"/>
          <w:szCs w:val="24"/>
          <w:lang w:eastAsia="zh-CN" w:bidi="hi-IN"/>
        </w:rPr>
        <w:t xml:space="preserve"> </w:t>
      </w:r>
      <w:r w:rsidRPr="00165D51">
        <w:rPr>
          <w:rFonts w:eastAsia="SimSun"/>
          <w:kern w:val="2"/>
          <w:sz w:val="24"/>
          <w:szCs w:val="24"/>
          <w:lang w:eastAsia="zh-CN" w:bidi="hi-IN"/>
        </w:rPr>
        <w:t>при удаленном доступе к ЭПС «Система ГАРАНТ» в объеме комплекта все сохраненные в ходе работы настройки и документы пользователя должны быть связаны с учетной записью пользователя.</w:t>
      </w:r>
    </w:p>
    <w:p w14:paraId="5DE4C496" w14:textId="77777777" w:rsidR="00165D51" w:rsidRPr="00CB57C1" w:rsidRDefault="00165D51" w:rsidP="00F3729E">
      <w:pPr>
        <w:shd w:val="clear" w:color="auto" w:fill="FFFFFF"/>
        <w:ind w:firstLine="567"/>
        <w:rPr>
          <w:sz w:val="22"/>
          <w:szCs w:val="22"/>
        </w:rPr>
      </w:pPr>
    </w:p>
    <w:sectPr w:rsidR="00165D51" w:rsidRPr="00CB57C1" w:rsidSect="0077227F">
      <w:pgSz w:w="11909" w:h="16834"/>
      <w:pgMar w:top="851" w:right="851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11BDC"/>
    <w:rsid w:val="00017A1E"/>
    <w:rsid w:val="00064D3C"/>
    <w:rsid w:val="000B4712"/>
    <w:rsid w:val="000C1E56"/>
    <w:rsid w:val="00100680"/>
    <w:rsid w:val="00107082"/>
    <w:rsid w:val="00114347"/>
    <w:rsid w:val="0014061F"/>
    <w:rsid w:val="00165D51"/>
    <w:rsid w:val="001A768E"/>
    <w:rsid w:val="001C1894"/>
    <w:rsid w:val="001C247F"/>
    <w:rsid w:val="00210BDD"/>
    <w:rsid w:val="002452A9"/>
    <w:rsid w:val="00246D97"/>
    <w:rsid w:val="00297E7C"/>
    <w:rsid w:val="002A3AF9"/>
    <w:rsid w:val="002C11C0"/>
    <w:rsid w:val="002C4110"/>
    <w:rsid w:val="002C6E4D"/>
    <w:rsid w:val="0030597D"/>
    <w:rsid w:val="00333191"/>
    <w:rsid w:val="00351595"/>
    <w:rsid w:val="00351C0C"/>
    <w:rsid w:val="0039080A"/>
    <w:rsid w:val="00391A90"/>
    <w:rsid w:val="003C39D1"/>
    <w:rsid w:val="00411AF7"/>
    <w:rsid w:val="00412640"/>
    <w:rsid w:val="00412CDC"/>
    <w:rsid w:val="00424877"/>
    <w:rsid w:val="00425787"/>
    <w:rsid w:val="00463E20"/>
    <w:rsid w:val="00474B67"/>
    <w:rsid w:val="004809D3"/>
    <w:rsid w:val="00483621"/>
    <w:rsid w:val="004D585E"/>
    <w:rsid w:val="004E610C"/>
    <w:rsid w:val="004F393D"/>
    <w:rsid w:val="004F3B3A"/>
    <w:rsid w:val="004F6D9A"/>
    <w:rsid w:val="00536344"/>
    <w:rsid w:val="0057667A"/>
    <w:rsid w:val="005779E3"/>
    <w:rsid w:val="00596C5D"/>
    <w:rsid w:val="005B380B"/>
    <w:rsid w:val="005D2B97"/>
    <w:rsid w:val="005D66BC"/>
    <w:rsid w:val="006817B5"/>
    <w:rsid w:val="0068746E"/>
    <w:rsid w:val="006E1841"/>
    <w:rsid w:val="006E7B3A"/>
    <w:rsid w:val="006F062C"/>
    <w:rsid w:val="00743B1B"/>
    <w:rsid w:val="00747B62"/>
    <w:rsid w:val="007619D9"/>
    <w:rsid w:val="00765B1C"/>
    <w:rsid w:val="0077227F"/>
    <w:rsid w:val="0079569A"/>
    <w:rsid w:val="007E49EA"/>
    <w:rsid w:val="007F0CFD"/>
    <w:rsid w:val="0082400F"/>
    <w:rsid w:val="0084109E"/>
    <w:rsid w:val="00844DED"/>
    <w:rsid w:val="008461E6"/>
    <w:rsid w:val="008525DE"/>
    <w:rsid w:val="008753CE"/>
    <w:rsid w:val="00881BA8"/>
    <w:rsid w:val="00895051"/>
    <w:rsid w:val="008B19E9"/>
    <w:rsid w:val="009576C4"/>
    <w:rsid w:val="00977BE9"/>
    <w:rsid w:val="00984BB1"/>
    <w:rsid w:val="00986661"/>
    <w:rsid w:val="009C07B9"/>
    <w:rsid w:val="009E14E8"/>
    <w:rsid w:val="009F0C07"/>
    <w:rsid w:val="009F6B1B"/>
    <w:rsid w:val="00A66A5E"/>
    <w:rsid w:val="00A87AFE"/>
    <w:rsid w:val="00A90B23"/>
    <w:rsid w:val="00AB3F32"/>
    <w:rsid w:val="00AD2AD2"/>
    <w:rsid w:val="00AD43AC"/>
    <w:rsid w:val="00B10FAC"/>
    <w:rsid w:val="00B30E78"/>
    <w:rsid w:val="00B41153"/>
    <w:rsid w:val="00B52D7F"/>
    <w:rsid w:val="00B63B75"/>
    <w:rsid w:val="00B74B87"/>
    <w:rsid w:val="00B82BEE"/>
    <w:rsid w:val="00BC153D"/>
    <w:rsid w:val="00C163FA"/>
    <w:rsid w:val="00C25243"/>
    <w:rsid w:val="00C54803"/>
    <w:rsid w:val="00C90104"/>
    <w:rsid w:val="00CB57C1"/>
    <w:rsid w:val="00CF2C27"/>
    <w:rsid w:val="00D02695"/>
    <w:rsid w:val="00D240A0"/>
    <w:rsid w:val="00D308BD"/>
    <w:rsid w:val="00D345A5"/>
    <w:rsid w:val="00D40AAD"/>
    <w:rsid w:val="00D96EAA"/>
    <w:rsid w:val="00DC0FF7"/>
    <w:rsid w:val="00DD0507"/>
    <w:rsid w:val="00DD1C6E"/>
    <w:rsid w:val="00DD6C98"/>
    <w:rsid w:val="00DE41CD"/>
    <w:rsid w:val="00E24CD3"/>
    <w:rsid w:val="00E65A96"/>
    <w:rsid w:val="00E7420D"/>
    <w:rsid w:val="00E91469"/>
    <w:rsid w:val="00ED2067"/>
    <w:rsid w:val="00EE094A"/>
    <w:rsid w:val="00F02EA5"/>
    <w:rsid w:val="00F11CFF"/>
    <w:rsid w:val="00F145CD"/>
    <w:rsid w:val="00F3729E"/>
    <w:rsid w:val="00F46A83"/>
    <w:rsid w:val="00F55E21"/>
    <w:rsid w:val="00F95EFD"/>
    <w:rsid w:val="00FA069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B8267ECA-7B4B-4D5C-80DC-B9D19752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paragraph" w:styleId="aa">
    <w:name w:val="footer"/>
    <w:basedOn w:val="a"/>
    <w:link w:val="ab"/>
    <w:rsid w:val="00100680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</w:rPr>
  </w:style>
  <w:style w:type="character" w:customStyle="1" w:styleId="ab">
    <w:name w:val="Нижний колонтитул Знак"/>
    <w:basedOn w:val="a0"/>
    <w:link w:val="aa"/>
    <w:rsid w:val="001006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Администратор</cp:lastModifiedBy>
  <cp:revision>8</cp:revision>
  <cp:lastPrinted>2025-01-30T12:31:00Z</cp:lastPrinted>
  <dcterms:created xsi:type="dcterms:W3CDTF">2026-06-01T08:57:00Z</dcterms:created>
  <dcterms:modified xsi:type="dcterms:W3CDTF">2026-06-01T10:36:00Z</dcterms:modified>
</cp:coreProperties>
</file>