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7AED92D8" w:rsidR="00630DA9" w:rsidRPr="00AD62D0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D62D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8B26F2" w:rsidRPr="00AD62D0">
        <w:rPr>
          <w:rFonts w:ascii="Times New Roman" w:hAnsi="Times New Roman" w:cs="Times New Roman"/>
          <w:sz w:val="24"/>
          <w:szCs w:val="24"/>
        </w:rPr>
        <w:t>обучающих комплектов и средств индивидуальной защиты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7C5EFE18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43314B">
        <w:rPr>
          <w:rFonts w:ascii="Times New Roman" w:hAnsi="Times New Roman" w:cs="Times New Roman"/>
          <w:sz w:val="24"/>
        </w:rPr>
        <w:t>Фисенко Геннадия Валентиновича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D230BA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43314B" w:rsidRPr="0043314B">
        <w:rPr>
          <w:rFonts w:ascii="Times New Roman" w:hAnsi="Times New Roman" w:cs="Times New Roman"/>
          <w:sz w:val="24"/>
        </w:rPr>
        <w:t>a3f5198e-63c1-4e0f-ac84-e89cf4a1f686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43314B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50CAF49C" w:rsidR="00630DA9" w:rsidRPr="005D1645" w:rsidRDefault="003B3D83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EF581F" w:rsidRPr="00EF581F">
        <w:rPr>
          <w:rFonts w:ascii="Times New Roman" w:hAnsi="Times New Roman" w:cs="Times New Roman"/>
          <w:b/>
          <w:sz w:val="24"/>
          <w:szCs w:val="24"/>
        </w:rPr>
        <w:t>об</w:t>
      </w:r>
      <w:r w:rsidR="008B26F2">
        <w:rPr>
          <w:rFonts w:ascii="Times New Roman" w:hAnsi="Times New Roman" w:cs="Times New Roman"/>
          <w:b/>
          <w:sz w:val="24"/>
          <w:szCs w:val="24"/>
        </w:rPr>
        <w:t>учающие комплекты</w:t>
      </w:r>
      <w:r w:rsidR="00EF581F" w:rsidRPr="00EF581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B26F2">
        <w:rPr>
          <w:rFonts w:ascii="Times New Roman" w:hAnsi="Times New Roman" w:cs="Times New Roman"/>
          <w:b/>
          <w:sz w:val="24"/>
          <w:szCs w:val="24"/>
        </w:rPr>
        <w:t>средства индивидуально</w:t>
      </w:r>
      <w:r w:rsidR="00C86133">
        <w:rPr>
          <w:rFonts w:ascii="Times New Roman" w:hAnsi="Times New Roman" w:cs="Times New Roman"/>
          <w:b/>
          <w:sz w:val="24"/>
          <w:szCs w:val="24"/>
        </w:rPr>
        <w:t>й</w:t>
      </w:r>
      <w:r w:rsidR="008B26F2">
        <w:rPr>
          <w:rFonts w:ascii="Times New Roman" w:hAnsi="Times New Roman" w:cs="Times New Roman"/>
          <w:b/>
          <w:sz w:val="24"/>
          <w:szCs w:val="24"/>
        </w:rPr>
        <w:t xml:space="preserve"> защиты</w:t>
      </w:r>
      <w:r w:rsidR="00EF581F">
        <w:rPr>
          <w:rFonts w:ascii="Times New Roman" w:hAnsi="Times New Roman" w:cs="Times New Roman"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01D32897" w:rsidR="004645DD" w:rsidRPr="00144F2D" w:rsidRDefault="00F564CC" w:rsidP="00D07683">
      <w:pPr>
        <w:spacing w:after="0" w:line="276" w:lineRule="auto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43314B" w:rsidRPr="0043314B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13AC8F75" w:rsidR="00B41B4D" w:rsidRPr="00B41B4D" w:rsidRDefault="00B41B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C04901">
        <w:rPr>
          <w:rFonts w:ascii="Times New Roman" w:hAnsi="Times New Roman" w:cs="Times New Roman"/>
          <w:sz w:val="24"/>
        </w:rPr>
        <w:t xml:space="preserve">1, </w:t>
      </w:r>
      <w:r w:rsidR="00BF4674">
        <w:rPr>
          <w:rFonts w:ascii="Times New Roman" w:hAnsi="Times New Roman" w:cs="Times New Roman"/>
          <w:sz w:val="24"/>
        </w:rPr>
        <w:t>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C04901">
        <w:rPr>
          <w:rFonts w:ascii="Times New Roman" w:hAnsi="Times New Roman" w:cs="Times New Roman"/>
          <w:sz w:val="24"/>
        </w:rPr>
        <w:t xml:space="preserve"> и № 3 </w:t>
      </w:r>
      <w:r w:rsidR="00494802">
        <w:rPr>
          <w:rFonts w:ascii="Times New Roman" w:hAnsi="Times New Roman" w:cs="Times New Roman"/>
          <w:sz w:val="24"/>
        </w:rPr>
        <w:t>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lastRenderedPageBreak/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0E2D25DD" w:rsidR="00630DA9" w:rsidRDefault="004260E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234534">
        <w:rPr>
          <w:rFonts w:ascii="Times New Roman" w:hAnsi="Times New Roman" w:cs="Times New Roman"/>
          <w:sz w:val="24"/>
        </w:rPr>
        <w:t>36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234534">
        <w:rPr>
          <w:rFonts w:ascii="Times New Roman" w:hAnsi="Times New Roman" w:cs="Times New Roman"/>
          <w:sz w:val="24"/>
        </w:rPr>
        <w:t>тридцати шести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3314B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372D05D0" w14:textId="7941C3F5" w:rsidR="00EF581F" w:rsidRDefault="00EF581F" w:rsidP="00EF581F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>
        <w:rPr>
          <w:rFonts w:ascii="Times New Roman" w:hAnsi="Times New Roman" w:cs="Times New Roman"/>
          <w:sz w:val="24"/>
        </w:rPr>
        <w:t xml:space="preserve">представителем Заказчика, </w:t>
      </w:r>
      <w:r w:rsidRPr="00215DA0">
        <w:rPr>
          <w:rFonts w:ascii="Times New Roman" w:hAnsi="Times New Roman" w:cs="Times New Roman"/>
          <w:sz w:val="24"/>
        </w:rPr>
        <w:t>ответственн</w:t>
      </w:r>
      <w:r>
        <w:rPr>
          <w:rFonts w:ascii="Times New Roman" w:hAnsi="Times New Roman" w:cs="Times New Roman"/>
          <w:sz w:val="24"/>
        </w:rPr>
        <w:t>ым</w:t>
      </w:r>
      <w:r w:rsidRPr="00215DA0">
        <w:rPr>
          <w:rFonts w:ascii="Times New Roman" w:hAnsi="Times New Roman" w:cs="Times New Roman"/>
          <w:sz w:val="24"/>
        </w:rPr>
        <w:t xml:space="preserve"> за приемку </w:t>
      </w:r>
      <w:r w:rsidRPr="00A336C1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741B65">
        <w:rPr>
          <w:rFonts w:ascii="Times New Roman" w:hAnsi="Times New Roman" w:cs="Times New Roman"/>
          <w:sz w:val="24"/>
          <w:szCs w:val="24"/>
        </w:rPr>
        <w:t>указанным в Приложении №3</w:t>
      </w:r>
      <w:r w:rsidR="00A71C42">
        <w:rPr>
          <w:rFonts w:ascii="Times New Roman" w:hAnsi="Times New Roman" w:cs="Times New Roman"/>
          <w:sz w:val="24"/>
          <w:szCs w:val="24"/>
        </w:rPr>
        <w:t>,</w:t>
      </w:r>
      <w:r w:rsidRPr="00A336C1">
        <w:rPr>
          <w:rFonts w:ascii="Times New Roman" w:hAnsi="Times New Roman" w:cs="Times New Roman"/>
          <w:sz w:val="24"/>
          <w:szCs w:val="24"/>
        </w:rPr>
        <w:t xml:space="preserve"> точное место, дату и время поставки Товара и выполнения Работ, возможность поставки Товара партиями, не менее чем за 3 (три) рабочих дня до осуществления поставки по телефону </w:t>
      </w:r>
      <w:bookmarkStart w:id="1" w:name="_Hlk95155672"/>
      <w:r w:rsidRPr="00A336C1">
        <w:rPr>
          <w:rFonts w:ascii="Times New Roman" w:hAnsi="Times New Roman" w:cs="Times New Roman"/>
          <w:sz w:val="24"/>
          <w:szCs w:val="24"/>
        </w:rPr>
        <w:t>или по</w:t>
      </w:r>
      <w:r w:rsidRPr="00BF2E67">
        <w:rPr>
          <w:rFonts w:ascii="Times New Roman" w:hAnsi="Times New Roman" w:cs="Times New Roman"/>
          <w:sz w:val="24"/>
          <w:szCs w:val="24"/>
        </w:rPr>
        <w:t xml:space="preserve">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BF2E67">
        <w:rPr>
          <w:rFonts w:ascii="Times New Roman" w:hAnsi="Times New Roman" w:cs="Times New Roman"/>
          <w:sz w:val="24"/>
          <w:szCs w:val="24"/>
        </w:rPr>
        <w:t xml:space="preserve">и уведомить об этом Приёмочную комиссию Заказчика по адресу электронной почты </w:t>
      </w:r>
      <w:r w:rsidRPr="00FD54E3">
        <w:rPr>
          <w:rFonts w:ascii="Times New Roman" w:hAnsi="Times New Roman" w:cs="Times New Roman"/>
          <w:b/>
          <w:bCs/>
          <w:sz w:val="24"/>
          <w:szCs w:val="24"/>
        </w:rPr>
        <w:t>okd@mirea.ru</w:t>
      </w:r>
      <w:r>
        <w:rPr>
          <w:rFonts w:ascii="Times New Roman" w:hAnsi="Times New Roman" w:cs="Times New Roman"/>
          <w:sz w:val="24"/>
        </w:rPr>
        <w:t>,</w:t>
      </w:r>
      <w:r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Pr="00EF0E90">
        <w:rPr>
          <w:rFonts w:ascii="Times New Roman" w:hAnsi="Times New Roman" w:cs="Times New Roman"/>
          <w:sz w:val="24"/>
        </w:rPr>
        <w:t>не позднее</w:t>
      </w:r>
      <w:r w:rsidRPr="007445DF">
        <w:rPr>
          <w:rFonts w:ascii="Times New Roman" w:hAnsi="Times New Roman" w:cs="Times New Roman"/>
          <w:sz w:val="24"/>
        </w:rPr>
        <w:t>, чем за 2 (два) рабочих дня</w:t>
      </w:r>
      <w:r w:rsidRPr="00C81310">
        <w:rPr>
          <w:rFonts w:ascii="Times New Roman" w:hAnsi="Times New Roman" w:cs="Times New Roman"/>
          <w:sz w:val="24"/>
        </w:rPr>
        <w:t xml:space="preserve"> </w:t>
      </w:r>
      <w:r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</w:t>
      </w:r>
      <w:r w:rsidRPr="004448B3">
        <w:rPr>
          <w:rFonts w:ascii="Times New Roman" w:hAnsi="Times New Roman" w:cs="Times New Roman"/>
          <w:sz w:val="24"/>
        </w:rPr>
        <w:lastRenderedPageBreak/>
        <w:t xml:space="preserve">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lastRenderedPageBreak/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5045B0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5045B0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5045B0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 xml:space="preserve">проводит квалифицированную экспертизу с привлечением </w:t>
      </w:r>
      <w:r w:rsidRPr="000B2EB4">
        <w:rPr>
          <w:rFonts w:ascii="Times New Roman" w:hAnsi="Times New Roman" w:cs="Times New Roman"/>
          <w:sz w:val="24"/>
        </w:rPr>
        <w:lastRenderedPageBreak/>
        <w:t>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7F66E83E" w14:textId="77777777" w:rsidR="00C64E6F" w:rsidRPr="00EE492B" w:rsidRDefault="00C64E6F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1E9A0907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</w:t>
      </w:r>
      <w:r w:rsidR="00EF581F">
        <w:rPr>
          <w:rFonts w:ascii="Times New Roman" w:hAnsi="Times New Roman" w:cs="Times New Roman"/>
          <w:sz w:val="24"/>
        </w:rPr>
        <w:t>икация;</w:t>
      </w:r>
    </w:p>
    <w:p w14:paraId="6F9EC8F0" w14:textId="0F543363" w:rsidR="00EF581F" w:rsidRDefault="00EF581F" w:rsidP="00EF581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3 – График поставки.</w:t>
      </w:r>
    </w:p>
    <w:p w14:paraId="398F8B03" w14:textId="77777777" w:rsidR="00EF581F" w:rsidRDefault="00EF581F" w:rsidP="00EF58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4DC0AD4A" w:rsidR="002E5C9E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1D62BE49" w14:textId="77777777" w:rsidR="00EF581F" w:rsidRPr="00F66566" w:rsidRDefault="00335405" w:rsidP="00EF581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BB573F">
        <w:rPr>
          <w:rFonts w:ascii="Times New Roman" w:hAnsi="Times New Roman" w:cs="Times New Roman"/>
          <w:b/>
          <w:sz w:val="24"/>
        </w:rPr>
        <w:t>тветственное за приемку товара:</w:t>
      </w:r>
      <w:r w:rsidR="00EF581F">
        <w:rPr>
          <w:rFonts w:ascii="Times New Roman" w:hAnsi="Times New Roman" w:cs="Times New Roman"/>
          <w:b/>
          <w:sz w:val="24"/>
        </w:rPr>
        <w:t xml:space="preserve"> </w:t>
      </w:r>
      <w:r w:rsidR="00EF581F">
        <w:rPr>
          <w:rFonts w:ascii="Times New Roman" w:hAnsi="Times New Roman" w:cs="Times New Roman"/>
          <w:sz w:val="24"/>
        </w:rPr>
        <w:t>указанно в</w:t>
      </w:r>
      <w:r w:rsidR="00EF581F" w:rsidRPr="00677DF7">
        <w:rPr>
          <w:rFonts w:ascii="Times New Roman" w:hAnsi="Times New Roman" w:cs="Times New Roman"/>
          <w:sz w:val="24"/>
        </w:rPr>
        <w:t xml:space="preserve"> Приложени</w:t>
      </w:r>
      <w:r w:rsidR="00EF581F">
        <w:rPr>
          <w:rFonts w:ascii="Times New Roman" w:hAnsi="Times New Roman" w:cs="Times New Roman"/>
          <w:sz w:val="24"/>
        </w:rPr>
        <w:t>е</w:t>
      </w:r>
      <w:r w:rsidR="00EF581F" w:rsidRPr="00677DF7">
        <w:rPr>
          <w:rFonts w:ascii="Times New Roman" w:hAnsi="Times New Roman" w:cs="Times New Roman"/>
          <w:sz w:val="24"/>
        </w:rPr>
        <w:t xml:space="preserve"> № </w:t>
      </w:r>
      <w:r w:rsidR="00EF581F">
        <w:rPr>
          <w:rFonts w:ascii="Times New Roman" w:hAnsi="Times New Roman" w:cs="Times New Roman"/>
          <w:sz w:val="24"/>
        </w:rPr>
        <w:t>3</w:t>
      </w:r>
    </w:p>
    <w:p w14:paraId="0379859D" w14:textId="492B43A0" w:rsidR="003715EA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466358B6" w:rsidR="00DA3F95" w:rsidRPr="00F66566" w:rsidRDefault="00BB573F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3B06E0CA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2EAD6C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BB573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509532C2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7747EE">
        <w:tc>
          <w:tcPr>
            <w:tcW w:w="4536" w:type="dxa"/>
            <w:vAlign w:val="bottom"/>
          </w:tcPr>
          <w:p w14:paraId="6DFBA41F" w14:textId="17917896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1B0FDABF" w:rsidR="00F66566" w:rsidRDefault="00F66566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BB573F">
              <w:rPr>
                <w:rFonts w:ascii="Times New Roman" w:hAnsi="Times New Roman" w:cs="Times New Roman"/>
                <w:sz w:val="24"/>
              </w:rPr>
              <w:t>Фисенко Г.В.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04BD4958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234534" w:rsidRPr="00A738CF" w14:paraId="00C1F922" w14:textId="77777777" w:rsidTr="00234534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83CC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FBD4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E23C" w14:textId="511235FF" w:rsidR="00234534" w:rsidRPr="00CA59A4" w:rsidRDefault="008B26F2" w:rsidP="008B26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9A4">
              <w:rPr>
                <w:rFonts w:ascii="Times New Roman" w:hAnsi="Times New Roman" w:cs="Times New Roman"/>
                <w:sz w:val="24"/>
                <w:szCs w:val="24"/>
              </w:rPr>
              <w:t>Поставка обучающих комплектов и средств индивидуальной защиты</w:t>
            </w:r>
          </w:p>
        </w:tc>
      </w:tr>
      <w:tr w:rsidR="00234534" w:rsidRPr="00A738CF" w14:paraId="0F28878B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EF5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F9EC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AB8F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2D5086D2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задании;</w:t>
            </w:r>
          </w:p>
          <w:p w14:paraId="0550FDE2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тветственному за приемку товара.</w:t>
            </w:r>
          </w:p>
        </w:tc>
      </w:tr>
      <w:tr w:rsidR="00234534" w:rsidRPr="00A738CF" w14:paraId="40E37870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9B11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D9E29" w14:textId="77777777" w:rsidR="00234534" w:rsidRPr="00AB5B86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86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7391" w14:textId="77777777" w:rsidR="00234534" w:rsidRPr="00650D85" w:rsidRDefault="00234534" w:rsidP="0023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Москва, пр.Вернадского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г. Москва, ул. Малая Пироговская 1, стр. 8</w:t>
            </w:r>
          </w:p>
        </w:tc>
      </w:tr>
      <w:tr w:rsidR="00234534" w:rsidRPr="00A738CF" w14:paraId="28152E1A" w14:textId="77777777" w:rsidTr="00234534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6C7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2652E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D56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тридцати шести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</w:tr>
      <w:tr w:rsidR="00234534" w:rsidRPr="00A738CF" w14:paraId="717A0EE6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5776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36A9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BE7B4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6644DD53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7AEB996F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3B6A20D3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23.12.2021 г. № 2425</w:t>
            </w:r>
            <w:r w:rsidRPr="00D7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A7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34534" w:rsidRPr="00A738CF" w14:paraId="0FC103FD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BFF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DBF3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CBEC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</w:tr>
      <w:tr w:rsidR="00234534" w:rsidRPr="00A738CF" w14:paraId="0151ADB4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BFEC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B7B9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F8C4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DE7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266958C3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27EF759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4BE3E840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234534" w:rsidRPr="00A738CF" w14:paraId="055A1C7C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8CB0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FB8E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3DB1" w14:textId="77777777" w:rsidR="00234534" w:rsidRPr="004806B7" w:rsidRDefault="00234534" w:rsidP="002345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7E1C9799" w14:textId="77777777" w:rsidR="00234534" w:rsidRPr="004806B7" w:rsidRDefault="00234534" w:rsidP="002345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      </w:r>
          </w:p>
          <w:p w14:paraId="29F0C2CB" w14:textId="77777777" w:rsidR="00234534" w:rsidRDefault="00234534" w:rsidP="002345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  <w:p w14:paraId="146DA31E" w14:textId="77777777" w:rsidR="00234534" w:rsidRPr="004806B7" w:rsidRDefault="00234534" w:rsidP="002345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в документах приемки, на упаковке, бирках, этикетках поставщики указывают обозначения и сведения, идентифицирующие товар в системе «Честный знак» (при наличии);</w:t>
            </w:r>
          </w:p>
          <w:p w14:paraId="4D17604F" w14:textId="77777777" w:rsidR="00234534" w:rsidRDefault="00234534" w:rsidP="002345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 xml:space="preserve">- комплект технической документации на русском языке в составе: </w:t>
            </w:r>
          </w:p>
          <w:p w14:paraId="14D68933" w14:textId="77777777" w:rsidR="00234534" w:rsidRPr="004806B7" w:rsidRDefault="00234534" w:rsidP="002345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>руководство по эксплуатации, технический паспорт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34534" w:rsidRPr="00A738CF" w14:paraId="6FBD0CAA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61F0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2A6D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635A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4AD13FAC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упаковка должна соответствовать требованиям нормативно-технической документации на изделия конкретных видов;</w:t>
            </w:r>
          </w:p>
          <w:p w14:paraId="58848A5E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234534" w:rsidRPr="00A738CF" w14:paraId="1A77AACB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D1C4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B175B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DF05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79B77816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0E86E9D2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дату 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осуществляется поставка товара;</w:t>
            </w:r>
          </w:p>
          <w:p w14:paraId="68C4C885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604D8F19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234534" w:rsidRPr="00A738CF" w14:paraId="220BE5D6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91F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5101F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6AD2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1396FA45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составляет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) месяцев.</w:t>
            </w:r>
          </w:p>
        </w:tc>
      </w:tr>
      <w:tr w:rsidR="00234534" w:rsidRPr="00A738CF" w14:paraId="46879AEF" w14:textId="77777777" w:rsidTr="0023453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0222" w14:textId="77777777" w:rsidR="00234534" w:rsidRPr="00A738CF" w:rsidRDefault="00234534" w:rsidP="00234534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79F73" w14:textId="77777777" w:rsidR="00234534" w:rsidRPr="00A738CF" w:rsidRDefault="00234534" w:rsidP="0023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B76" w14:textId="77777777" w:rsidR="00234534" w:rsidRPr="00A738CF" w:rsidRDefault="00234534" w:rsidP="00234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при поставке Товара обязан предоставить Заказчику вместе с Товаром гарантии производителя и/или Поставщика на Товар, поставляемый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включая комплектующие и составные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6CB35CFA" w14:textId="77777777" w:rsidR="007747EE" w:rsidRDefault="007747EE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1BA09B00" w:rsidR="001028C9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tbl>
      <w:tblPr>
        <w:tblStyle w:val="ab"/>
        <w:tblpPr w:leftFromText="180" w:rightFromText="180" w:vertAnchor="text" w:tblpXSpec="center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552"/>
        <w:gridCol w:w="2551"/>
        <w:gridCol w:w="1985"/>
        <w:gridCol w:w="850"/>
      </w:tblGrid>
      <w:tr w:rsidR="00234534" w:rsidRPr="00717C4F" w14:paraId="0BFC7D07" w14:textId="77777777" w:rsidTr="00234534">
        <w:trPr>
          <w:trHeight w:val="699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F09A0B8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F6779F3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FBE4794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51CCCC9C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38D26054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9C64051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59E6068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67E54EB8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309D9FC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234534" w:rsidRPr="00717C4F" w14:paraId="73F160C6" w14:textId="77777777" w:rsidTr="00234534">
        <w:trPr>
          <w:trHeight w:val="844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70553F45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1693015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664C68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8DDCCA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35C1543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A88A21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2C7BED8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534" w:rsidRPr="00717C4F" w14:paraId="302A4464" w14:textId="77777777" w:rsidTr="00234534">
        <w:trPr>
          <w:trHeight w:val="416"/>
          <w:tblHeader/>
        </w:trPr>
        <w:tc>
          <w:tcPr>
            <w:tcW w:w="562" w:type="dxa"/>
            <w:shd w:val="clear" w:color="auto" w:fill="auto"/>
            <w:vAlign w:val="center"/>
          </w:tcPr>
          <w:p w14:paraId="0E1A72F6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8F18E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17922C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4FAE07" w14:textId="77777777" w:rsidR="00234534" w:rsidRPr="00717C4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D408C0" w14:textId="77777777" w:rsidR="00234534" w:rsidRPr="007B1B6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608F28" w14:textId="77777777" w:rsidR="00234534" w:rsidRPr="007B1B6F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0D077" w14:textId="77777777" w:rsidR="00234534" w:rsidRPr="00500381" w:rsidRDefault="00234534" w:rsidP="0023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34534" w:rsidRPr="00FA3A5D" w14:paraId="16042E8A" w14:textId="77777777" w:rsidTr="00234534">
        <w:trPr>
          <w:trHeight w:val="22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08E7E07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585BA3E" w14:textId="77777777" w:rsidR="00234534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20">
              <w:rPr>
                <w:rFonts w:ascii="Times New Roman" w:hAnsi="Times New Roman" w:cs="Times New Roman"/>
                <w:b/>
                <w:sz w:val="24"/>
                <w:szCs w:val="24"/>
              </w:rPr>
              <w:t>Плата по тренировке пайки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0646C55A" w14:textId="77777777" w:rsidR="00234534" w:rsidRPr="00DF6620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DC597" w14:textId="77777777" w:rsidR="00234534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D1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7F621F06" w14:textId="77777777" w:rsidR="00234534" w:rsidRPr="00DF6620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0">
              <w:rPr>
                <w:rFonts w:ascii="Times New Roman" w:hAnsi="Times New Roman" w:cs="Times New Roman"/>
                <w:sz w:val="24"/>
                <w:szCs w:val="24"/>
              </w:rPr>
              <w:t>32.99.53.111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D1BF8" w14:textId="77777777" w:rsidR="00234534" w:rsidRPr="00A528F4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 xml:space="preserve">Вид платы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6DD6D" w14:textId="77777777" w:rsidR="00234534" w:rsidRPr="00A528F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>Двухсторонняя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95A77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706617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 w:rsidRPr="009042A2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609588C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</w:p>
          <w:p w14:paraId="3F96C4AE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234534" w:rsidRPr="00FA3A5D" w14:paraId="745FF914" w14:textId="77777777" w:rsidTr="00234534">
        <w:trPr>
          <w:trHeight w:val="127"/>
        </w:trPr>
        <w:tc>
          <w:tcPr>
            <w:tcW w:w="562" w:type="dxa"/>
            <w:vMerge/>
            <w:shd w:val="clear" w:color="auto" w:fill="auto"/>
            <w:vAlign w:val="center"/>
          </w:tcPr>
          <w:p w14:paraId="397A2A1E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EAE8D67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36D5B" w14:textId="77777777" w:rsidR="00234534" w:rsidRPr="00A528F4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>Различные типоразмеры контактных площадок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6F3BB" w14:textId="77777777" w:rsidR="00234534" w:rsidRPr="00A528F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12532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6CEE51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 w:rsidRPr="009042A2"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0FF7CB4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FA3A5D" w14:paraId="137960F0" w14:textId="77777777" w:rsidTr="00234534">
        <w:trPr>
          <w:trHeight w:val="376"/>
        </w:trPr>
        <w:tc>
          <w:tcPr>
            <w:tcW w:w="562" w:type="dxa"/>
            <w:vMerge/>
            <w:shd w:val="clear" w:color="auto" w:fill="auto"/>
            <w:vAlign w:val="center"/>
          </w:tcPr>
          <w:p w14:paraId="20E35F7E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DD3158D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A594" w14:textId="77777777" w:rsidR="00234534" w:rsidRPr="00C94E0D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>Количество видов контактных площадок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2F310" w14:textId="77777777" w:rsidR="00234534" w:rsidRPr="00A528F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>≥ 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36D8D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CE91AA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 w:rsidRPr="009042A2"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B6FF9F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FA3A5D" w14:paraId="3F0DC220" w14:textId="77777777" w:rsidTr="00234534">
        <w:trPr>
          <w:trHeight w:val="376"/>
        </w:trPr>
        <w:tc>
          <w:tcPr>
            <w:tcW w:w="562" w:type="dxa"/>
            <w:vMerge/>
            <w:shd w:val="clear" w:color="auto" w:fill="auto"/>
            <w:vAlign w:val="center"/>
          </w:tcPr>
          <w:p w14:paraId="32889980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D7593D3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D4B3" w14:textId="77777777" w:rsidR="00234534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контактных площадок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0C911" w14:textId="77777777" w:rsidR="0023453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>≥ 366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E7C8D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3CEBDD" w14:textId="77777777" w:rsidR="0023453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 w:rsidRPr="009042A2">
              <w:rPr>
                <w:lang w:eastAsia="en-US"/>
              </w:rPr>
              <w:t>Штука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031516E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FA3A5D" w14:paraId="69B10289" w14:textId="77777777" w:rsidTr="00234534">
        <w:trPr>
          <w:trHeight w:val="290"/>
        </w:trPr>
        <w:tc>
          <w:tcPr>
            <w:tcW w:w="562" w:type="dxa"/>
            <w:vMerge/>
            <w:shd w:val="clear" w:color="auto" w:fill="auto"/>
            <w:vAlign w:val="center"/>
          </w:tcPr>
          <w:p w14:paraId="0DDD2550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7ED1FD0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A5FC7" w14:textId="77777777" w:rsidR="00234534" w:rsidRPr="00A528F4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 xml:space="preserve">Вид платы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940D0" w14:textId="77777777" w:rsidR="00234534" w:rsidRPr="00A528F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A2">
              <w:rPr>
                <w:rFonts w:ascii="Times New Roman" w:hAnsi="Times New Roman" w:cs="Times New Roman"/>
                <w:sz w:val="24"/>
                <w:szCs w:val="24"/>
              </w:rPr>
              <w:t>Двухсторонняя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85E81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7E46C4" w14:textId="77777777" w:rsidR="00234534" w:rsidRPr="00A528F4" w:rsidRDefault="00234534" w:rsidP="00234534">
            <w:pPr>
              <w:pStyle w:val="21"/>
              <w:jc w:val="center"/>
              <w:rPr>
                <w:lang w:eastAsia="en-US"/>
              </w:rPr>
            </w:pPr>
            <w:r w:rsidRPr="009042A2"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06DA71E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FA3A5D" w14:paraId="7C672D5F" w14:textId="77777777" w:rsidTr="00234534">
        <w:trPr>
          <w:trHeight w:val="28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6BB3D67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82F6705" w14:textId="77777777" w:rsidR="00234534" w:rsidRPr="008560AC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AC">
              <w:rPr>
                <w:rFonts w:ascii="Times New Roman" w:hAnsi="Times New Roman" w:cs="Times New Roman"/>
                <w:b/>
                <w:sz w:val="24"/>
                <w:szCs w:val="24"/>
              </w:rPr>
              <w:t>Ковер диэлектрический</w:t>
            </w:r>
          </w:p>
          <w:p w14:paraId="6D8FF30B" w14:textId="77777777" w:rsidR="00234534" w:rsidRPr="008560AC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1 </w:t>
            </w:r>
          </w:p>
          <w:p w14:paraId="466BF118" w14:textId="77777777" w:rsidR="00234534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D088D" w14:textId="77777777" w:rsidR="00234534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D1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2D0DD31A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86">
              <w:rPr>
                <w:rFonts w:ascii="Times New Roman" w:hAnsi="Times New Roman" w:cs="Times New Roman"/>
                <w:sz w:val="24"/>
                <w:szCs w:val="24"/>
              </w:rPr>
              <w:t>22.19.20.112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86A09" w14:textId="77777777" w:rsidR="00234534" w:rsidRPr="008560AC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889B9" w14:textId="77777777" w:rsidR="0023453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86FB9" w14:textId="77777777" w:rsidR="00234534" w:rsidRPr="008560AC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2ED3D" w14:textId="77777777" w:rsidR="00234534" w:rsidRDefault="00234534" w:rsidP="00234534">
            <w:pPr>
              <w:pStyle w:val="21"/>
              <w:jc w:val="center"/>
            </w:pPr>
            <w:r w:rsidRPr="007D1786"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C41F9D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</w:p>
          <w:p w14:paraId="17FDBDCD" w14:textId="77777777" w:rsidR="00234534" w:rsidRPr="008560AC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234534" w:rsidRPr="00FA3A5D" w14:paraId="4A221DDC" w14:textId="77777777" w:rsidTr="00234534">
        <w:trPr>
          <w:trHeight w:val="216"/>
        </w:trPr>
        <w:tc>
          <w:tcPr>
            <w:tcW w:w="562" w:type="dxa"/>
            <w:vMerge/>
            <w:shd w:val="clear" w:color="auto" w:fill="auto"/>
            <w:vAlign w:val="center"/>
          </w:tcPr>
          <w:p w14:paraId="1D4495CB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B333F05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59E73" w14:textId="77777777" w:rsidR="00234534" w:rsidRPr="00814A81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длина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C7086" w14:textId="77777777" w:rsidR="0023453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86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5C135" w14:textId="77777777" w:rsidR="00234534" w:rsidRPr="008560AC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220A43" w14:textId="77777777" w:rsidR="00234534" w:rsidRDefault="00234534" w:rsidP="00234534">
            <w:pPr>
              <w:pStyle w:val="21"/>
              <w:jc w:val="center"/>
            </w:pPr>
            <w: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F0776B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FA3A5D" w14:paraId="68DD1FAE" w14:textId="77777777" w:rsidTr="00234534">
        <w:trPr>
          <w:trHeight w:val="270"/>
        </w:trPr>
        <w:tc>
          <w:tcPr>
            <w:tcW w:w="562" w:type="dxa"/>
            <w:vMerge/>
            <w:shd w:val="clear" w:color="auto" w:fill="auto"/>
            <w:vAlign w:val="center"/>
          </w:tcPr>
          <w:p w14:paraId="19E06088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FE4128E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8A08F" w14:textId="77777777" w:rsidR="00234534" w:rsidRPr="00814A81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ширина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47906" w14:textId="77777777" w:rsidR="0023453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86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3A463" w14:textId="77777777" w:rsidR="00234534" w:rsidRPr="008560AC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062F34" w14:textId="77777777" w:rsidR="00234534" w:rsidRDefault="00234534" w:rsidP="00234534">
            <w:pPr>
              <w:pStyle w:val="21"/>
              <w:jc w:val="center"/>
            </w:pPr>
            <w: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4D8B12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FA3A5D" w14:paraId="7D7938DB" w14:textId="77777777" w:rsidTr="00234534">
        <w:trPr>
          <w:trHeight w:val="270"/>
        </w:trPr>
        <w:tc>
          <w:tcPr>
            <w:tcW w:w="562" w:type="dxa"/>
            <w:vMerge/>
            <w:shd w:val="clear" w:color="auto" w:fill="auto"/>
            <w:vAlign w:val="center"/>
          </w:tcPr>
          <w:p w14:paraId="06155704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BB7F124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F739" w14:textId="77777777" w:rsidR="00234534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Рифленая поверхность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B3D5D" w14:textId="77777777" w:rsidR="00234534" w:rsidRPr="007D1786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E1C0F" w14:textId="77777777" w:rsidR="00234534" w:rsidRPr="008560AC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174E49" w14:textId="77777777" w:rsidR="00234534" w:rsidRDefault="00234534" w:rsidP="00234534">
            <w:pPr>
              <w:pStyle w:val="21"/>
              <w:jc w:val="center"/>
            </w:pPr>
            <w:r w:rsidRPr="007D1786"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322EA09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FA3A5D" w14:paraId="3B231CAD" w14:textId="77777777" w:rsidTr="00234534">
        <w:trPr>
          <w:trHeight w:val="465"/>
        </w:trPr>
        <w:tc>
          <w:tcPr>
            <w:tcW w:w="562" w:type="dxa"/>
            <w:vMerge/>
            <w:shd w:val="clear" w:color="auto" w:fill="auto"/>
            <w:vAlign w:val="center"/>
          </w:tcPr>
          <w:p w14:paraId="2E871562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F4C12C4" w14:textId="77777777" w:rsidR="00234534" w:rsidRPr="008A2BD1" w:rsidRDefault="00234534" w:rsidP="00234534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8AB96" w14:textId="77777777" w:rsidR="00234534" w:rsidRPr="00814A81" w:rsidRDefault="00234534" w:rsidP="002345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B9725" w14:textId="77777777" w:rsidR="00234534" w:rsidRDefault="00234534" w:rsidP="002345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257CF" w14:textId="77777777" w:rsidR="00234534" w:rsidRPr="00A528F4" w:rsidRDefault="00234534" w:rsidP="00234534">
            <w:pPr>
              <w:pStyle w:val="2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AF7339" w14:textId="77777777" w:rsidR="00234534" w:rsidRDefault="00234534" w:rsidP="00234534">
            <w:pPr>
              <w:pStyle w:val="21"/>
              <w:jc w:val="center"/>
            </w:pPr>
            <w:r w:rsidRPr="007D1786"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E40F14" w14:textId="77777777" w:rsidR="00234534" w:rsidRDefault="00234534" w:rsidP="002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7108F" w14:textId="77777777" w:rsidR="00A42BD5" w:rsidRDefault="00A42BD5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5CD8B226" w14:textId="77777777" w:rsidTr="007747EE">
        <w:tc>
          <w:tcPr>
            <w:tcW w:w="4536" w:type="dxa"/>
            <w:vAlign w:val="bottom"/>
          </w:tcPr>
          <w:p w14:paraId="29EFB254" w14:textId="31F0F43A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B98FD0E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52BE7903" w14:textId="77777777" w:rsidTr="00CF7B72">
        <w:tc>
          <w:tcPr>
            <w:tcW w:w="4536" w:type="dxa"/>
          </w:tcPr>
          <w:p w14:paraId="003737F9" w14:textId="4A231A34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0ADE11C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4845C11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0A6EB31" w14:textId="77777777" w:rsidR="00234534" w:rsidRDefault="002345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7747EE">
          <w:pgSz w:w="16838" w:h="11906" w:orient="landscape"/>
          <w:pgMar w:top="284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709"/>
        <w:gridCol w:w="709"/>
        <w:gridCol w:w="1559"/>
        <w:gridCol w:w="1417"/>
      </w:tblGrid>
      <w:tr w:rsidR="00C446C8" w:rsidRPr="00576DFF" w14:paraId="347EC897" w14:textId="77777777" w:rsidTr="00F62D41">
        <w:trPr>
          <w:jc w:val="center"/>
        </w:trPr>
        <w:tc>
          <w:tcPr>
            <w:tcW w:w="568" w:type="dxa"/>
            <w:vAlign w:val="center"/>
          </w:tcPr>
          <w:p w14:paraId="2686082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8" w:type="dxa"/>
            <w:vAlign w:val="center"/>
          </w:tcPr>
          <w:p w14:paraId="5BF908E3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BD6D65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4AEC5AB8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9" w:type="dxa"/>
            <w:vAlign w:val="center"/>
          </w:tcPr>
          <w:p w14:paraId="6FAC7F36" w14:textId="77777777" w:rsidR="00C446C8" w:rsidRPr="00576DFF" w:rsidRDefault="00C446C8" w:rsidP="00C446C8">
            <w:pPr>
              <w:ind w:left="-113" w:right="-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47992B16" w14:textId="4D1DAE3A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087A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а товара, руб. (без/включая НДС)</w:t>
            </w:r>
          </w:p>
        </w:tc>
        <w:tc>
          <w:tcPr>
            <w:tcW w:w="1417" w:type="dxa"/>
            <w:vAlign w:val="center"/>
          </w:tcPr>
          <w:p w14:paraId="5A16B731" w14:textId="6F395A2C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(без/включая НДС)</w:t>
            </w:r>
          </w:p>
        </w:tc>
      </w:tr>
      <w:tr w:rsidR="006B3694" w:rsidRPr="00576DFF" w14:paraId="25F34E43" w14:textId="77777777" w:rsidTr="00F62D41">
        <w:trPr>
          <w:trHeight w:val="316"/>
          <w:jc w:val="center"/>
        </w:trPr>
        <w:tc>
          <w:tcPr>
            <w:tcW w:w="568" w:type="dxa"/>
            <w:vAlign w:val="center"/>
          </w:tcPr>
          <w:p w14:paraId="7EE21102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1B376D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CE39696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0B395EA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448B100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F62D41" w:rsidRPr="00576DFF" w14:paraId="039FD677" w14:textId="77777777" w:rsidTr="00F62D41">
        <w:trPr>
          <w:jc w:val="center"/>
        </w:trPr>
        <w:tc>
          <w:tcPr>
            <w:tcW w:w="568" w:type="dxa"/>
            <w:vAlign w:val="center"/>
          </w:tcPr>
          <w:p w14:paraId="020E3922" w14:textId="77A3C7E4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25096047" w:rsidR="00F62D41" w:rsidRPr="008C2892" w:rsidRDefault="00A42BD5" w:rsidP="00F62D41">
            <w:pPr>
              <w:rPr>
                <w:rFonts w:ascii="Times New Roman" w:hAnsi="Times New Roman"/>
              </w:rPr>
            </w:pPr>
            <w:r w:rsidRPr="00F62D41">
              <w:rPr>
                <w:rFonts w:ascii="Times New Roman" w:hAnsi="Times New Roman" w:cs="Times New Roman"/>
              </w:rPr>
              <w:t>Плата по тренировке пайки</w:t>
            </w:r>
            <w:r>
              <w:rPr>
                <w:rFonts w:ascii="Times New Roman" w:hAnsi="Times New Roman" w:cs="Times New Roman"/>
              </w:rPr>
              <w:t>, 366 шт. контактных площадок</w:t>
            </w:r>
            <w:r w:rsidRPr="008C28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A6C6686" w14:textId="10CD1A94" w:rsidR="00F62D41" w:rsidRPr="00A42BD5" w:rsidRDefault="00A42BD5" w:rsidP="00F62D41">
            <w:pPr>
              <w:jc w:val="center"/>
              <w:rPr>
                <w:rFonts w:ascii="Times New Roman" w:hAnsi="Times New Roman" w:cs="Times New Roman"/>
              </w:rPr>
            </w:pPr>
            <w:r w:rsidRPr="00A42BD5">
              <w:rPr>
                <w:rFonts w:ascii="Times New Roman" w:hAnsi="Times New Roman" w:cs="Times New Roman"/>
              </w:rPr>
              <w:t>32.99.53.111</w:t>
            </w:r>
          </w:p>
        </w:tc>
        <w:tc>
          <w:tcPr>
            <w:tcW w:w="1417" w:type="dxa"/>
            <w:vAlign w:val="center"/>
          </w:tcPr>
          <w:p w14:paraId="6BA602A9" w14:textId="77777777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7EA4DB93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Pr="00576DFF">
              <w:rPr>
                <w:rFonts w:ascii="Times New Roman" w:hAnsi="Times New Roman" w:cs="Times New Roman"/>
                <w:color w:val="000000" w:themeColor="text1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013BC3DE" w:rsidR="00F62D41" w:rsidRPr="00576DFF" w:rsidRDefault="00A42BD5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C3C2D4" w14:textId="77777777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615F68A" w14:textId="77777777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D41" w:rsidRPr="00576DFF" w14:paraId="729C4C79" w14:textId="77777777" w:rsidTr="00F62D41">
        <w:trPr>
          <w:jc w:val="center"/>
        </w:trPr>
        <w:tc>
          <w:tcPr>
            <w:tcW w:w="568" w:type="dxa"/>
            <w:vAlign w:val="center"/>
          </w:tcPr>
          <w:p w14:paraId="42DDE4A3" w14:textId="5073E49B" w:rsidR="00F62D41" w:rsidRPr="00576DFF" w:rsidRDefault="00234534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F62D4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28390F" w14:textId="77777777" w:rsidR="00A42BD5" w:rsidRPr="00A42BD5" w:rsidRDefault="00A42BD5" w:rsidP="00A42BD5">
            <w:pPr>
              <w:rPr>
                <w:rFonts w:ascii="Times New Roman" w:hAnsi="Times New Roman" w:cs="Times New Roman"/>
              </w:rPr>
            </w:pPr>
            <w:r w:rsidRPr="00A42BD5">
              <w:rPr>
                <w:rFonts w:ascii="Times New Roman" w:hAnsi="Times New Roman" w:cs="Times New Roman"/>
              </w:rPr>
              <w:t>Ковер диэлектрический</w:t>
            </w:r>
          </w:p>
          <w:p w14:paraId="55990FD0" w14:textId="4CAB87FC" w:rsidR="00F62D41" w:rsidRPr="006B3694" w:rsidRDefault="00045EEF" w:rsidP="00F62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1, ширина 60 см.</w:t>
            </w:r>
          </w:p>
        </w:tc>
        <w:tc>
          <w:tcPr>
            <w:tcW w:w="1418" w:type="dxa"/>
            <w:vAlign w:val="center"/>
          </w:tcPr>
          <w:p w14:paraId="6C008D27" w14:textId="5B128458" w:rsidR="00F62D41" w:rsidRPr="00A42BD5" w:rsidRDefault="00A42BD5" w:rsidP="00F62D41">
            <w:pPr>
              <w:jc w:val="center"/>
              <w:rPr>
                <w:rFonts w:ascii="Times New Roman" w:hAnsi="Times New Roman" w:cs="Times New Roman"/>
              </w:rPr>
            </w:pPr>
            <w:r w:rsidRPr="00A42BD5">
              <w:rPr>
                <w:rFonts w:ascii="Times New Roman" w:hAnsi="Times New Roman" w:cs="Times New Roman"/>
              </w:rPr>
              <w:t>22.19.20.112</w:t>
            </w:r>
          </w:p>
        </w:tc>
        <w:tc>
          <w:tcPr>
            <w:tcW w:w="1417" w:type="dxa"/>
            <w:vAlign w:val="center"/>
          </w:tcPr>
          <w:p w14:paraId="6C341544" w14:textId="77777777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0B489" w14:textId="5017B28F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424E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AB5B9" w14:textId="40DDA3FE" w:rsidR="00F62D41" w:rsidRPr="00576DFF" w:rsidRDefault="00A42BD5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DA5EC2" w14:textId="77777777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7722FAF" w14:textId="77777777" w:rsidR="00F62D41" w:rsidRPr="00576DFF" w:rsidRDefault="00F62D41" w:rsidP="00F62D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A42BD5">
        <w:trPr>
          <w:trHeight w:val="390"/>
          <w:jc w:val="center"/>
        </w:trPr>
        <w:tc>
          <w:tcPr>
            <w:tcW w:w="9498" w:type="dxa"/>
            <w:gridSpan w:val="7"/>
            <w:vAlign w:val="center"/>
          </w:tcPr>
          <w:p w14:paraId="02005304" w14:textId="7F293573" w:rsidR="00F66566" w:rsidRPr="00576DFF" w:rsidRDefault="00F66566" w:rsidP="00A42BD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417" w:type="dxa"/>
            <w:vAlign w:val="center"/>
          </w:tcPr>
          <w:p w14:paraId="617D677D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42BD5" w:rsidRPr="00576DFF" w14:paraId="74CC87C4" w14:textId="77777777" w:rsidTr="00F62D41">
        <w:trPr>
          <w:trHeight w:val="375"/>
          <w:jc w:val="center"/>
        </w:trPr>
        <w:tc>
          <w:tcPr>
            <w:tcW w:w="9498" w:type="dxa"/>
            <w:gridSpan w:val="7"/>
            <w:vAlign w:val="center"/>
          </w:tcPr>
          <w:p w14:paraId="031914BE" w14:textId="568762F3" w:rsidR="00A42BD5" w:rsidRPr="00576DFF" w:rsidRDefault="00A42BD5" w:rsidP="00A42BD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22%, руб.:</w:t>
            </w:r>
          </w:p>
        </w:tc>
        <w:tc>
          <w:tcPr>
            <w:tcW w:w="1417" w:type="dxa"/>
            <w:vAlign w:val="center"/>
          </w:tcPr>
          <w:p w14:paraId="743D755E" w14:textId="77777777" w:rsidR="00A42BD5" w:rsidRPr="00576DFF" w:rsidRDefault="00A42BD5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5B48ABE3" w:rsidR="00F079FF" w:rsidRPr="00F079FF" w:rsidRDefault="00F079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234534">
        <w:rPr>
          <w:rFonts w:ascii="Times New Roman" w:hAnsi="Times New Roman" w:cs="Times New Roman"/>
          <w:sz w:val="24"/>
        </w:rPr>
        <w:t>36</w:t>
      </w:r>
      <w:r w:rsidR="00BB573F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234534">
        <w:rPr>
          <w:rFonts w:ascii="Times New Roman" w:hAnsi="Times New Roman" w:cs="Times New Roman"/>
          <w:sz w:val="24"/>
        </w:rPr>
        <w:t>тридцати шести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BB573F">
        <w:rPr>
          <w:rFonts w:ascii="Times New Roman" w:hAnsi="Times New Roman" w:cs="Times New Roman"/>
          <w:sz w:val="24"/>
        </w:rPr>
        <w:t>рабочих дней</w:t>
      </w:r>
      <w:r w:rsidR="00BB573F">
        <w:rPr>
          <w:rFonts w:ascii="Times New Roman" w:hAnsi="Times New Roman" w:cs="Times New Roman"/>
          <w:sz w:val="24"/>
        </w:rPr>
        <w:br/>
      </w:r>
      <w:r w:rsidR="00CF7B72">
        <w:rPr>
          <w:rFonts w:ascii="Times New Roman" w:hAnsi="Times New Roman" w:cs="Times New Roman"/>
          <w:sz w:val="24"/>
        </w:rPr>
        <w:t>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324921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606B82DD" w14:textId="77777777" w:rsidTr="00324921">
        <w:tc>
          <w:tcPr>
            <w:tcW w:w="4536" w:type="dxa"/>
            <w:vAlign w:val="bottom"/>
          </w:tcPr>
          <w:p w14:paraId="6C0F0630" w14:textId="71A1E3F0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76D5C92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0D137079" w14:textId="77777777" w:rsidTr="00324921">
        <w:tc>
          <w:tcPr>
            <w:tcW w:w="4536" w:type="dxa"/>
          </w:tcPr>
          <w:p w14:paraId="17883546" w14:textId="5B55B7A9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7E9CACCB" w14:textId="77777777" w:rsidTr="00324921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93800E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396E47A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324921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545CD849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E23DF1" w14:textId="384DAEC3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364E14" w14:textId="286578C5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D6D77C" w14:textId="60B0AB65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AC2C16" w14:textId="39C88F71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33ACAE" w14:textId="2D9ACECE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FC8CF4" w14:textId="0060997B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ECA612" w14:textId="5DDE7166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B14CF7" w14:textId="6564385B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D2E3E2" w14:textId="66336F6E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46BB4E" w14:textId="4379C233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1BFE70" w14:textId="59E0F103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8AED0A" w14:textId="79FABB1D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E94006" w14:textId="47112EDD" w:rsidR="00EF581F" w:rsidRDefault="00EF581F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A16177" w14:textId="77777777" w:rsidR="00326AE1" w:rsidRDefault="00326AE1">
      <w:pPr>
        <w:rPr>
          <w:rFonts w:ascii="Times New Roman" w:hAnsi="Times New Roman" w:cs="Times New Roman"/>
          <w:sz w:val="24"/>
        </w:rPr>
        <w:sectPr w:rsidR="00326AE1" w:rsidSect="0049051E">
          <w:pgSz w:w="11906" w:h="16838"/>
          <w:pgMar w:top="284" w:right="566" w:bottom="1134" w:left="851" w:header="709" w:footer="4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br w:type="page"/>
      </w:r>
    </w:p>
    <w:p w14:paraId="7380BFE3" w14:textId="29112ABD" w:rsidR="00326AE1" w:rsidRDefault="00326AE1">
      <w:pPr>
        <w:rPr>
          <w:rFonts w:ascii="Times New Roman" w:hAnsi="Times New Roman" w:cs="Times New Roman"/>
          <w:sz w:val="24"/>
        </w:rPr>
      </w:pPr>
    </w:p>
    <w:p w14:paraId="489020A5" w14:textId="77777777" w:rsidR="00EF581F" w:rsidRDefault="00EF581F" w:rsidP="00EF581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3</w:t>
      </w:r>
      <w:r w:rsidRPr="00611C8B">
        <w:rPr>
          <w:rFonts w:ascii="Times New Roman" w:hAnsi="Times New Roman" w:cs="Times New Roman"/>
          <w:sz w:val="24"/>
        </w:rPr>
        <w:t xml:space="preserve"> </w:t>
      </w:r>
    </w:p>
    <w:p w14:paraId="5C414516" w14:textId="77777777" w:rsidR="00EF581F" w:rsidRDefault="00EF581F" w:rsidP="00EF581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 №</w:t>
      </w:r>
    </w:p>
    <w:p w14:paraId="4F045374" w14:textId="77777777" w:rsidR="00EF581F" w:rsidRDefault="00EF581F" w:rsidP="00EF581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0269A5" w14:textId="77777777" w:rsidR="00EF581F" w:rsidRDefault="00EF581F" w:rsidP="00EF581F">
      <w:pPr>
        <w:pStyle w:val="afa"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График поставки</w:t>
      </w:r>
    </w:p>
    <w:p w14:paraId="1B9BDD59" w14:textId="77777777" w:rsidR="00EF581F" w:rsidRDefault="00EF581F" w:rsidP="00EF581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3261"/>
        <w:gridCol w:w="2693"/>
        <w:gridCol w:w="2693"/>
      </w:tblGrid>
      <w:tr w:rsidR="00003F0B" w:rsidRPr="0096087A" w14:paraId="4FE06767" w14:textId="708EE568" w:rsidTr="00A06E5D">
        <w:trPr>
          <w:trHeight w:val="447"/>
        </w:trPr>
        <w:tc>
          <w:tcPr>
            <w:tcW w:w="709" w:type="dxa"/>
            <w:vMerge w:val="restart"/>
            <w:vAlign w:val="center"/>
          </w:tcPr>
          <w:p w14:paraId="4587634B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№</w:t>
            </w:r>
          </w:p>
          <w:p w14:paraId="75F9046B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6D2B6458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Наименование товара, указание на товарный знак (при наличии)</w:t>
            </w:r>
          </w:p>
        </w:tc>
        <w:tc>
          <w:tcPr>
            <w:tcW w:w="992" w:type="dxa"/>
            <w:vMerge w:val="restart"/>
            <w:vAlign w:val="center"/>
          </w:tcPr>
          <w:p w14:paraId="34B57E54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Ед.</w:t>
            </w:r>
          </w:p>
          <w:p w14:paraId="31BC27D2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992" w:type="dxa"/>
            <w:vMerge w:val="restart"/>
            <w:vAlign w:val="center"/>
          </w:tcPr>
          <w:p w14:paraId="10F6FA85" w14:textId="77777777" w:rsidR="00003F0B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Кол-во</w:t>
            </w:r>
          </w:p>
          <w:p w14:paraId="1A506BD3" w14:textId="45C71BEB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</w:t>
            </w:r>
          </w:p>
        </w:tc>
        <w:tc>
          <w:tcPr>
            <w:tcW w:w="5954" w:type="dxa"/>
            <w:gridSpan w:val="2"/>
            <w:vAlign w:val="center"/>
          </w:tcPr>
          <w:p w14:paraId="6FD81667" w14:textId="1D77AAE7" w:rsidR="00003F0B" w:rsidRPr="005604AD" w:rsidRDefault="00003F0B" w:rsidP="00003F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Количество:</w:t>
            </w:r>
          </w:p>
        </w:tc>
        <w:tc>
          <w:tcPr>
            <w:tcW w:w="2693" w:type="dxa"/>
            <w:vMerge w:val="restart"/>
            <w:vAlign w:val="center"/>
          </w:tcPr>
          <w:p w14:paraId="70685C11" w14:textId="77777777" w:rsidR="00003F0B" w:rsidRDefault="00003F0B" w:rsidP="00326A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Контактное лицо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14:paraId="6EA0E831" w14:textId="77777777" w:rsidR="00003F0B" w:rsidRDefault="00003F0B" w:rsidP="00326A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реквизиты для связи</w:t>
            </w:r>
          </w:p>
          <w:p w14:paraId="1A52E9E1" w14:textId="7129ECA5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F0B" w:rsidRPr="0096087A" w14:paraId="20AE0642" w14:textId="77777777" w:rsidTr="00A06E5D">
        <w:trPr>
          <w:trHeight w:val="469"/>
        </w:trPr>
        <w:tc>
          <w:tcPr>
            <w:tcW w:w="709" w:type="dxa"/>
            <w:vMerge/>
            <w:vAlign w:val="center"/>
          </w:tcPr>
          <w:p w14:paraId="54FA1162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14:paraId="1879B039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F6A4976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B90E3AB" w14:textId="77777777" w:rsidR="00003F0B" w:rsidRPr="005604AD" w:rsidRDefault="00003F0B" w:rsidP="00EF581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07B12FB" w14:textId="6B76BA3E" w:rsidR="00003F0B" w:rsidRDefault="00003F0B" w:rsidP="00003F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04AD">
              <w:rPr>
                <w:rFonts w:ascii="Times New Roman" w:hAnsi="Times New Roman" w:cs="Times New Roman"/>
                <w:b/>
              </w:rPr>
              <w:t>Адрес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604AD">
              <w:rPr>
                <w:rFonts w:ascii="Times New Roman" w:hAnsi="Times New Roman" w:cs="Times New Roman"/>
                <w:b/>
              </w:rPr>
              <w:t xml:space="preserve"> поставки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93" w:type="dxa"/>
            <w:vMerge/>
            <w:vAlign w:val="center"/>
          </w:tcPr>
          <w:p w14:paraId="0C93E467" w14:textId="77777777" w:rsidR="00003F0B" w:rsidRPr="005604AD" w:rsidRDefault="00003F0B" w:rsidP="00326A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F0B" w:rsidRPr="00A06E5D" w14:paraId="586C3233" w14:textId="6DA7BB46" w:rsidTr="00A06E5D">
        <w:trPr>
          <w:trHeight w:val="358"/>
        </w:trPr>
        <w:tc>
          <w:tcPr>
            <w:tcW w:w="709" w:type="dxa"/>
            <w:vMerge w:val="restart"/>
            <w:vAlign w:val="center"/>
          </w:tcPr>
          <w:p w14:paraId="6EEBA92A" w14:textId="556444C8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  <w:vAlign w:val="center"/>
          </w:tcPr>
          <w:p w14:paraId="61C5ACC9" w14:textId="1015BF22" w:rsidR="00003F0B" w:rsidRPr="00A06E5D" w:rsidRDefault="00003F0B" w:rsidP="00A06E5D">
            <w:pPr>
              <w:tabs>
                <w:tab w:val="left" w:pos="495"/>
                <w:tab w:val="center" w:pos="15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Плата по тренировке пайки, 366 шт. контактных площадок</w:t>
            </w:r>
          </w:p>
        </w:tc>
        <w:tc>
          <w:tcPr>
            <w:tcW w:w="992" w:type="dxa"/>
            <w:vMerge w:val="restart"/>
            <w:vAlign w:val="center"/>
          </w:tcPr>
          <w:p w14:paraId="77829706" w14:textId="44CB2C30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Merge w:val="restart"/>
            <w:vAlign w:val="center"/>
          </w:tcPr>
          <w:p w14:paraId="67E8B29E" w14:textId="7B21B8A7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261" w:type="dxa"/>
            <w:vAlign w:val="center"/>
          </w:tcPr>
          <w:p w14:paraId="3A5EB3CA" w14:textId="2C77DAB6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150 шт.</w:t>
            </w:r>
          </w:p>
        </w:tc>
        <w:tc>
          <w:tcPr>
            <w:tcW w:w="2693" w:type="dxa"/>
            <w:vAlign w:val="center"/>
          </w:tcPr>
          <w:p w14:paraId="20E9718D" w14:textId="5951B4C2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200 шт.</w:t>
            </w:r>
          </w:p>
        </w:tc>
        <w:tc>
          <w:tcPr>
            <w:tcW w:w="2693" w:type="dxa"/>
            <w:vMerge w:val="restart"/>
            <w:vAlign w:val="center"/>
          </w:tcPr>
          <w:p w14:paraId="0C454DCF" w14:textId="3A49164E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 xml:space="preserve">Попов Александр Сергеевич, </w:t>
            </w:r>
            <w:r w:rsidRPr="00A06E5D">
              <w:rPr>
                <w:rFonts w:ascii="Times New Roman" w:hAnsi="Times New Roman" w:cs="Times New Roman"/>
                <w:sz w:val="24"/>
                <w:szCs w:val="24"/>
              </w:rPr>
              <w:br/>
              <w:t>+7 (985)-461-73-31;</w:t>
            </w:r>
          </w:p>
          <w:p w14:paraId="1B728BCC" w14:textId="59C6B3B2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popov_als@mirea.ru</w:t>
            </w:r>
          </w:p>
        </w:tc>
      </w:tr>
      <w:tr w:rsidR="00003F0B" w:rsidRPr="00A06E5D" w14:paraId="4669C719" w14:textId="77777777" w:rsidTr="008B26F2">
        <w:trPr>
          <w:trHeight w:val="990"/>
        </w:trPr>
        <w:tc>
          <w:tcPr>
            <w:tcW w:w="709" w:type="dxa"/>
            <w:vMerge/>
            <w:vAlign w:val="center"/>
          </w:tcPr>
          <w:p w14:paraId="790FB1DF" w14:textId="77777777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A27A03C" w14:textId="77777777" w:rsidR="00003F0B" w:rsidRPr="00A06E5D" w:rsidRDefault="00003F0B" w:rsidP="00A06E5D">
            <w:pPr>
              <w:tabs>
                <w:tab w:val="left" w:pos="495"/>
                <w:tab w:val="center" w:pos="15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D3B111D" w14:textId="77777777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0C4DEB" w14:textId="77777777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BA097A8" w14:textId="77777777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</w:p>
          <w:p w14:paraId="2915F5AE" w14:textId="0AE6ECBD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пр.Вернадского 78 стр.9</w:t>
            </w:r>
          </w:p>
        </w:tc>
        <w:tc>
          <w:tcPr>
            <w:tcW w:w="2693" w:type="dxa"/>
            <w:vAlign w:val="center"/>
          </w:tcPr>
          <w:p w14:paraId="4A7EEEB9" w14:textId="5EC1F9B8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г. Москва, ул. Малая Пироговская 1, стр. 8</w:t>
            </w:r>
          </w:p>
        </w:tc>
        <w:tc>
          <w:tcPr>
            <w:tcW w:w="2693" w:type="dxa"/>
            <w:vMerge/>
            <w:vAlign w:val="center"/>
          </w:tcPr>
          <w:p w14:paraId="0299193C" w14:textId="77777777" w:rsidR="00003F0B" w:rsidRPr="00A06E5D" w:rsidRDefault="00003F0B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34" w:rsidRPr="00A06E5D" w14:paraId="18777D73" w14:textId="02A947E0" w:rsidTr="00234534">
        <w:trPr>
          <w:trHeight w:val="353"/>
        </w:trPr>
        <w:tc>
          <w:tcPr>
            <w:tcW w:w="709" w:type="dxa"/>
            <w:vMerge w:val="restart"/>
            <w:vAlign w:val="center"/>
          </w:tcPr>
          <w:p w14:paraId="2F3A62B2" w14:textId="7AA6CCD8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  <w:vAlign w:val="center"/>
          </w:tcPr>
          <w:p w14:paraId="14BB7458" w14:textId="77777777" w:rsidR="00234534" w:rsidRPr="00A06E5D" w:rsidRDefault="00234534" w:rsidP="00A06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Ковер диэлектрический</w:t>
            </w:r>
          </w:p>
          <w:p w14:paraId="6DE90E11" w14:textId="766B111B" w:rsidR="00234534" w:rsidRPr="00A06E5D" w:rsidRDefault="00234534" w:rsidP="00A06E5D">
            <w:pPr>
              <w:tabs>
                <w:tab w:val="left" w:pos="495"/>
                <w:tab w:val="center" w:pos="15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группа 1, ширина 60 см.</w:t>
            </w:r>
          </w:p>
        </w:tc>
        <w:tc>
          <w:tcPr>
            <w:tcW w:w="992" w:type="dxa"/>
            <w:vMerge w:val="restart"/>
            <w:vAlign w:val="center"/>
          </w:tcPr>
          <w:p w14:paraId="20CDA65A" w14:textId="7D24605A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Merge w:val="restart"/>
            <w:vAlign w:val="center"/>
          </w:tcPr>
          <w:p w14:paraId="0C738E0F" w14:textId="30CB695A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4" w:type="dxa"/>
            <w:gridSpan w:val="2"/>
            <w:vAlign w:val="center"/>
          </w:tcPr>
          <w:p w14:paraId="21694D53" w14:textId="056A8F30" w:rsidR="00234534" w:rsidRPr="00A06E5D" w:rsidRDefault="00234534" w:rsidP="00234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2693" w:type="dxa"/>
            <w:vMerge w:val="restart"/>
          </w:tcPr>
          <w:p w14:paraId="5C57799B" w14:textId="6751C966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Игумнов Михаил Александрович,</w:t>
            </w:r>
            <w:r w:rsidRPr="00A06E5D">
              <w:rPr>
                <w:rFonts w:ascii="Times New Roman" w:hAnsi="Times New Roman" w:cs="Times New Roman"/>
                <w:sz w:val="24"/>
                <w:szCs w:val="24"/>
              </w:rPr>
              <w:br/>
              <w:t>+7 (917)-186-14-01, igumnov@mirea.ru</w:t>
            </w:r>
          </w:p>
        </w:tc>
      </w:tr>
      <w:tr w:rsidR="00234534" w:rsidRPr="00A06E5D" w14:paraId="05688497" w14:textId="77777777" w:rsidTr="00234534">
        <w:trPr>
          <w:trHeight w:val="1035"/>
        </w:trPr>
        <w:tc>
          <w:tcPr>
            <w:tcW w:w="709" w:type="dxa"/>
            <w:vMerge/>
            <w:vAlign w:val="center"/>
          </w:tcPr>
          <w:p w14:paraId="084EFA40" w14:textId="77777777" w:rsidR="00234534" w:rsidRPr="00AD62D0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58E32E08" w14:textId="77777777" w:rsidR="00234534" w:rsidRPr="00A06E5D" w:rsidRDefault="00234534" w:rsidP="00A06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69DF5F" w14:textId="77777777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EAAF9A8" w14:textId="77777777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0387A12" w14:textId="359FF9B2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5D">
              <w:rPr>
                <w:rFonts w:ascii="Times New Roman" w:hAnsi="Times New Roman" w:cs="Times New Roman"/>
                <w:sz w:val="24"/>
                <w:szCs w:val="24"/>
              </w:rPr>
              <w:t>г. Москва, ул. Малая Пироговская 1, стр. 8</w:t>
            </w:r>
          </w:p>
        </w:tc>
        <w:tc>
          <w:tcPr>
            <w:tcW w:w="2693" w:type="dxa"/>
            <w:vMerge/>
          </w:tcPr>
          <w:p w14:paraId="71AFEEC9" w14:textId="77777777" w:rsidR="00234534" w:rsidRPr="00A06E5D" w:rsidRDefault="00234534" w:rsidP="00A06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DDA5E" w14:textId="77777777" w:rsidR="00EF581F" w:rsidRPr="00A06E5D" w:rsidRDefault="00EF581F" w:rsidP="00EF581F">
      <w:pPr>
        <w:rPr>
          <w:rFonts w:ascii="Times New Roman" w:hAnsi="Times New Roman" w:cs="Times New Roman"/>
          <w:sz w:val="24"/>
          <w:szCs w:val="24"/>
        </w:rPr>
      </w:pPr>
    </w:p>
    <w:p w14:paraId="022F02E5" w14:textId="77777777" w:rsidR="00EF581F" w:rsidRDefault="00EF581F" w:rsidP="00EF581F">
      <w:pPr>
        <w:rPr>
          <w:rFonts w:ascii="Times New Roman" w:hAnsi="Times New Roman" w:cs="Times New Roman"/>
          <w:sz w:val="24"/>
        </w:rPr>
      </w:pPr>
    </w:p>
    <w:p w14:paraId="608ECE40" w14:textId="77777777" w:rsidR="00EF581F" w:rsidRPr="00335405" w:rsidRDefault="00EF581F" w:rsidP="00EF581F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618B5CE5" w14:textId="77777777" w:rsidR="00EF581F" w:rsidRDefault="00EF581F" w:rsidP="00EF581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EF581F" w14:paraId="605C981A" w14:textId="77777777" w:rsidTr="00003F0B">
        <w:tc>
          <w:tcPr>
            <w:tcW w:w="4536" w:type="dxa"/>
          </w:tcPr>
          <w:p w14:paraId="3A77A066" w14:textId="77777777" w:rsidR="00EF581F" w:rsidRPr="00DA3F95" w:rsidRDefault="00EF581F" w:rsidP="00EF58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A512F6A" w14:textId="77777777" w:rsidR="00EF581F" w:rsidRPr="00DA3F95" w:rsidRDefault="00EF581F" w:rsidP="00EF58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794BE7D" w14:textId="77777777" w:rsidR="00EF581F" w:rsidRPr="00DA3F95" w:rsidRDefault="00EF581F" w:rsidP="00EF58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EF581F" w14:paraId="00027874" w14:textId="77777777" w:rsidTr="00003F0B">
        <w:tc>
          <w:tcPr>
            <w:tcW w:w="4536" w:type="dxa"/>
            <w:vAlign w:val="bottom"/>
          </w:tcPr>
          <w:p w14:paraId="5B43FD5A" w14:textId="77777777" w:rsidR="00EF581F" w:rsidRDefault="00EF581F" w:rsidP="00EF5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5A5B52B7" w14:textId="77777777" w:rsidR="00EF581F" w:rsidRDefault="00EF581F" w:rsidP="00EF58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bottom"/>
          </w:tcPr>
          <w:p w14:paraId="7C811B55" w14:textId="77777777" w:rsidR="00EF581F" w:rsidRDefault="00EF581F" w:rsidP="00EF58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581F" w14:paraId="6AABAC50" w14:textId="77777777" w:rsidTr="00003F0B">
        <w:tc>
          <w:tcPr>
            <w:tcW w:w="4536" w:type="dxa"/>
          </w:tcPr>
          <w:p w14:paraId="79D3B541" w14:textId="77777777" w:rsidR="00EF581F" w:rsidRPr="00DA3F95" w:rsidRDefault="00EF581F" w:rsidP="00EF581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49DD8AE1" w14:textId="77777777" w:rsidR="00EF581F" w:rsidRPr="00DA3F95" w:rsidRDefault="00EF581F" w:rsidP="00EF581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325C2B6" w14:textId="77777777" w:rsidR="00EF581F" w:rsidRPr="00DA3F95" w:rsidRDefault="00EF581F" w:rsidP="00EF581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EF581F" w14:paraId="4A6CB032" w14:textId="77777777" w:rsidTr="00003F0B">
        <w:tc>
          <w:tcPr>
            <w:tcW w:w="4536" w:type="dxa"/>
            <w:tcBorders>
              <w:bottom w:val="single" w:sz="4" w:space="0" w:color="auto"/>
            </w:tcBorders>
          </w:tcPr>
          <w:p w14:paraId="56FE5DFD" w14:textId="77777777" w:rsidR="00EF581F" w:rsidRDefault="00EF581F" w:rsidP="00EF581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7768A672" w14:textId="77777777" w:rsidR="00EF581F" w:rsidRDefault="00EF581F" w:rsidP="00EF58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4C66711" w14:textId="77777777" w:rsidR="00EF581F" w:rsidRDefault="00EF581F" w:rsidP="00EF581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EF581F" w14:paraId="5693137E" w14:textId="77777777" w:rsidTr="00003F0B">
        <w:tc>
          <w:tcPr>
            <w:tcW w:w="4536" w:type="dxa"/>
            <w:tcBorders>
              <w:top w:val="single" w:sz="4" w:space="0" w:color="auto"/>
            </w:tcBorders>
          </w:tcPr>
          <w:p w14:paraId="46B050C5" w14:textId="77777777" w:rsidR="00EF581F" w:rsidRPr="00DA3F95" w:rsidRDefault="00EF581F" w:rsidP="00EF581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751770E7" w14:textId="77777777" w:rsidR="00EF581F" w:rsidRPr="00DA3F95" w:rsidRDefault="00EF581F" w:rsidP="00EF581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F5337DE" w14:textId="77777777" w:rsidR="00EF581F" w:rsidRPr="00DA3F95" w:rsidRDefault="00EF581F" w:rsidP="00EF581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35FAC6D" w14:textId="77777777" w:rsidR="00EF581F" w:rsidRDefault="00EF581F" w:rsidP="00EF581F">
      <w:pPr>
        <w:rPr>
          <w:rFonts w:ascii="Times New Roman" w:hAnsi="Times New Roman" w:cs="Times New Roman"/>
          <w:sz w:val="24"/>
        </w:rPr>
      </w:pPr>
    </w:p>
    <w:sectPr w:rsidR="00EF581F" w:rsidSect="00326AE1">
      <w:pgSz w:w="16838" w:h="11906" w:orient="landscape"/>
      <w:pgMar w:top="851" w:right="284" w:bottom="566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8753B" w14:textId="77777777" w:rsidR="007F2334" w:rsidRDefault="007F2334" w:rsidP="00630DA9">
      <w:pPr>
        <w:spacing w:after="0" w:line="240" w:lineRule="auto"/>
      </w:pPr>
      <w:r>
        <w:separator/>
      </w:r>
    </w:p>
  </w:endnote>
  <w:endnote w:type="continuationSeparator" w:id="0">
    <w:p w14:paraId="6D5E92E8" w14:textId="77777777" w:rsidR="007F2334" w:rsidRDefault="007F2334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234534" w:rsidRPr="0035379A" w:rsidRDefault="00234534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234534" w:rsidRPr="0035379A" w:rsidRDefault="00234534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234534" w:rsidRPr="007347D4" w:rsidRDefault="00234534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70506A57" w:rsidR="00234534" w:rsidRPr="003B3D83" w:rsidRDefault="00234534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9560F0">
      <w:rPr>
        <w:rFonts w:ascii="Bookman Old Style" w:hAnsi="Bookman Old Style"/>
        <w:noProof/>
        <w:color w:val="1F3864" w:themeColor="accent5" w:themeShade="80"/>
      </w:rPr>
      <w:t>2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9560F0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234534" w:rsidRPr="00630DA9" w:rsidRDefault="00234534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B57C" w14:textId="77777777" w:rsidR="007F2334" w:rsidRDefault="007F2334" w:rsidP="00630DA9">
      <w:pPr>
        <w:spacing w:after="0" w:line="240" w:lineRule="auto"/>
      </w:pPr>
      <w:r>
        <w:separator/>
      </w:r>
    </w:p>
  </w:footnote>
  <w:footnote w:type="continuationSeparator" w:id="0">
    <w:p w14:paraId="2F8D5C26" w14:textId="77777777" w:rsidR="007F2334" w:rsidRDefault="007F2334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3F0B"/>
    <w:rsid w:val="00004A52"/>
    <w:rsid w:val="000127A1"/>
    <w:rsid w:val="00014ED5"/>
    <w:rsid w:val="00017F55"/>
    <w:rsid w:val="0002062E"/>
    <w:rsid w:val="00021485"/>
    <w:rsid w:val="0002307B"/>
    <w:rsid w:val="000236A8"/>
    <w:rsid w:val="000303F4"/>
    <w:rsid w:val="000310DB"/>
    <w:rsid w:val="00037EEA"/>
    <w:rsid w:val="00045EEF"/>
    <w:rsid w:val="000461F4"/>
    <w:rsid w:val="00046D49"/>
    <w:rsid w:val="000479DD"/>
    <w:rsid w:val="000513D3"/>
    <w:rsid w:val="0005168A"/>
    <w:rsid w:val="00055967"/>
    <w:rsid w:val="00060AD1"/>
    <w:rsid w:val="0006178B"/>
    <w:rsid w:val="0006719C"/>
    <w:rsid w:val="00071FAB"/>
    <w:rsid w:val="00072C88"/>
    <w:rsid w:val="00073AAD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3737"/>
    <w:rsid w:val="0013549F"/>
    <w:rsid w:val="0014211A"/>
    <w:rsid w:val="001428AB"/>
    <w:rsid w:val="00143838"/>
    <w:rsid w:val="00144F2D"/>
    <w:rsid w:val="001510AB"/>
    <w:rsid w:val="001518E4"/>
    <w:rsid w:val="001539FD"/>
    <w:rsid w:val="00154186"/>
    <w:rsid w:val="0015656C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4534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D6E44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3CAE"/>
    <w:rsid w:val="00305591"/>
    <w:rsid w:val="00316595"/>
    <w:rsid w:val="00320D94"/>
    <w:rsid w:val="00322663"/>
    <w:rsid w:val="00324921"/>
    <w:rsid w:val="00325E76"/>
    <w:rsid w:val="00326AE1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A2258"/>
    <w:rsid w:val="003B1D2B"/>
    <w:rsid w:val="003B3D83"/>
    <w:rsid w:val="003B6D7C"/>
    <w:rsid w:val="003C095F"/>
    <w:rsid w:val="003C0BD6"/>
    <w:rsid w:val="003C481F"/>
    <w:rsid w:val="003C49DF"/>
    <w:rsid w:val="003D1E84"/>
    <w:rsid w:val="003D491E"/>
    <w:rsid w:val="003D732B"/>
    <w:rsid w:val="003D7E85"/>
    <w:rsid w:val="003E1726"/>
    <w:rsid w:val="003E5369"/>
    <w:rsid w:val="003E70C9"/>
    <w:rsid w:val="003E79F9"/>
    <w:rsid w:val="003F41A3"/>
    <w:rsid w:val="00403615"/>
    <w:rsid w:val="00407CB9"/>
    <w:rsid w:val="00413384"/>
    <w:rsid w:val="00425351"/>
    <w:rsid w:val="004260EA"/>
    <w:rsid w:val="004262A4"/>
    <w:rsid w:val="0042691D"/>
    <w:rsid w:val="00432ABC"/>
    <w:rsid w:val="0043314B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51E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045B0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31B8"/>
    <w:rsid w:val="00554FA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A3C29"/>
    <w:rsid w:val="006A706B"/>
    <w:rsid w:val="006A75DC"/>
    <w:rsid w:val="006B3694"/>
    <w:rsid w:val="006B57A3"/>
    <w:rsid w:val="006B6E01"/>
    <w:rsid w:val="006C1472"/>
    <w:rsid w:val="006C28C7"/>
    <w:rsid w:val="006C63E2"/>
    <w:rsid w:val="006D4ACA"/>
    <w:rsid w:val="006E2735"/>
    <w:rsid w:val="006E5938"/>
    <w:rsid w:val="006E619B"/>
    <w:rsid w:val="006E6C0C"/>
    <w:rsid w:val="006F0919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747EE"/>
    <w:rsid w:val="0079325B"/>
    <w:rsid w:val="00795E13"/>
    <w:rsid w:val="007A50DE"/>
    <w:rsid w:val="007A69A5"/>
    <w:rsid w:val="007B024C"/>
    <w:rsid w:val="007B339D"/>
    <w:rsid w:val="007B5734"/>
    <w:rsid w:val="007B6EF5"/>
    <w:rsid w:val="007B75E1"/>
    <w:rsid w:val="007C2D6E"/>
    <w:rsid w:val="007C3B67"/>
    <w:rsid w:val="007C4794"/>
    <w:rsid w:val="007D1295"/>
    <w:rsid w:val="007D306F"/>
    <w:rsid w:val="007D779B"/>
    <w:rsid w:val="007E7446"/>
    <w:rsid w:val="007F0CCD"/>
    <w:rsid w:val="007F1F1C"/>
    <w:rsid w:val="007F2334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2188A"/>
    <w:rsid w:val="00824650"/>
    <w:rsid w:val="0082676B"/>
    <w:rsid w:val="00830BEA"/>
    <w:rsid w:val="00835B84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26F2"/>
    <w:rsid w:val="008B325E"/>
    <w:rsid w:val="008B38ED"/>
    <w:rsid w:val="008B4546"/>
    <w:rsid w:val="008B4EB8"/>
    <w:rsid w:val="008B51E0"/>
    <w:rsid w:val="008B595F"/>
    <w:rsid w:val="008C2286"/>
    <w:rsid w:val="008C2892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22D3C"/>
    <w:rsid w:val="00924A7D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560F0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6E5D"/>
    <w:rsid w:val="00A07F30"/>
    <w:rsid w:val="00A22518"/>
    <w:rsid w:val="00A22A88"/>
    <w:rsid w:val="00A241EB"/>
    <w:rsid w:val="00A31CD6"/>
    <w:rsid w:val="00A40602"/>
    <w:rsid w:val="00A42BD5"/>
    <w:rsid w:val="00A44AC1"/>
    <w:rsid w:val="00A53316"/>
    <w:rsid w:val="00A55159"/>
    <w:rsid w:val="00A55CC8"/>
    <w:rsid w:val="00A633E5"/>
    <w:rsid w:val="00A6385A"/>
    <w:rsid w:val="00A665DB"/>
    <w:rsid w:val="00A71C42"/>
    <w:rsid w:val="00A76395"/>
    <w:rsid w:val="00A93DAB"/>
    <w:rsid w:val="00A96DBD"/>
    <w:rsid w:val="00AA0413"/>
    <w:rsid w:val="00AA21CA"/>
    <w:rsid w:val="00AA33FD"/>
    <w:rsid w:val="00AB158B"/>
    <w:rsid w:val="00AC646A"/>
    <w:rsid w:val="00AC689B"/>
    <w:rsid w:val="00AD39B9"/>
    <w:rsid w:val="00AD62D0"/>
    <w:rsid w:val="00AD71C2"/>
    <w:rsid w:val="00AD7BA0"/>
    <w:rsid w:val="00AE1D7D"/>
    <w:rsid w:val="00AF2860"/>
    <w:rsid w:val="00AF698F"/>
    <w:rsid w:val="00B006CA"/>
    <w:rsid w:val="00B03C9E"/>
    <w:rsid w:val="00B11790"/>
    <w:rsid w:val="00B13124"/>
    <w:rsid w:val="00B22733"/>
    <w:rsid w:val="00B25F60"/>
    <w:rsid w:val="00B32222"/>
    <w:rsid w:val="00B332BA"/>
    <w:rsid w:val="00B33650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13F5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573F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04901"/>
    <w:rsid w:val="00C151BC"/>
    <w:rsid w:val="00C16E9C"/>
    <w:rsid w:val="00C1762D"/>
    <w:rsid w:val="00C20B47"/>
    <w:rsid w:val="00C30763"/>
    <w:rsid w:val="00C343BE"/>
    <w:rsid w:val="00C3707D"/>
    <w:rsid w:val="00C446C8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E77"/>
    <w:rsid w:val="00C74025"/>
    <w:rsid w:val="00C759CD"/>
    <w:rsid w:val="00C81310"/>
    <w:rsid w:val="00C816A9"/>
    <w:rsid w:val="00C83947"/>
    <w:rsid w:val="00C842B8"/>
    <w:rsid w:val="00C86133"/>
    <w:rsid w:val="00C86DB0"/>
    <w:rsid w:val="00C87E81"/>
    <w:rsid w:val="00C931EB"/>
    <w:rsid w:val="00CA23E7"/>
    <w:rsid w:val="00CA443E"/>
    <w:rsid w:val="00CA518D"/>
    <w:rsid w:val="00CA59A4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4C1B"/>
    <w:rsid w:val="00D07683"/>
    <w:rsid w:val="00D120DA"/>
    <w:rsid w:val="00D12899"/>
    <w:rsid w:val="00D230BA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24BB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81F"/>
    <w:rsid w:val="00EF58ED"/>
    <w:rsid w:val="00F001D6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37ABA"/>
    <w:rsid w:val="00F44196"/>
    <w:rsid w:val="00F45391"/>
    <w:rsid w:val="00F47B03"/>
    <w:rsid w:val="00F52C20"/>
    <w:rsid w:val="00F548FD"/>
    <w:rsid w:val="00F55F0C"/>
    <w:rsid w:val="00F564CC"/>
    <w:rsid w:val="00F62D41"/>
    <w:rsid w:val="00F66524"/>
    <w:rsid w:val="00F66566"/>
    <w:rsid w:val="00F7067B"/>
    <w:rsid w:val="00F70999"/>
    <w:rsid w:val="00F7197C"/>
    <w:rsid w:val="00F7440C"/>
    <w:rsid w:val="00F74865"/>
    <w:rsid w:val="00F7626A"/>
    <w:rsid w:val="00F76C7E"/>
    <w:rsid w:val="00F82FE1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qFormat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customStyle="1" w:styleId="Default">
    <w:name w:val="Default"/>
    <w:rsid w:val="00774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ТЗ_Ур2"/>
    <w:basedOn w:val="a"/>
    <w:link w:val="22"/>
    <w:qFormat/>
    <w:rsid w:val="007747E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74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EF581F"/>
    <w:rPr>
      <w:b/>
      <w:bCs/>
    </w:rPr>
  </w:style>
  <w:style w:type="paragraph" w:styleId="afa">
    <w:name w:val="Body Text"/>
    <w:basedOn w:val="a"/>
    <w:link w:val="afb"/>
    <w:uiPriority w:val="99"/>
    <w:rsid w:val="00EF581F"/>
    <w:pPr>
      <w:suppressAutoHyphens/>
      <w:spacing w:after="12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sid w:val="00EF581F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D5FB-0B70-4ED5-87E0-F1CAD55C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6360</Words>
  <Characters>36253</Characters>
  <Application>Microsoft Office Word</Application>
  <DocSecurity>4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Арсентьев Алексей Андреевич</cp:lastModifiedBy>
  <cp:revision>2</cp:revision>
  <cp:lastPrinted>2024-03-28T07:07:00Z</cp:lastPrinted>
  <dcterms:created xsi:type="dcterms:W3CDTF">2026-06-16T08:11:00Z</dcterms:created>
  <dcterms:modified xsi:type="dcterms:W3CDTF">2026-06-16T08:11:00Z</dcterms:modified>
</cp:coreProperties>
</file>