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20" w:rsidRPr="0049569F" w:rsidRDefault="00B64968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="000E2C20" w:rsidRPr="004956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№____________</w:t>
      </w:r>
    </w:p>
    <w:p w:rsidR="0049569F" w:rsidRDefault="0049569F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49569F">
        <w:rPr>
          <w:rFonts w:ascii="Times New Roman" w:hAnsi="Times New Roman"/>
          <w:b/>
          <w:sz w:val="24"/>
          <w:szCs w:val="24"/>
        </w:rPr>
        <w:t xml:space="preserve">ИКЗ - </w:t>
      </w:r>
      <w:r w:rsidR="00B47952" w:rsidRPr="00B47952">
        <w:rPr>
          <w:rFonts w:ascii="Times New Roman" w:hAnsi="Times New Roman"/>
          <w:b/>
          <w:sz w:val="24"/>
          <w:szCs w:val="24"/>
        </w:rPr>
        <w:t>261773425509077340100100490000000244</w:t>
      </w: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г. Москва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</w:t>
      </w:r>
      <w:proofErr w:type="gramStart"/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___» 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 20</w:t>
      </w:r>
      <w:r w:rsidR="001D26B1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9569F">
        <w:rPr>
          <w:rFonts w:ascii="Times New Roman" w:hAnsi="Times New Roman"/>
          <w:sz w:val="24"/>
          <w:szCs w:val="24"/>
        </w:rPr>
        <w:t xml:space="preserve">Федеральное государственное бюджетное учреждение здравоохранения «Центр крови Федерального медико-биологического агентства», </w:t>
      </w:r>
      <w:r w:rsidR="0049569F" w:rsidRPr="0049569F">
        <w:rPr>
          <w:rFonts w:ascii="Times New Roman" w:hAnsi="Times New Roman"/>
          <w:sz w:val="24"/>
          <w:szCs w:val="24"/>
        </w:rPr>
        <w:t xml:space="preserve">именуемое </w:t>
      </w:r>
      <w:r w:rsidRPr="0049569F">
        <w:rPr>
          <w:rFonts w:ascii="Times New Roman" w:hAnsi="Times New Roman"/>
          <w:sz w:val="24"/>
          <w:szCs w:val="24"/>
        </w:rPr>
        <w:t xml:space="preserve">в дальнейшем 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9569F">
        <w:rPr>
          <w:rFonts w:ascii="Times New Roman" w:hAnsi="Times New Roman"/>
          <w:sz w:val="24"/>
          <w:szCs w:val="24"/>
        </w:rPr>
        <w:t>Заказчик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7673E" w:rsidRPr="0049569F">
        <w:rPr>
          <w:rFonts w:ascii="Times New Roman" w:hAnsi="Times New Roman"/>
          <w:sz w:val="24"/>
          <w:szCs w:val="24"/>
        </w:rPr>
        <w:t>, в</w:t>
      </w:r>
      <w:r w:rsidR="0049569F">
        <w:rPr>
          <w:rFonts w:ascii="Times New Roman" w:hAnsi="Times New Roman"/>
          <w:sz w:val="24"/>
          <w:szCs w:val="24"/>
        </w:rPr>
        <w:t> </w:t>
      </w:r>
      <w:r w:rsidR="00B7673E" w:rsidRPr="0049569F">
        <w:rPr>
          <w:rFonts w:ascii="Times New Roman" w:hAnsi="Times New Roman"/>
          <w:sz w:val="24"/>
          <w:szCs w:val="24"/>
        </w:rPr>
        <w:t xml:space="preserve">лице </w:t>
      </w:r>
      <w:r w:rsidR="003A717E" w:rsidRPr="003A717E">
        <w:rPr>
          <w:rFonts w:ascii="Times New Roman" w:hAnsi="Times New Roman"/>
          <w:sz w:val="24"/>
          <w:szCs w:val="24"/>
        </w:rPr>
        <w:t xml:space="preserve">Заместителя директора по информационным технологиям  </w:t>
      </w:r>
      <w:proofErr w:type="spellStart"/>
      <w:r w:rsidR="003A717E" w:rsidRPr="003A717E">
        <w:rPr>
          <w:rFonts w:ascii="Times New Roman" w:hAnsi="Times New Roman"/>
          <w:sz w:val="24"/>
          <w:szCs w:val="24"/>
        </w:rPr>
        <w:t>Буракова</w:t>
      </w:r>
      <w:proofErr w:type="spellEnd"/>
      <w:r w:rsidR="003A717E" w:rsidRPr="003A717E">
        <w:rPr>
          <w:rFonts w:ascii="Times New Roman" w:hAnsi="Times New Roman"/>
          <w:sz w:val="24"/>
          <w:szCs w:val="24"/>
        </w:rPr>
        <w:t xml:space="preserve"> Антона Анатольевича,</w:t>
      </w:r>
      <w:r w:rsidR="003A717E" w:rsidRPr="0049569F">
        <w:rPr>
          <w:rFonts w:ascii="Times New Roman" w:hAnsi="Times New Roman"/>
          <w:sz w:val="24"/>
          <w:szCs w:val="24"/>
        </w:rPr>
        <w:t xml:space="preserve"> </w:t>
      </w:r>
      <w:r w:rsidRPr="0049569F">
        <w:rPr>
          <w:rFonts w:ascii="Times New Roman" w:hAnsi="Times New Roman"/>
          <w:sz w:val="24"/>
          <w:szCs w:val="24"/>
        </w:rPr>
        <w:t>действующего на основании доверенности от</w:t>
      </w:r>
      <w:r w:rsidR="00B47952">
        <w:rPr>
          <w:rFonts w:ascii="Times New Roman" w:hAnsi="Times New Roman"/>
          <w:sz w:val="24"/>
          <w:szCs w:val="24"/>
        </w:rPr>
        <w:t xml:space="preserve"> </w:t>
      </w:r>
      <w:r w:rsidR="00B47952" w:rsidRPr="00B47952">
        <w:rPr>
          <w:rFonts w:ascii="Times New Roman" w:hAnsi="Times New Roman"/>
          <w:sz w:val="24"/>
          <w:szCs w:val="24"/>
        </w:rPr>
        <w:t>29.12.2025г. № 01-15/05/45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="003433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FC6DD9" w:rsidRPr="00FC6D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, именуемое в</w:t>
      </w:r>
      <w:r w:rsidR="0049569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дальнейшем «Исполнитель», в лице</w:t>
      </w:r>
      <w:r w:rsidR="003433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FC6DD9" w:rsidRPr="00FC6DD9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основании</w:t>
      </w:r>
      <w:r w:rsidR="003433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9569F">
        <w:rPr>
          <w:rFonts w:ascii="Times New Roman" w:hAnsi="Times New Roman"/>
          <w:color w:val="000000"/>
          <w:sz w:val="24"/>
          <w:szCs w:val="24"/>
        </w:rPr>
        <w:t>именуемые в дальнейшем «Стороны»</w:t>
      </w:r>
      <w:r w:rsidRPr="0049569F">
        <w:rPr>
          <w:rFonts w:ascii="Times New Roman" w:hAnsi="Times New Roman"/>
          <w:sz w:val="24"/>
          <w:szCs w:val="24"/>
        </w:rPr>
        <w:t xml:space="preserve">, на основании п. 4 ч. 1 ст. 93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</w:t>
      </w:r>
      <w:smartTag w:uri="urn:schemas-microsoft-com:office:smarttags" w:element="PersonName">
        <w:r w:rsidRPr="0049569F">
          <w:rPr>
            <w:rFonts w:ascii="Times New Roman" w:eastAsia="Times New Roman" w:hAnsi="Times New Roman"/>
            <w:sz w:val="24"/>
            <w:szCs w:val="24"/>
            <w:lang w:eastAsia="ru-RU"/>
          </w:rPr>
          <w:t>я</w:t>
        </w:r>
      </w:smartTag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щий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569F">
        <w:rPr>
          <w:rFonts w:ascii="Times New Roman" w:hAnsi="Times New Roman"/>
          <w:sz w:val="24"/>
          <w:szCs w:val="24"/>
        </w:rPr>
        <w:t>(далее - «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»)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нижеследующем.</w:t>
      </w: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C20" w:rsidRPr="0049569F" w:rsidRDefault="000E2C20" w:rsidP="0049569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Предмет </w:t>
      </w:r>
      <w:r w:rsidR="00B64968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</w:t>
      </w:r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1.1. Предметом настоящего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а является оказание услуг </w:t>
      </w:r>
      <w:r w:rsidR="00FC6DD9" w:rsidRPr="00FC6DD9">
        <w:rPr>
          <w:rFonts w:ascii="Times New Roman" w:eastAsia="Times New Roman" w:hAnsi="Times New Roman"/>
          <w:sz w:val="24"/>
          <w:szCs w:val="24"/>
          <w:lang w:eastAsia="ru-RU"/>
        </w:rPr>
        <w:t>по поверке средств измерений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услуги). Исполнитель оказывает услуги в соответствии со Спецификацией (Приложение № 1 к настоящему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у), а Заказчик принимает результаты услуг, оплачивает оказанные услуги в соответствии с настоящим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ом. </w:t>
      </w:r>
      <w:r w:rsidR="00471555">
        <w:rPr>
          <w:rFonts w:ascii="Times New Roman" w:eastAsia="Times New Roman" w:hAnsi="Times New Roman"/>
          <w:sz w:val="24"/>
          <w:szCs w:val="24"/>
          <w:lang w:eastAsia="ru-RU"/>
        </w:rPr>
        <w:t>Приложения № 1 явля</w:t>
      </w:r>
      <w:r w:rsidR="003433F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71555">
        <w:rPr>
          <w:rFonts w:ascii="Times New Roman" w:eastAsia="Times New Roman" w:hAnsi="Times New Roman"/>
          <w:sz w:val="24"/>
          <w:szCs w:val="24"/>
          <w:lang w:eastAsia="ru-RU"/>
        </w:rPr>
        <w:t>тся неотъемлемой частью настоящего Контракта.</w:t>
      </w:r>
    </w:p>
    <w:p w:rsidR="00AC171D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AC171D" w:rsidRPr="00AC171D">
        <w:t xml:space="preserve"> </w:t>
      </w:r>
      <w:r w:rsidR="00AC171D" w:rsidRPr="00AC171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оказывает услуги по поверке СИ в соответствии с областью аккредитации. Результаты поверки оформляются в соответствии с приказом </w:t>
      </w:r>
      <w:proofErr w:type="spellStart"/>
      <w:r w:rsidR="00AC171D" w:rsidRPr="00AC171D">
        <w:rPr>
          <w:rFonts w:ascii="Times New Roman" w:eastAsia="Times New Roman" w:hAnsi="Times New Roman"/>
          <w:sz w:val="24"/>
          <w:szCs w:val="24"/>
          <w:lang w:eastAsia="ru-RU"/>
        </w:rPr>
        <w:t>Минпромторга</w:t>
      </w:r>
      <w:proofErr w:type="spellEnd"/>
      <w:r w:rsidR="00AC171D" w:rsidRPr="00AC171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31.07.2020 г. № 2510 «Об утверждении Порядка проведения поверки средств измерений, требования к знаку поверки и содержанию свидетельства о поверке».</w:t>
      </w:r>
    </w:p>
    <w:p w:rsidR="003433F5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C5B"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</w:t>
      </w:r>
      <w:r w:rsidR="0088368D">
        <w:rPr>
          <w:rFonts w:ascii="Times New Roman" w:eastAsia="Times New Roman" w:hAnsi="Times New Roman"/>
          <w:sz w:val="24"/>
          <w:szCs w:val="24"/>
          <w:lang w:eastAsia="ru-RU"/>
        </w:rPr>
        <w:t>: с даты подписания контракта</w:t>
      </w:r>
      <w:r w:rsidRPr="00741C5B">
        <w:rPr>
          <w:rFonts w:ascii="Times New Roman" w:eastAsia="Times New Roman" w:hAnsi="Times New Roman"/>
          <w:sz w:val="24"/>
          <w:szCs w:val="24"/>
          <w:lang w:eastAsia="ru-RU"/>
        </w:rPr>
        <w:t xml:space="preserve"> по «</w:t>
      </w:r>
      <w:r w:rsidR="00B47952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741C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47952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741C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47952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0A155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  <w:r w:rsidR="003433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1.3. Место оказания услуг: </w:t>
      </w:r>
      <w:r w:rsidR="00002AAC">
        <w:rPr>
          <w:rFonts w:ascii="Times New Roman" w:eastAsia="Times New Roman" w:hAnsi="Times New Roman"/>
          <w:sz w:val="24"/>
          <w:szCs w:val="24"/>
          <w:lang w:eastAsia="ru-RU"/>
        </w:rPr>
        <w:t>150030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, г. </w:t>
      </w:r>
      <w:r w:rsidR="00002AAC">
        <w:rPr>
          <w:rFonts w:ascii="Times New Roman" w:eastAsia="Times New Roman" w:hAnsi="Times New Roman"/>
          <w:sz w:val="24"/>
          <w:szCs w:val="24"/>
          <w:lang w:eastAsia="ru-RU"/>
        </w:rPr>
        <w:t>Ярославль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02AAC">
        <w:rPr>
          <w:rFonts w:ascii="Times New Roman" w:eastAsia="Times New Roman" w:hAnsi="Times New Roman"/>
          <w:sz w:val="24"/>
          <w:szCs w:val="24"/>
          <w:lang w:eastAsia="ru-RU"/>
        </w:rPr>
        <w:t>Суздальское шоссе, д.21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2C20" w:rsidRPr="0049569F" w:rsidRDefault="009D3A94" w:rsidP="0049569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="000E2C20" w:rsidRPr="0049569F">
        <w:rPr>
          <w:rFonts w:ascii="Times New Roman" w:eastAsia="Times New Roman" w:hAnsi="Times New Roman"/>
          <w:sz w:val="24"/>
          <w:szCs w:val="24"/>
          <w:lang w:eastAsia="ru-RU"/>
        </w:rPr>
        <w:t>Исполнитель имеет право выполнить услуги досрочно.</w:t>
      </w:r>
    </w:p>
    <w:p w:rsidR="000E2C20" w:rsidRPr="0049569F" w:rsidRDefault="000E2C20" w:rsidP="0049569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>2. Об</w:t>
      </w:r>
      <w:smartTag w:uri="urn:schemas-microsoft-com:office:smarttags" w:element="PersonName">
        <w:r w:rsidRPr="0049569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я</w:t>
        </w:r>
      </w:smartTag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>занности сторон</w:t>
      </w:r>
    </w:p>
    <w:p w:rsidR="000E2C20" w:rsidRPr="0049569F" w:rsidRDefault="000E2C20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.1. Исполнитель обязан: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.1.1. Оказать и сдать Заказчику услуги в объемах и в сроки, предусмотренные настоящим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ом;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.1.2. Исполнитель согласно условиям настоящего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а, гарантирует соответствие качества оказанных услуг стандартам, предусмотренным для выполнения данного рода услуг на территории Российской Федерации и несет ответственность за отступление от них в установленном действующим законодательством порядке.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.1.3.  Единолично отвечать перед Заказчиком за результат оказанных услуг; 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.1.4. Оказать услуги согласно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у, собственными силами и средствами. Исполнитель вправе привлечь к оказанию услуг других лиц (субподрядчиков), при этом Исполнитель несет перед Заказчиком ответственность за последствия неисполнения или ненадлежащего исполнения обязательств субподрядчиком.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.1.5. В случае обнаружения препятствий к надлежащему исполнению настоящего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а принять все зависящие от него разумные меры по устранению таких препятствий.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.1.6. Приостановить оказание услуг в случае обнаружения независящих от Исполнителя обстоятельств,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ом срок, и сообщить об этом Заказчику в течение 1 (Одного) рабочего дня после приостановления оказания услуг.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.2. Заказчик обязан: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.2.1. Произвести приемку и оплату Исполнителю оказанных услуг в сроки и в порядке, предусмотренном настоящим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ом.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.3.  Заказчик имеет право:</w:t>
      </w:r>
    </w:p>
    <w:p w:rsidR="009D3A94" w:rsidRPr="009D3A94" w:rsidRDefault="009D3A94" w:rsidP="009D3A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3A94">
        <w:rPr>
          <w:rFonts w:ascii="Times New Roman" w:eastAsia="Times New Roman" w:hAnsi="Times New Roman"/>
          <w:sz w:val="24"/>
          <w:szCs w:val="24"/>
          <w:lang w:eastAsia="ru-RU"/>
        </w:rPr>
        <w:t>.3.1. В любое время осуществлять контроль и надзор за ходом и качеством услуг, оказываемых Исполнителем, не вмешиваясь в его деятельность.</w:t>
      </w: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Цена </w:t>
      </w:r>
      <w:r w:rsidR="00B64968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</w:t>
      </w:r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>а и пор</w:t>
      </w:r>
      <w:smartTag w:uri="urn:schemas-microsoft-com:office:smarttags" w:element="PersonName">
        <w:r w:rsidRPr="0049569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я</w:t>
        </w:r>
      </w:smartTag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>док расчетов</w:t>
      </w: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3.1. Цена насто</w:t>
      </w:r>
      <w:smartTag w:uri="urn:schemas-microsoft-com:office:smarttags" w:element="PersonName">
        <w:r w:rsidRPr="0049569F">
          <w:rPr>
            <w:rFonts w:ascii="Times New Roman" w:eastAsia="Times New Roman" w:hAnsi="Times New Roman"/>
            <w:sz w:val="24"/>
            <w:szCs w:val="24"/>
            <w:lang w:eastAsia="ru-RU"/>
          </w:rPr>
          <w:t>я</w:t>
        </w:r>
      </w:smartTag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щего </w:t>
      </w:r>
      <w:r w:rsidR="00B64968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а составл</w:t>
      </w:r>
      <w:smartTag w:uri="urn:schemas-microsoft-com:office:smarttags" w:element="PersonName">
        <w:r w:rsidRPr="0049569F">
          <w:rPr>
            <w:rFonts w:ascii="Times New Roman" w:eastAsia="Times New Roman" w:hAnsi="Times New Roman"/>
            <w:sz w:val="24"/>
            <w:szCs w:val="24"/>
            <w:lang w:eastAsia="ru-RU"/>
          </w:rPr>
          <w:t>я</w:t>
        </w:r>
      </w:smartTag>
      <w:r w:rsidR="009E570E">
        <w:rPr>
          <w:rFonts w:ascii="Times New Roman" w:eastAsia="Times New Roman" w:hAnsi="Times New Roman"/>
          <w:sz w:val="24"/>
          <w:szCs w:val="24"/>
          <w:lang w:eastAsia="ru-RU"/>
        </w:rPr>
        <w:t>ет: __________________</w:t>
      </w:r>
      <w:r w:rsidR="009D3A94" w:rsidRPr="004E2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3A94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</w:t>
      </w:r>
      <w:r w:rsidR="004E290E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 НДС </w:t>
      </w:r>
      <w:r w:rsidR="00B4795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4E290E">
        <w:rPr>
          <w:rFonts w:ascii="Times New Roman" w:eastAsia="Times New Roman" w:hAnsi="Times New Roman"/>
          <w:sz w:val="24"/>
          <w:szCs w:val="24"/>
          <w:lang w:eastAsia="ru-RU"/>
        </w:rPr>
        <w:t xml:space="preserve">% 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сумме </w:t>
      </w:r>
      <w:r w:rsidR="009E570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2C20" w:rsidRPr="0049569F" w:rsidRDefault="000E2C20" w:rsidP="0049569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69F">
        <w:rPr>
          <w:rFonts w:ascii="Times New Roman" w:hAnsi="Times New Roman"/>
          <w:sz w:val="24"/>
          <w:szCs w:val="24"/>
        </w:rPr>
        <w:t xml:space="preserve">3.2. </w:t>
      </w:r>
      <w:r w:rsidR="009D3A94" w:rsidRPr="009D3A94">
        <w:rPr>
          <w:rFonts w:ascii="Times New Roman" w:hAnsi="Times New Roman"/>
          <w:sz w:val="24"/>
          <w:szCs w:val="24"/>
        </w:rPr>
        <w:t xml:space="preserve">Цена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9D3A94" w:rsidRPr="009D3A94">
        <w:rPr>
          <w:rFonts w:ascii="Times New Roman" w:hAnsi="Times New Roman"/>
          <w:sz w:val="24"/>
          <w:szCs w:val="24"/>
        </w:rPr>
        <w:t>а является твердой и определяется на весь ср</w:t>
      </w:r>
      <w:r w:rsidR="009D3A94">
        <w:rPr>
          <w:rFonts w:ascii="Times New Roman" w:hAnsi="Times New Roman"/>
          <w:sz w:val="24"/>
          <w:szCs w:val="24"/>
        </w:rPr>
        <w:t>ок его исполнения, за исключени</w:t>
      </w:r>
      <w:r w:rsidR="009D3A94" w:rsidRPr="009D3A94">
        <w:rPr>
          <w:rFonts w:ascii="Times New Roman" w:hAnsi="Times New Roman"/>
          <w:sz w:val="24"/>
          <w:szCs w:val="24"/>
        </w:rPr>
        <w:t xml:space="preserve">ем случаев, установленных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9D3A94" w:rsidRPr="009D3A94">
        <w:rPr>
          <w:rFonts w:ascii="Times New Roman" w:hAnsi="Times New Roman"/>
          <w:sz w:val="24"/>
          <w:szCs w:val="24"/>
        </w:rPr>
        <w:t>ом и Федеральн</w:t>
      </w:r>
      <w:r w:rsidR="009D3A94">
        <w:rPr>
          <w:rFonts w:ascii="Times New Roman" w:hAnsi="Times New Roman"/>
          <w:sz w:val="24"/>
          <w:szCs w:val="24"/>
        </w:rPr>
        <w:t>ым</w:t>
      </w:r>
      <w:r w:rsidR="009D3A94" w:rsidRPr="009D3A94">
        <w:rPr>
          <w:rFonts w:ascii="Times New Roman" w:hAnsi="Times New Roman"/>
          <w:sz w:val="24"/>
          <w:szCs w:val="24"/>
        </w:rPr>
        <w:t xml:space="preserve"> закон</w:t>
      </w:r>
      <w:r w:rsidR="009D3A94">
        <w:rPr>
          <w:rFonts w:ascii="Times New Roman" w:hAnsi="Times New Roman"/>
          <w:sz w:val="24"/>
          <w:szCs w:val="24"/>
        </w:rPr>
        <w:t>ом № 44-ФЗ</w:t>
      </w:r>
      <w:r w:rsidR="009D3A94" w:rsidRPr="009D3A94">
        <w:rPr>
          <w:rFonts w:ascii="Times New Roman" w:hAnsi="Times New Roman"/>
          <w:sz w:val="24"/>
          <w:szCs w:val="24"/>
        </w:rPr>
        <w:t>.</w:t>
      </w:r>
    </w:p>
    <w:p w:rsidR="000E2C20" w:rsidRPr="0049569F" w:rsidRDefault="000E2C20" w:rsidP="0049569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49569F">
        <w:rPr>
          <w:rFonts w:ascii="Times New Roman" w:hAnsi="Times New Roman"/>
          <w:sz w:val="24"/>
          <w:szCs w:val="24"/>
        </w:rPr>
        <w:t xml:space="preserve">В Цену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а включены все расходы, необходимые для его выполнения, </w:t>
      </w:r>
      <w:r w:rsidR="009D3A94">
        <w:rPr>
          <w:rFonts w:ascii="Times New Roman" w:hAnsi="Times New Roman"/>
          <w:sz w:val="24"/>
          <w:szCs w:val="24"/>
        </w:rPr>
        <w:t xml:space="preserve">включая </w:t>
      </w:r>
      <w:r w:rsidRPr="0049569F">
        <w:rPr>
          <w:rFonts w:ascii="Times New Roman" w:hAnsi="Times New Roman"/>
          <w:sz w:val="24"/>
          <w:szCs w:val="24"/>
        </w:rPr>
        <w:t xml:space="preserve">транспортные расходы, накладные расходы, налоги, другие обязательные платежи, а также все прочие расходы, необходимые для выполнения Исполнителем всех обязательств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у. </w:t>
      </w:r>
    </w:p>
    <w:p w:rsidR="000E2C20" w:rsidRPr="0049569F" w:rsidRDefault="000E2C20" w:rsidP="0049569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Pr="0049569F">
        <w:rPr>
          <w:rFonts w:ascii="Times New Roman" w:hAnsi="Times New Roman"/>
          <w:sz w:val="24"/>
          <w:szCs w:val="24"/>
        </w:rPr>
        <w:t xml:space="preserve">Цена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может быть снижена по соглашению Сторон без изменения предусмотре</w:t>
      </w:r>
      <w:r w:rsidRPr="0049569F">
        <w:rPr>
          <w:rFonts w:ascii="Times New Roman" w:hAnsi="Times New Roman"/>
          <w:sz w:val="24"/>
          <w:szCs w:val="24"/>
        </w:rPr>
        <w:t>н</w:t>
      </w:r>
      <w:r w:rsidRPr="0049569F">
        <w:rPr>
          <w:rFonts w:ascii="Times New Roman" w:hAnsi="Times New Roman"/>
          <w:sz w:val="24"/>
          <w:szCs w:val="24"/>
        </w:rPr>
        <w:t xml:space="preserve">ного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ом объема услуг и иных условий исполнения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а.</w:t>
      </w:r>
    </w:p>
    <w:p w:rsidR="000E2C20" w:rsidRPr="0049569F" w:rsidRDefault="000E2C20" w:rsidP="0049569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Pr="0049569F">
        <w:rPr>
          <w:rFonts w:ascii="Times New Roman" w:hAnsi="Times New Roman"/>
          <w:sz w:val="24"/>
          <w:szCs w:val="24"/>
        </w:rPr>
        <w:t>При изменении потребности в услугах по предложению Заказчика в ходе исполн</w:t>
      </w:r>
      <w:r w:rsidRPr="0049569F">
        <w:rPr>
          <w:rFonts w:ascii="Times New Roman" w:hAnsi="Times New Roman"/>
          <w:sz w:val="24"/>
          <w:szCs w:val="24"/>
        </w:rPr>
        <w:t>е</w:t>
      </w:r>
      <w:r w:rsidRPr="0049569F">
        <w:rPr>
          <w:rFonts w:ascii="Times New Roman" w:hAnsi="Times New Roman"/>
          <w:sz w:val="24"/>
          <w:szCs w:val="24"/>
        </w:rPr>
        <w:t xml:space="preserve">ния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возможно изменение объема услуг не более чем на десять процентов.</w:t>
      </w:r>
    </w:p>
    <w:p w:rsidR="00A3488D" w:rsidRPr="00741C5B" w:rsidRDefault="00726B95" w:rsidP="00A3488D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E2C20" w:rsidRPr="0049569F">
        <w:rPr>
          <w:rFonts w:ascii="Times New Roman" w:hAnsi="Times New Roman"/>
          <w:sz w:val="24"/>
          <w:szCs w:val="24"/>
        </w:rPr>
        <w:t xml:space="preserve">. Оплата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/>
          <w:sz w:val="24"/>
          <w:szCs w:val="24"/>
        </w:rPr>
        <w:t xml:space="preserve">у осуществляется по факту оказания услуг, согласно условиям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/>
          <w:sz w:val="24"/>
          <w:szCs w:val="24"/>
        </w:rPr>
        <w:t>а, на основании предоставленн</w:t>
      </w:r>
      <w:r w:rsidR="00E52315">
        <w:rPr>
          <w:rFonts w:ascii="Times New Roman" w:hAnsi="Times New Roman"/>
          <w:sz w:val="24"/>
          <w:szCs w:val="24"/>
        </w:rPr>
        <w:t>ого</w:t>
      </w:r>
      <w:r w:rsidR="000E2C20" w:rsidRPr="0049569F">
        <w:rPr>
          <w:rFonts w:ascii="Times New Roman" w:hAnsi="Times New Roman"/>
          <w:sz w:val="24"/>
          <w:szCs w:val="24"/>
        </w:rPr>
        <w:t xml:space="preserve"> Исполнителем </w:t>
      </w:r>
      <w:r w:rsidR="00A3488D">
        <w:rPr>
          <w:rFonts w:ascii="Times New Roman" w:hAnsi="Times New Roman"/>
          <w:sz w:val="24"/>
          <w:szCs w:val="24"/>
        </w:rPr>
        <w:t>Счета</w:t>
      </w:r>
      <w:r w:rsidR="00EF0036" w:rsidRPr="0049569F">
        <w:rPr>
          <w:rFonts w:ascii="Times New Roman" w:hAnsi="Times New Roman"/>
          <w:sz w:val="24"/>
          <w:szCs w:val="24"/>
        </w:rPr>
        <w:t xml:space="preserve"> </w:t>
      </w:r>
      <w:r w:rsidR="000E2C20" w:rsidRPr="00741C5B">
        <w:rPr>
          <w:rFonts w:ascii="Times New Roman" w:hAnsi="Times New Roman"/>
          <w:sz w:val="24"/>
          <w:szCs w:val="24"/>
        </w:rPr>
        <w:t>в</w:t>
      </w:r>
      <w:r w:rsidR="00A3488D" w:rsidRPr="00741C5B">
        <w:rPr>
          <w:rFonts w:ascii="Times New Roman" w:hAnsi="Times New Roman"/>
          <w:sz w:val="24"/>
          <w:szCs w:val="24"/>
        </w:rPr>
        <w:t> </w:t>
      </w:r>
      <w:r w:rsidR="000E2C20" w:rsidRPr="00741C5B">
        <w:rPr>
          <w:rFonts w:ascii="Times New Roman" w:hAnsi="Times New Roman"/>
          <w:sz w:val="24"/>
          <w:szCs w:val="24"/>
        </w:rPr>
        <w:t xml:space="preserve">течение 10 (Десяти) рабочих дней </w:t>
      </w:r>
      <w:r w:rsidR="00A3488D" w:rsidRPr="00741C5B">
        <w:rPr>
          <w:rFonts w:ascii="Times New Roman" w:hAnsi="Times New Roman"/>
          <w:sz w:val="24"/>
          <w:szCs w:val="24"/>
        </w:rPr>
        <w:t>с даты утверждения Заказчиком Акта приемки товаров, работ, услуг по форме 0510452, утвержденно</w:t>
      </w:r>
      <w:r w:rsidR="00A94CF9" w:rsidRPr="00741C5B">
        <w:rPr>
          <w:rFonts w:ascii="Times New Roman" w:hAnsi="Times New Roman"/>
          <w:sz w:val="24"/>
          <w:szCs w:val="24"/>
        </w:rPr>
        <w:t>й</w:t>
      </w:r>
      <w:r w:rsidR="00A3488D" w:rsidRPr="00741C5B">
        <w:rPr>
          <w:rFonts w:ascii="Times New Roman" w:hAnsi="Times New Roman"/>
          <w:sz w:val="24"/>
          <w:szCs w:val="24"/>
        </w:rPr>
        <w:t xml:space="preserve">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 (ф. 0510452)).</w:t>
      </w:r>
    </w:p>
    <w:p w:rsidR="00A3488D" w:rsidRPr="00DF1423" w:rsidRDefault="00A3488D" w:rsidP="00A3488D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F1423">
        <w:rPr>
          <w:rFonts w:ascii="Times New Roman" w:hAnsi="Times New Roman"/>
          <w:sz w:val="24"/>
          <w:szCs w:val="24"/>
        </w:rPr>
        <w:t>3.</w:t>
      </w:r>
      <w:r w:rsidR="00726B95" w:rsidRPr="00DF1423">
        <w:rPr>
          <w:rFonts w:ascii="Times New Roman" w:hAnsi="Times New Roman"/>
          <w:sz w:val="24"/>
          <w:szCs w:val="24"/>
        </w:rPr>
        <w:t>6</w:t>
      </w:r>
      <w:r w:rsidRPr="00DF1423">
        <w:rPr>
          <w:rFonts w:ascii="Times New Roman" w:hAnsi="Times New Roman"/>
          <w:sz w:val="24"/>
          <w:szCs w:val="24"/>
        </w:rPr>
        <w:t>.1. Стороны определили, что приёмка услуг считается завершенной с даты утверждения Заказчиком Акта приемки (ф. 0510452), подписание которого осуществляется электронно-цифровой подписью, и признается равнозначным документом на бумажном носителе, подписанным собственноручной подписью.</w:t>
      </w:r>
    </w:p>
    <w:p w:rsidR="000E2C20" w:rsidRPr="0049569F" w:rsidRDefault="00726B95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0E2C20" w:rsidRPr="004956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E2C20" w:rsidRPr="0049569F">
        <w:rPr>
          <w:rFonts w:ascii="Times New Roman" w:hAnsi="Times New Roman"/>
          <w:sz w:val="24"/>
          <w:szCs w:val="24"/>
        </w:rPr>
        <w:t xml:space="preserve"> </w:t>
      </w:r>
      <w:r w:rsidR="00EF0036" w:rsidRPr="009930AF">
        <w:rPr>
          <w:rFonts w:ascii="Times New Roman" w:hAnsi="Times New Roman"/>
          <w:sz w:val="24"/>
          <w:szCs w:val="24"/>
        </w:rPr>
        <w:t xml:space="preserve">Оплата осуществляется за счет средств </w:t>
      </w:r>
      <w:r w:rsidR="009E570E">
        <w:rPr>
          <w:rFonts w:ascii="Times New Roman" w:hAnsi="Times New Roman"/>
          <w:sz w:val="24"/>
          <w:szCs w:val="24"/>
        </w:rPr>
        <w:t>субсидий бюджетного учреждения на выполнение государственного задания</w:t>
      </w:r>
      <w:r w:rsidR="00EF0036" w:rsidRPr="009930AF">
        <w:rPr>
          <w:rFonts w:ascii="Times New Roman" w:hAnsi="Times New Roman"/>
          <w:sz w:val="24"/>
          <w:szCs w:val="24"/>
        </w:rPr>
        <w:t>.</w:t>
      </w:r>
    </w:p>
    <w:p w:rsidR="00EF0036" w:rsidRPr="0049569F" w:rsidRDefault="00726B95" w:rsidP="0049569F">
      <w:pPr>
        <w:tabs>
          <w:tab w:val="left" w:pos="70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E2C20" w:rsidRPr="0049569F">
        <w:rPr>
          <w:rFonts w:ascii="Times New Roman" w:hAnsi="Times New Roman"/>
          <w:sz w:val="24"/>
          <w:szCs w:val="24"/>
        </w:rPr>
        <w:t xml:space="preserve">. </w:t>
      </w:r>
      <w:r w:rsidR="00EF0036" w:rsidRPr="0049569F">
        <w:rPr>
          <w:rFonts w:ascii="Times New Roman" w:hAnsi="Times New Roman"/>
          <w:color w:val="000000"/>
          <w:sz w:val="24"/>
          <w:szCs w:val="24"/>
        </w:rPr>
        <w:t xml:space="preserve">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64968">
        <w:rPr>
          <w:rFonts w:ascii="Times New Roman" w:hAnsi="Times New Roman"/>
          <w:color w:val="000000"/>
          <w:sz w:val="24"/>
          <w:szCs w:val="24"/>
        </w:rPr>
        <w:t>Контракт</w:t>
      </w:r>
      <w:r w:rsidR="009D3A94">
        <w:rPr>
          <w:rFonts w:ascii="Times New Roman" w:hAnsi="Times New Roman"/>
          <w:color w:val="000000"/>
          <w:sz w:val="24"/>
          <w:szCs w:val="24"/>
        </w:rPr>
        <w:t>а</w:t>
      </w:r>
      <w:r w:rsidR="00EF0036" w:rsidRPr="0049569F">
        <w:rPr>
          <w:rFonts w:ascii="Times New Roman" w:hAnsi="Times New Roman"/>
          <w:color w:val="000000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E2C20" w:rsidRPr="0049569F" w:rsidRDefault="000E2C20" w:rsidP="0049569F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C20" w:rsidRPr="0049569F" w:rsidRDefault="000E2C20" w:rsidP="004956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569F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49569F">
        <w:rPr>
          <w:rFonts w:ascii="Times New Roman" w:hAnsi="Times New Roman"/>
          <w:b/>
          <w:bCs/>
          <w:color w:val="000000"/>
          <w:sz w:val="24"/>
          <w:szCs w:val="24"/>
        </w:rPr>
        <w:tab/>
        <w:t>Порядок сдачи и приемки услуг</w:t>
      </w:r>
      <w:r w:rsidR="000A775D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0A775D" w:rsidRPr="00741C5B">
        <w:rPr>
          <w:rFonts w:ascii="Times New Roman" w:hAnsi="Times New Roman"/>
          <w:b/>
          <w:bCs/>
          <w:sz w:val="24"/>
          <w:szCs w:val="24"/>
        </w:rPr>
        <w:t>оформление результатов приёмки</w:t>
      </w:r>
    </w:p>
    <w:p w:rsidR="000E2C20" w:rsidRPr="0049569F" w:rsidRDefault="000E2C20" w:rsidP="0049569F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bCs/>
          <w:color w:val="000000"/>
          <w:sz w:val="24"/>
          <w:szCs w:val="24"/>
        </w:rPr>
        <w:t>4.1.</w:t>
      </w:r>
      <w:r w:rsidRPr="0049569F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9569F">
        <w:rPr>
          <w:rFonts w:ascii="Times New Roman" w:hAnsi="Times New Roman"/>
          <w:sz w:val="24"/>
          <w:szCs w:val="24"/>
        </w:rPr>
        <w:t xml:space="preserve">Исполнитель в течение 1 (Одного) рабочего дня по факту оказания услуг передает Заказчику </w:t>
      </w:r>
      <w:r w:rsidR="00EB493D">
        <w:rPr>
          <w:rFonts w:ascii="Times New Roman" w:hAnsi="Times New Roman"/>
          <w:sz w:val="24"/>
          <w:szCs w:val="24"/>
        </w:rPr>
        <w:t>подписанные</w:t>
      </w:r>
      <w:r w:rsidR="00EB493D" w:rsidRPr="0049569F">
        <w:rPr>
          <w:rFonts w:ascii="Times New Roman" w:hAnsi="Times New Roman"/>
          <w:sz w:val="24"/>
          <w:szCs w:val="24"/>
        </w:rPr>
        <w:t xml:space="preserve"> Исполнителем </w:t>
      </w:r>
      <w:r w:rsidRPr="0049569F">
        <w:rPr>
          <w:rFonts w:ascii="Times New Roman" w:hAnsi="Times New Roman"/>
          <w:sz w:val="24"/>
          <w:szCs w:val="24"/>
        </w:rPr>
        <w:t>оригинал</w:t>
      </w:r>
      <w:r w:rsidR="00EB493D">
        <w:rPr>
          <w:rFonts w:ascii="Times New Roman" w:hAnsi="Times New Roman"/>
          <w:sz w:val="24"/>
          <w:szCs w:val="24"/>
        </w:rPr>
        <w:t>ы</w:t>
      </w:r>
      <w:r w:rsidRPr="0049569F">
        <w:rPr>
          <w:rFonts w:ascii="Times New Roman" w:hAnsi="Times New Roman"/>
          <w:sz w:val="24"/>
          <w:szCs w:val="24"/>
        </w:rPr>
        <w:t xml:space="preserve"> Акта сдачи-приемки оказанных услуг, </w:t>
      </w:r>
      <w:r w:rsidR="00EF0036" w:rsidRPr="0049569F">
        <w:rPr>
          <w:rFonts w:ascii="Times New Roman" w:hAnsi="Times New Roman"/>
          <w:sz w:val="24"/>
          <w:szCs w:val="24"/>
        </w:rPr>
        <w:t>в 2</w:t>
      </w:r>
      <w:r w:rsidR="00EB493D">
        <w:rPr>
          <w:rFonts w:ascii="Times New Roman" w:hAnsi="Times New Roman"/>
          <w:sz w:val="24"/>
          <w:szCs w:val="24"/>
        </w:rPr>
        <w:t> </w:t>
      </w:r>
      <w:r w:rsidR="00EF0036" w:rsidRPr="0049569F">
        <w:rPr>
          <w:rFonts w:ascii="Times New Roman" w:hAnsi="Times New Roman"/>
          <w:sz w:val="24"/>
          <w:szCs w:val="24"/>
        </w:rPr>
        <w:t xml:space="preserve">(Двух) экземплярах, </w:t>
      </w:r>
      <w:r w:rsidRPr="0049569F">
        <w:rPr>
          <w:rFonts w:ascii="Times New Roman" w:hAnsi="Times New Roman"/>
          <w:sz w:val="24"/>
          <w:szCs w:val="24"/>
        </w:rPr>
        <w:t>счет-фактуру (при наличии), либо универсальный передаточный документ</w:t>
      </w:r>
      <w:r w:rsidR="00EF0036" w:rsidRPr="0049569F">
        <w:rPr>
          <w:rFonts w:ascii="Times New Roman" w:hAnsi="Times New Roman"/>
          <w:sz w:val="24"/>
          <w:szCs w:val="24"/>
        </w:rPr>
        <w:t>, счет</w:t>
      </w:r>
      <w:r w:rsidRPr="0049569F">
        <w:rPr>
          <w:rFonts w:ascii="Times New Roman" w:hAnsi="Times New Roman"/>
          <w:sz w:val="24"/>
          <w:szCs w:val="24"/>
        </w:rPr>
        <w:t xml:space="preserve"> в 2 (Двух) экземплярах.</w:t>
      </w:r>
    </w:p>
    <w:p w:rsidR="000A775D" w:rsidRPr="00741C5B" w:rsidRDefault="000E2C20" w:rsidP="004956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4.2.</w:t>
      </w:r>
      <w:r w:rsidRPr="0049569F">
        <w:rPr>
          <w:rFonts w:ascii="Times New Roman" w:hAnsi="Times New Roman"/>
          <w:sz w:val="24"/>
          <w:szCs w:val="24"/>
        </w:rPr>
        <w:tab/>
      </w:r>
      <w:r w:rsidR="000A775D" w:rsidRPr="00741C5B">
        <w:rPr>
          <w:rFonts w:ascii="Times New Roman" w:hAnsi="Times New Roman"/>
          <w:sz w:val="24"/>
          <w:szCs w:val="24"/>
        </w:rPr>
        <w:t xml:space="preserve">Не позднее </w:t>
      </w:r>
      <w:r w:rsidR="00847672" w:rsidRPr="00741C5B">
        <w:rPr>
          <w:rFonts w:ascii="Times New Roman" w:hAnsi="Times New Roman"/>
          <w:sz w:val="24"/>
          <w:szCs w:val="24"/>
        </w:rPr>
        <w:t>2</w:t>
      </w:r>
      <w:r w:rsidR="000A775D" w:rsidRPr="00741C5B">
        <w:rPr>
          <w:rFonts w:ascii="Times New Roman" w:hAnsi="Times New Roman"/>
          <w:sz w:val="24"/>
          <w:szCs w:val="24"/>
        </w:rPr>
        <w:t>0 (</w:t>
      </w:r>
      <w:r w:rsidR="00847672" w:rsidRPr="00741C5B">
        <w:rPr>
          <w:rFonts w:ascii="Times New Roman" w:hAnsi="Times New Roman"/>
          <w:sz w:val="24"/>
          <w:szCs w:val="24"/>
        </w:rPr>
        <w:t>двадцати</w:t>
      </w:r>
      <w:r w:rsidR="000A775D" w:rsidRPr="00741C5B">
        <w:rPr>
          <w:rFonts w:ascii="Times New Roman" w:hAnsi="Times New Roman"/>
          <w:sz w:val="24"/>
          <w:szCs w:val="24"/>
        </w:rPr>
        <w:t>) рабочих дней</w:t>
      </w:r>
      <w:r w:rsidR="003E7341" w:rsidRPr="00741C5B">
        <w:rPr>
          <w:rFonts w:ascii="Times New Roman" w:hAnsi="Times New Roman"/>
          <w:sz w:val="24"/>
          <w:szCs w:val="24"/>
        </w:rPr>
        <w:t xml:space="preserve">, </w:t>
      </w:r>
      <w:r w:rsidR="003E7341" w:rsidRPr="00231069">
        <w:rPr>
          <w:rFonts w:ascii="Times New Roman" w:hAnsi="Times New Roman"/>
          <w:sz w:val="24"/>
          <w:szCs w:val="24"/>
        </w:rPr>
        <w:t>а в декабре 5 (пяти) рабочих</w:t>
      </w:r>
      <w:r w:rsidR="003E7341" w:rsidRPr="00741C5B">
        <w:rPr>
          <w:rFonts w:ascii="Times New Roman" w:hAnsi="Times New Roman"/>
          <w:sz w:val="24"/>
          <w:szCs w:val="24"/>
        </w:rPr>
        <w:t xml:space="preserve"> дней</w:t>
      </w:r>
      <w:r w:rsidR="000A775D" w:rsidRPr="00741C5B">
        <w:rPr>
          <w:rFonts w:ascii="Times New Roman" w:hAnsi="Times New Roman"/>
          <w:sz w:val="24"/>
          <w:szCs w:val="24"/>
        </w:rPr>
        <w:t xml:space="preserve"> с даты оказания услуг и получения от Исполнителя документов, предусмотренных п. 4.1. настоящего Контракта, Заказчик осуществляет приемку услуг и оформление результатов такой приемки, в части соответствия количества, комплектности, объема требованиям, установленным Контрактом, либо оформляет мотивированный отказ от приемки с указанием причин такого отказа с перечнем выявленных недостатков, необходимых доработок и сроком их устранения.</w:t>
      </w:r>
    </w:p>
    <w:p w:rsidR="008255D9" w:rsidRPr="00741C5B" w:rsidRDefault="008255D9" w:rsidP="00825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741C5B">
        <w:rPr>
          <w:rFonts w:ascii="Times New Roman" w:hAnsi="Times New Roman"/>
          <w:sz w:val="24"/>
          <w:szCs w:val="24"/>
        </w:rPr>
        <w:t>4.2.1. По результатам приемки услуг ответственный представитель Заказчика, на основании документов, подтверждающих оказание услуг, формирует Акт приемки (ф. 0510452).</w:t>
      </w:r>
    </w:p>
    <w:p w:rsidR="008255D9" w:rsidRPr="00741C5B" w:rsidRDefault="008255D9" w:rsidP="00825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741C5B">
        <w:rPr>
          <w:rFonts w:ascii="Times New Roman" w:hAnsi="Times New Roman"/>
          <w:sz w:val="24"/>
          <w:szCs w:val="24"/>
        </w:rPr>
        <w:t xml:space="preserve">Акт приемки (ф. 0510452) подписывается ответственным лицом Заказчика, с помощью электронно-цифровой подписи (далее – ЭЦП) и направляется в адрес Исполнителя по информационно-телекоммуникационным сетям: на электронную почту: </w:t>
      </w:r>
      <w:r w:rsidRPr="00741C5B">
        <w:rPr>
          <w:rFonts w:ascii="Times New Roman" w:hAnsi="Times New Roman"/>
          <w:sz w:val="24"/>
          <w:szCs w:val="24"/>
        </w:rPr>
        <w:lastRenderedPageBreak/>
        <w:t xml:space="preserve">______________________ или с использованием системы электронного документооборота _______________________) для подписания ЭЦП со стороны Исполнителя. </w:t>
      </w:r>
    </w:p>
    <w:p w:rsidR="008255D9" w:rsidRPr="00AC171D" w:rsidRDefault="008255D9" w:rsidP="00825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C171D">
        <w:rPr>
          <w:rFonts w:ascii="Times New Roman" w:hAnsi="Times New Roman"/>
          <w:sz w:val="24"/>
          <w:szCs w:val="24"/>
        </w:rPr>
        <w:t xml:space="preserve">Подписанный ЭЦП Исполнителя Акт приёмки (ф. 0510452) направляется Исполнителем в адрес Заказчика по информационно-телекоммуникационным сетям: на электронную почту: </w:t>
      </w:r>
      <w:r w:rsidR="00002AAC" w:rsidRPr="00AC171D">
        <w:rPr>
          <w:rFonts w:ascii="Times New Roman" w:hAnsi="Times New Roman"/>
          <w:i/>
          <w:sz w:val="24"/>
          <w:szCs w:val="24"/>
          <w:lang w:val="en-US"/>
        </w:rPr>
        <w:t>Filial</w:t>
      </w:r>
      <w:r w:rsidR="00002AAC" w:rsidRPr="00AC171D">
        <w:rPr>
          <w:rFonts w:ascii="Times New Roman" w:hAnsi="Times New Roman"/>
          <w:i/>
          <w:sz w:val="24"/>
          <w:szCs w:val="24"/>
        </w:rPr>
        <w:t>_</w:t>
      </w:r>
      <w:proofErr w:type="spellStart"/>
      <w:r w:rsidR="00002AAC" w:rsidRPr="00AC171D">
        <w:rPr>
          <w:rFonts w:ascii="Times New Roman" w:hAnsi="Times New Roman"/>
          <w:i/>
          <w:sz w:val="24"/>
          <w:szCs w:val="24"/>
          <w:lang w:val="en-US"/>
        </w:rPr>
        <w:t>ck</w:t>
      </w:r>
      <w:proofErr w:type="spellEnd"/>
      <w:r w:rsidR="00002AAC" w:rsidRPr="00AC171D">
        <w:rPr>
          <w:rFonts w:ascii="Times New Roman" w:hAnsi="Times New Roman"/>
          <w:i/>
          <w:sz w:val="24"/>
          <w:szCs w:val="24"/>
        </w:rPr>
        <w:t>_</w:t>
      </w:r>
      <w:proofErr w:type="spellStart"/>
      <w:r w:rsidR="00002AAC" w:rsidRPr="00AC171D">
        <w:rPr>
          <w:rFonts w:ascii="Times New Roman" w:hAnsi="Times New Roman"/>
          <w:i/>
          <w:sz w:val="24"/>
          <w:szCs w:val="24"/>
          <w:lang w:val="en-US"/>
        </w:rPr>
        <w:t>yar</w:t>
      </w:r>
      <w:proofErr w:type="spellEnd"/>
      <w:r w:rsidR="00002AAC" w:rsidRPr="00AC171D">
        <w:rPr>
          <w:rFonts w:ascii="Times New Roman" w:hAnsi="Times New Roman"/>
          <w:i/>
          <w:sz w:val="24"/>
          <w:szCs w:val="24"/>
        </w:rPr>
        <w:t>@</w:t>
      </w:r>
      <w:r w:rsidR="00002AAC" w:rsidRPr="00AC171D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002AAC" w:rsidRPr="00AC171D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002AAC" w:rsidRPr="00AC171D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  <w:r w:rsidRPr="00AC171D">
        <w:rPr>
          <w:rFonts w:ascii="Times New Roman" w:hAnsi="Times New Roman"/>
          <w:sz w:val="24"/>
          <w:szCs w:val="24"/>
        </w:rPr>
        <w:t xml:space="preserve"> или с использованием системы электронного документооборота </w:t>
      </w:r>
      <w:r w:rsidR="00002AAC" w:rsidRPr="00AC171D">
        <w:rPr>
          <w:rFonts w:ascii="Times New Roman" w:hAnsi="Times New Roman"/>
          <w:sz w:val="24"/>
          <w:szCs w:val="24"/>
        </w:rPr>
        <w:t>СБИС</w:t>
      </w:r>
      <w:r w:rsidRPr="00AC171D">
        <w:rPr>
          <w:rFonts w:ascii="Times New Roman" w:hAnsi="Times New Roman"/>
          <w:sz w:val="24"/>
          <w:szCs w:val="24"/>
        </w:rPr>
        <w:t>), после чего Акт приемки (ф. 0510452) утверждается Заказчиком, в</w:t>
      </w:r>
      <w:r w:rsidR="006D4498" w:rsidRPr="00AC171D">
        <w:rPr>
          <w:rFonts w:ascii="Times New Roman" w:hAnsi="Times New Roman"/>
          <w:sz w:val="24"/>
          <w:szCs w:val="24"/>
        </w:rPr>
        <w:t> </w:t>
      </w:r>
      <w:r w:rsidRPr="00AC171D">
        <w:rPr>
          <w:rFonts w:ascii="Times New Roman" w:hAnsi="Times New Roman"/>
          <w:sz w:val="24"/>
          <w:szCs w:val="24"/>
        </w:rPr>
        <w:t xml:space="preserve">лице директора учреждения, либо заместителя директора, уполномоченным по доверенности, с использованием ЭЦП. </w:t>
      </w:r>
    </w:p>
    <w:p w:rsidR="008255D9" w:rsidRPr="00AC171D" w:rsidRDefault="008255D9" w:rsidP="00825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C171D">
        <w:rPr>
          <w:rFonts w:ascii="Times New Roman" w:hAnsi="Times New Roman"/>
          <w:sz w:val="24"/>
          <w:szCs w:val="24"/>
        </w:rPr>
        <w:t xml:space="preserve">Срок оформления, подписания и утверждения Акта приемки (ф. 0510452) не должен превышать </w:t>
      </w:r>
      <w:r w:rsidR="00847672" w:rsidRPr="00AC171D">
        <w:rPr>
          <w:rFonts w:ascii="Times New Roman" w:hAnsi="Times New Roman"/>
          <w:sz w:val="24"/>
          <w:szCs w:val="24"/>
        </w:rPr>
        <w:t>2</w:t>
      </w:r>
      <w:r w:rsidR="003E7341" w:rsidRPr="00AC171D">
        <w:rPr>
          <w:rFonts w:ascii="Times New Roman" w:hAnsi="Times New Roman"/>
          <w:sz w:val="24"/>
          <w:szCs w:val="24"/>
        </w:rPr>
        <w:t>0 (</w:t>
      </w:r>
      <w:r w:rsidR="00847672" w:rsidRPr="00AC171D">
        <w:rPr>
          <w:rFonts w:ascii="Times New Roman" w:hAnsi="Times New Roman"/>
          <w:sz w:val="24"/>
          <w:szCs w:val="24"/>
        </w:rPr>
        <w:t>двадца</w:t>
      </w:r>
      <w:r w:rsidR="003E7341" w:rsidRPr="00AC171D">
        <w:rPr>
          <w:rFonts w:ascii="Times New Roman" w:hAnsi="Times New Roman"/>
          <w:sz w:val="24"/>
          <w:szCs w:val="24"/>
        </w:rPr>
        <w:t>ти) рабочих дней, а в декабре 5 (пяти) рабочих дней с даты оказания услуг и получения от Исполнителя документов, предусмотренных п. 4.1. настоящего Контракта</w:t>
      </w:r>
      <w:r w:rsidRPr="00AC171D">
        <w:rPr>
          <w:rFonts w:ascii="Times New Roman" w:hAnsi="Times New Roman"/>
          <w:sz w:val="24"/>
          <w:szCs w:val="24"/>
        </w:rPr>
        <w:t>.</w:t>
      </w:r>
    </w:p>
    <w:p w:rsidR="008255D9" w:rsidRPr="00AC171D" w:rsidRDefault="008255D9" w:rsidP="00825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C171D">
        <w:rPr>
          <w:rFonts w:ascii="Times New Roman" w:hAnsi="Times New Roman"/>
          <w:sz w:val="24"/>
          <w:szCs w:val="24"/>
        </w:rPr>
        <w:t>При условии отсутствия у Исполнителя возможности подписания электронного документа, копия электронного документа Акт приемки (ф. 0510452), сформированная на бумажном носителе (далее электронный образ), подписывается собственноручно представителем Исполнителя и направляется в адрес Заказчика. Заказчик формирует электронный образ документа и утверждает ЭЦП.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4.3.</w:t>
      </w:r>
      <w:r w:rsidRPr="0049569F">
        <w:rPr>
          <w:rFonts w:ascii="Times New Roman" w:hAnsi="Times New Roman"/>
          <w:sz w:val="24"/>
          <w:szCs w:val="24"/>
        </w:rPr>
        <w:tab/>
      </w:r>
      <w:r w:rsidRPr="00AC171D">
        <w:rPr>
          <w:rFonts w:ascii="Times New Roman" w:hAnsi="Times New Roman"/>
          <w:sz w:val="24"/>
          <w:szCs w:val="24"/>
        </w:rPr>
        <w:t xml:space="preserve">Исполнитель в течение </w:t>
      </w:r>
      <w:r w:rsidR="00AC171D" w:rsidRPr="00AC171D">
        <w:rPr>
          <w:rFonts w:ascii="Times New Roman" w:hAnsi="Times New Roman"/>
          <w:sz w:val="24"/>
          <w:szCs w:val="24"/>
        </w:rPr>
        <w:t>5</w:t>
      </w:r>
      <w:r w:rsidRPr="00AC171D">
        <w:rPr>
          <w:rFonts w:ascii="Times New Roman" w:hAnsi="Times New Roman"/>
          <w:sz w:val="24"/>
          <w:szCs w:val="24"/>
        </w:rPr>
        <w:t xml:space="preserve"> (</w:t>
      </w:r>
      <w:r w:rsidR="00AC171D" w:rsidRPr="00AC171D">
        <w:rPr>
          <w:rFonts w:ascii="Times New Roman" w:hAnsi="Times New Roman"/>
          <w:sz w:val="24"/>
          <w:szCs w:val="24"/>
        </w:rPr>
        <w:t>Пяти</w:t>
      </w:r>
      <w:r w:rsidRPr="00AC171D">
        <w:rPr>
          <w:rFonts w:ascii="Times New Roman" w:hAnsi="Times New Roman"/>
          <w:sz w:val="24"/>
          <w:szCs w:val="24"/>
        </w:rPr>
        <w:t>) рабочих</w:t>
      </w:r>
      <w:r w:rsidRPr="0049569F">
        <w:rPr>
          <w:rFonts w:ascii="Times New Roman" w:hAnsi="Times New Roman"/>
          <w:sz w:val="24"/>
          <w:szCs w:val="24"/>
        </w:rPr>
        <w:t xml:space="preserve"> дней с даты получения мотивированного отказа от принятия результатов услуг обязан за свой счет устранить недостатки.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4.4.</w:t>
      </w:r>
      <w:r w:rsidRPr="0049569F">
        <w:rPr>
          <w:rFonts w:ascii="Times New Roman" w:hAnsi="Times New Roman"/>
          <w:sz w:val="24"/>
          <w:szCs w:val="24"/>
        </w:rPr>
        <w:tab/>
        <w:t>Подписанный Заказчиком и Исполнителем Акт сдачи-приемки оказанных услуг и выставленный Исполнителем Заказчику счет на оплату являются основанием для оплаты Исполнителю оказанных услуг.</w:t>
      </w:r>
    </w:p>
    <w:p w:rsidR="000E2C20" w:rsidRPr="0049569F" w:rsidRDefault="000E2C20" w:rsidP="0049569F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4.5.</w:t>
      </w:r>
      <w:r w:rsidRPr="0049569F">
        <w:rPr>
          <w:rFonts w:ascii="Times New Roman" w:hAnsi="Times New Roman"/>
          <w:sz w:val="24"/>
          <w:szCs w:val="24"/>
        </w:rPr>
        <w:tab/>
        <w:t xml:space="preserve">Для проверки предоставленных Исполнителем результатов, предусмотренных настоящим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ом, в части их соответствия условиям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а Заказчик обязан провести экспертизу. Экспертиза результатов, предусмотренных настоящим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ом, проводится Заказчиком своими силами.</w:t>
      </w:r>
    </w:p>
    <w:p w:rsidR="000E2C20" w:rsidRPr="0049569F" w:rsidRDefault="000E2C20" w:rsidP="0049569F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4.6.</w:t>
      </w:r>
      <w:r w:rsidRPr="0049569F">
        <w:rPr>
          <w:rFonts w:ascii="Times New Roman" w:hAnsi="Times New Roman"/>
          <w:sz w:val="24"/>
          <w:szCs w:val="24"/>
        </w:rPr>
        <w:tab/>
        <w:t xml:space="preserve">Исполнитель вправе по согласованию с Заказчиком оказать услугу, качество, технические и функциональные характеристики (потребительские свойства) которой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е.</w:t>
      </w:r>
    </w:p>
    <w:p w:rsidR="000E2C20" w:rsidRPr="0049569F" w:rsidRDefault="000E2C20" w:rsidP="00EA5D69">
      <w:pPr>
        <w:pStyle w:val="ad"/>
        <w:ind w:right="-2"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</w:rPr>
      </w:pPr>
      <w:r w:rsidRPr="0049569F">
        <w:rPr>
          <w:rFonts w:ascii="Times New Roman" w:hAnsi="Times New Roman"/>
          <w:b/>
          <w:sz w:val="24"/>
          <w:szCs w:val="24"/>
        </w:rPr>
        <w:t>5. Конфиденциальность</w:t>
      </w:r>
    </w:p>
    <w:p w:rsidR="000E2C20" w:rsidRPr="0049569F" w:rsidRDefault="000E2C20" w:rsidP="0049569F">
      <w:pPr>
        <w:snapToGri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5.1. Передача конфиденциальной информации третьим лицам, опубликование или иное разглашение такой информации может осуществляться одной стороной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а только с письменного согласия другой стороны, независимо от причины прекращения действия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5.2. Исполнитель имеет право на передачу информации государственным органам, имеющим право ее затребовать в соответствии с законодательством Российской Федерации, с последующим уведомлением Заказчика об этом.</w:t>
      </w:r>
    </w:p>
    <w:p w:rsidR="000E2C20" w:rsidRPr="0049569F" w:rsidRDefault="000E2C20" w:rsidP="0049569F">
      <w:pPr>
        <w:widowControl w:val="0"/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2C20" w:rsidRPr="0049569F" w:rsidRDefault="000E2C20" w:rsidP="0049569F">
      <w:pPr>
        <w:widowControl w:val="0"/>
        <w:tabs>
          <w:tab w:val="left" w:pos="284"/>
          <w:tab w:val="left" w:pos="851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569F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49569F">
        <w:rPr>
          <w:rFonts w:ascii="Times New Roman" w:hAnsi="Times New Roman"/>
          <w:b/>
          <w:color w:val="000000"/>
          <w:sz w:val="24"/>
          <w:szCs w:val="24"/>
        </w:rPr>
        <w:tab/>
        <w:t>Ответственность сторон</w:t>
      </w:r>
    </w:p>
    <w:p w:rsidR="000E2C20" w:rsidRPr="0049569F" w:rsidRDefault="000E2C20" w:rsidP="0049569F">
      <w:pPr>
        <w:pStyle w:val="a4"/>
        <w:tabs>
          <w:tab w:val="left" w:pos="0"/>
        </w:tabs>
        <w:ind w:right="-2" w:firstLine="567"/>
        <w:rPr>
          <w:rFonts w:ascii="Times New Roman" w:hAnsi="Times New Roman"/>
        </w:rPr>
      </w:pPr>
      <w:r w:rsidRPr="0049569F">
        <w:rPr>
          <w:rFonts w:ascii="Times New Roman" w:hAnsi="Times New Roman"/>
        </w:rPr>
        <w:t xml:space="preserve">6.1. Стороны несут ответственность за точное и надлежащее исполнение принятых на себя обязательств по настоящему </w:t>
      </w:r>
      <w:r w:rsidR="00B64968">
        <w:rPr>
          <w:rFonts w:ascii="Times New Roman" w:hAnsi="Times New Roman"/>
        </w:rPr>
        <w:t>Контракт</w:t>
      </w:r>
      <w:r w:rsidRPr="0049569F">
        <w:rPr>
          <w:rFonts w:ascii="Times New Roman" w:hAnsi="Times New Roman"/>
        </w:rPr>
        <w:t>у в соответствии с действующим законодательством РФ, Федеральным законом № 44-ФЗ,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0E2C20" w:rsidRPr="0049569F" w:rsidRDefault="000E2C20" w:rsidP="0049569F">
      <w:pPr>
        <w:pStyle w:val="a4"/>
        <w:tabs>
          <w:tab w:val="left" w:pos="0"/>
        </w:tabs>
        <w:ind w:right="-2" w:firstLine="567"/>
        <w:rPr>
          <w:rFonts w:ascii="Times New Roman" w:hAnsi="Times New Roman"/>
        </w:rPr>
      </w:pPr>
      <w:r w:rsidRPr="0049569F">
        <w:rPr>
          <w:rFonts w:ascii="Times New Roman" w:hAnsi="Times New Roman"/>
        </w:rPr>
        <w:t xml:space="preserve">6.2. В случае просрочки исполнения Заказчиком обязательств, предусмотренных </w:t>
      </w:r>
      <w:r w:rsidR="00B64968">
        <w:rPr>
          <w:rFonts w:ascii="Times New Roman" w:hAnsi="Times New Roman"/>
        </w:rPr>
        <w:t>Контракт</w:t>
      </w:r>
      <w:r w:rsidRPr="0049569F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64968">
        <w:rPr>
          <w:rFonts w:ascii="Times New Roman" w:hAnsi="Times New Roman"/>
        </w:rPr>
        <w:t>Контракт</w:t>
      </w:r>
      <w:r w:rsidRPr="0049569F">
        <w:rPr>
          <w:rFonts w:ascii="Times New Roman" w:hAnsi="Times New Roman"/>
        </w:rPr>
        <w:t xml:space="preserve">ом, Исполнитель вправе потребовать уплаты неустоек (штрафов, пеней). </w:t>
      </w:r>
    </w:p>
    <w:p w:rsidR="000E2C20" w:rsidRPr="0049569F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Заказчиком обязательства, предусмотренного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в размере одной трехсотой </w:t>
      </w:r>
      <w:r w:rsidRPr="0049569F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действующей на дату уплаты пеней ключевой ставки Центрального банка Российской Федерации от не уплаченной в срок суммы. </w:t>
      </w:r>
    </w:p>
    <w:p w:rsidR="000E2C20" w:rsidRPr="0049569F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6.3. Штрафы начисляются за ненадлежащее исполнение Заказчиком обязательств, предусмотренных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обязательств. </w:t>
      </w:r>
    </w:p>
    <w:p w:rsidR="000E2C20" w:rsidRPr="0049569F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Размер штрафа устанавливается настоящим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 в </w:t>
      </w:r>
      <w:hyperlink r:id="rId5" w:history="1">
        <w:r w:rsidRPr="0049569F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Pr="0049569F">
        <w:rPr>
          <w:rFonts w:ascii="Times New Roman" w:hAnsi="Times New Roman" w:cs="Times New Roman"/>
          <w:sz w:val="24"/>
          <w:szCs w:val="24"/>
        </w:rPr>
        <w:t xml:space="preserve">, установленном Правительством Российской Федерации и составляет </w:t>
      </w:r>
      <w:r w:rsidRPr="0049569F">
        <w:rPr>
          <w:rFonts w:ascii="Times New Roman" w:hAnsi="Times New Roman" w:cs="Times New Roman"/>
          <w:b/>
          <w:sz w:val="24"/>
          <w:szCs w:val="24"/>
        </w:rPr>
        <w:t>1000 (Одна тысяча) рублей 00 копеек</w:t>
      </w:r>
      <w:r w:rsidRPr="0049569F">
        <w:rPr>
          <w:rFonts w:ascii="Times New Roman" w:hAnsi="Times New Roman" w:cs="Times New Roman"/>
          <w:sz w:val="24"/>
          <w:szCs w:val="24"/>
        </w:rPr>
        <w:t>.</w:t>
      </w:r>
    </w:p>
    <w:p w:rsidR="000E2C20" w:rsidRPr="0049569F" w:rsidRDefault="00873B72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>6.4. Общая сумма начисленных штрафов</w:t>
      </w:r>
      <w:r w:rsidR="000E2C20" w:rsidRPr="0049569F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Заказчиком обязательств, предусмотренных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 w:cs="Times New Roman"/>
          <w:sz w:val="24"/>
          <w:szCs w:val="24"/>
        </w:rPr>
        <w:t>а.</w:t>
      </w:r>
    </w:p>
    <w:p w:rsidR="000E2C20" w:rsidRPr="0049569F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6.5. В случае просрочки исполнения Исполнителем обязательств (в том числе гарантийного обязательства), предусмотренных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ом, Заказчик направляет Исполнителю требование об уплате неустоек (штрафов, пеней). </w:t>
      </w:r>
    </w:p>
    <w:p w:rsidR="000E2C20" w:rsidRPr="00B4347E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6.6. Пеня начисляется за каждый день просрочки исполнения Исполнителем  обязательства, предусмотренного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 xml:space="preserve">а (отдельного этапа исполнения 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исполнения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0E2C20" w:rsidRPr="00B4347E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47E">
        <w:rPr>
          <w:rFonts w:ascii="Times New Roman" w:hAnsi="Times New Roman" w:cs="Times New Roman"/>
          <w:sz w:val="24"/>
          <w:szCs w:val="24"/>
        </w:rPr>
        <w:t xml:space="preserve">6.7. Штрафы начисляются за неисполнение или ненадлежащее исполнение Исполнителем обязательств, предусмотренных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0E2C20" w:rsidRPr="00B4347E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47E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 xml:space="preserve">ом штраф устанавливается в размере – 10 (Десять) процентов цены </w:t>
      </w:r>
      <w:r w:rsidR="00B64968" w:rsidRPr="00B4347E">
        <w:rPr>
          <w:rFonts w:ascii="Times New Roman" w:hAnsi="Times New Roman" w:cs="Times New Roman"/>
          <w:sz w:val="24"/>
          <w:szCs w:val="24"/>
        </w:rPr>
        <w:t>Контракт</w:t>
      </w:r>
      <w:r w:rsidRPr="00B4347E">
        <w:rPr>
          <w:rFonts w:ascii="Times New Roman" w:hAnsi="Times New Roman" w:cs="Times New Roman"/>
          <w:sz w:val="24"/>
          <w:szCs w:val="24"/>
        </w:rPr>
        <w:t>а (этапа).</w:t>
      </w:r>
    </w:p>
    <w:p w:rsidR="000E2C20" w:rsidRPr="00B4347E" w:rsidRDefault="000E2C20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6.8. За каждый факт неисполнения или ненадлежащего исполнения Исполнителем обязательства, предусмотренного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Pr="0049569F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</w:t>
      </w:r>
      <w:r w:rsidRPr="00B4347E">
        <w:rPr>
          <w:rFonts w:ascii="Times New Roman" w:hAnsi="Times New Roman" w:cs="Times New Roman"/>
          <w:sz w:val="24"/>
          <w:szCs w:val="24"/>
        </w:rPr>
        <w:t>штраф устанавливается в размере 1000 (Одна тысяча) рублей 00 копеек.</w:t>
      </w:r>
    </w:p>
    <w:p w:rsidR="000E2C20" w:rsidRPr="0049569F" w:rsidRDefault="00873B72" w:rsidP="0049569F">
      <w:pPr>
        <w:pStyle w:val="ConsPlusNormal"/>
        <w:tabs>
          <w:tab w:val="left" w:pos="0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9F">
        <w:rPr>
          <w:rFonts w:ascii="Times New Roman" w:hAnsi="Times New Roman" w:cs="Times New Roman"/>
          <w:sz w:val="24"/>
          <w:szCs w:val="24"/>
        </w:rPr>
        <w:t xml:space="preserve">6.9. Общая сумма начисленных штрафов </w:t>
      </w:r>
      <w:r w:rsidR="000E2C20" w:rsidRPr="0049569F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Исполнителем обязательств, предусмотренных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B64968">
        <w:rPr>
          <w:rFonts w:ascii="Times New Roman" w:hAnsi="Times New Roman" w:cs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 w:cs="Times New Roman"/>
          <w:sz w:val="24"/>
          <w:szCs w:val="24"/>
        </w:rPr>
        <w:t>а.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6.10. Под ненадлежащим исполнением Исполнителем обязательств понимается оказание услуг, не соответствующих требованиям к качеству, объему оказанных услуг, установленных настоящим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ом.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0E2C20" w:rsidRPr="0049569F" w:rsidRDefault="000E2C20" w:rsidP="0049569F">
      <w:pPr>
        <w:pStyle w:val="af2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ind w:left="0" w:right="-2" w:firstLine="567"/>
        <w:jc w:val="both"/>
        <w:rPr>
          <w:b/>
        </w:rPr>
      </w:pPr>
      <w:r w:rsidRPr="0049569F">
        <w:rPr>
          <w:lang w:val="ru-RU"/>
        </w:rPr>
        <w:t>6</w:t>
      </w:r>
      <w:r w:rsidRPr="0049569F">
        <w:t xml:space="preserve">.12. Право на взыскание неустоек (штрафов, пеней) по настоящему </w:t>
      </w:r>
      <w:r w:rsidR="00B64968">
        <w:t>Контракт</w:t>
      </w:r>
      <w:r w:rsidRPr="0049569F">
        <w:t>у подтверждается письменно, посредством направления требования об уплате неустоек (штрафов, пеней).</w:t>
      </w:r>
    </w:p>
    <w:p w:rsidR="000E2C20" w:rsidRPr="0049569F" w:rsidRDefault="000E2C20" w:rsidP="00B4347E">
      <w:pPr>
        <w:pStyle w:val="af2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ind w:left="0" w:firstLine="567"/>
        <w:jc w:val="both"/>
      </w:pPr>
      <w:r w:rsidRPr="0049569F">
        <w:rPr>
          <w:lang w:val="ru-RU"/>
        </w:rPr>
        <w:t>6</w:t>
      </w:r>
      <w:r w:rsidRPr="0049569F">
        <w:t xml:space="preserve">.13. Оплата неустойки (пени) не освобождает Стороны от исполнения принятых на себя обязательств по настоящему </w:t>
      </w:r>
      <w:r w:rsidR="00B64968">
        <w:t>Контракт</w:t>
      </w:r>
      <w:r w:rsidRPr="0049569F">
        <w:t>у.</w:t>
      </w:r>
    </w:p>
    <w:p w:rsidR="00920A14" w:rsidRPr="0049569F" w:rsidRDefault="00920A14" w:rsidP="00B4347E">
      <w:pPr>
        <w:tabs>
          <w:tab w:val="left" w:pos="0"/>
          <w:tab w:val="num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           6.14. </w:t>
      </w:r>
      <w:r w:rsidRPr="0049569F">
        <w:rPr>
          <w:rFonts w:ascii="Times New Roman" w:hAnsi="Times New Roman"/>
          <w:color w:val="000000"/>
          <w:sz w:val="24"/>
          <w:szCs w:val="24"/>
        </w:rPr>
        <w:t>В случаях и в порядке, которые определены Правительством Российской Федерации, Заказчик осуществляет списание начисленных сумм неустоек (штрафов, пеней).</w:t>
      </w:r>
    </w:p>
    <w:p w:rsidR="000E2C20" w:rsidRPr="0049569F" w:rsidRDefault="000E2C20" w:rsidP="0049569F">
      <w:pPr>
        <w:widowControl w:val="0"/>
        <w:numPr>
          <w:ilvl w:val="12"/>
          <w:numId w:val="0"/>
        </w:num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E2C20" w:rsidRPr="0049569F" w:rsidRDefault="000E2C20" w:rsidP="0049569F">
      <w:pPr>
        <w:widowControl w:val="0"/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569F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49569F">
        <w:rPr>
          <w:rFonts w:ascii="Times New Roman" w:hAnsi="Times New Roman"/>
          <w:b/>
          <w:color w:val="000000"/>
          <w:sz w:val="24"/>
          <w:szCs w:val="24"/>
        </w:rPr>
        <w:tab/>
        <w:t xml:space="preserve">Срок действия, порядок изменения и расторжения </w:t>
      </w:r>
      <w:r w:rsidR="00B64968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49569F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0E2C20" w:rsidRPr="0049569F" w:rsidRDefault="000E2C20" w:rsidP="0049569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69F">
        <w:rPr>
          <w:rFonts w:ascii="Times New Roman" w:hAnsi="Times New Roman"/>
          <w:color w:val="000000"/>
          <w:sz w:val="24"/>
          <w:szCs w:val="24"/>
        </w:rPr>
        <w:t>7.1.</w:t>
      </w:r>
      <w:r w:rsidRPr="0049569F">
        <w:rPr>
          <w:rFonts w:ascii="Times New Roman" w:hAnsi="Times New Roman"/>
          <w:color w:val="000000"/>
          <w:sz w:val="24"/>
          <w:szCs w:val="24"/>
        </w:rPr>
        <w:tab/>
        <w:t xml:space="preserve">Настоящий </w:t>
      </w:r>
      <w:r w:rsidR="00B64968">
        <w:rPr>
          <w:rFonts w:ascii="Times New Roman" w:hAnsi="Times New Roman"/>
          <w:color w:val="000000"/>
          <w:sz w:val="24"/>
          <w:szCs w:val="24"/>
        </w:rPr>
        <w:t>Контракт</w:t>
      </w:r>
      <w:r w:rsidRPr="0049569F">
        <w:rPr>
          <w:rFonts w:ascii="Times New Roman" w:hAnsi="Times New Roman"/>
          <w:color w:val="000000"/>
          <w:sz w:val="24"/>
          <w:szCs w:val="24"/>
        </w:rPr>
        <w:t xml:space="preserve"> вступает в силу с даты подписания обеими Сторонами и действует </w:t>
      </w:r>
      <w:r w:rsidR="00B4347E" w:rsidRPr="00AC171D">
        <w:rPr>
          <w:rFonts w:ascii="Times New Roman" w:hAnsi="Times New Roman"/>
          <w:color w:val="000000"/>
          <w:sz w:val="24"/>
          <w:szCs w:val="24"/>
        </w:rPr>
        <w:t>п</w:t>
      </w:r>
      <w:r w:rsidRPr="00AC171D">
        <w:rPr>
          <w:rFonts w:ascii="Times New Roman" w:hAnsi="Times New Roman"/>
          <w:color w:val="000000"/>
          <w:sz w:val="24"/>
          <w:szCs w:val="24"/>
        </w:rPr>
        <w:t>о «</w:t>
      </w:r>
      <w:r w:rsidR="00D547E0">
        <w:rPr>
          <w:rFonts w:ascii="Times New Roman" w:hAnsi="Times New Roman"/>
          <w:color w:val="000000"/>
          <w:sz w:val="24"/>
          <w:szCs w:val="24"/>
        </w:rPr>
        <w:t>30</w:t>
      </w:r>
      <w:r w:rsidRPr="00AC171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547E0">
        <w:rPr>
          <w:rFonts w:ascii="Times New Roman" w:hAnsi="Times New Roman"/>
          <w:color w:val="000000"/>
          <w:sz w:val="24"/>
          <w:szCs w:val="24"/>
        </w:rPr>
        <w:t>декабря</w:t>
      </w:r>
      <w:r w:rsidRPr="00AC171D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B47952">
        <w:rPr>
          <w:rFonts w:ascii="Times New Roman" w:hAnsi="Times New Roman"/>
          <w:color w:val="000000"/>
          <w:sz w:val="24"/>
          <w:szCs w:val="24"/>
        </w:rPr>
        <w:t>26</w:t>
      </w:r>
      <w:r w:rsidRPr="00AC171D">
        <w:rPr>
          <w:rFonts w:ascii="Times New Roman" w:hAnsi="Times New Roman"/>
          <w:color w:val="000000"/>
          <w:sz w:val="24"/>
          <w:szCs w:val="24"/>
        </w:rPr>
        <w:t>г</w:t>
      </w:r>
      <w:r w:rsidRPr="00AC171D">
        <w:rPr>
          <w:rFonts w:ascii="Times New Roman" w:hAnsi="Times New Roman"/>
          <w:sz w:val="24"/>
          <w:szCs w:val="24"/>
        </w:rPr>
        <w:t>.</w:t>
      </w:r>
    </w:p>
    <w:p w:rsidR="000E2C20" w:rsidRPr="0049569F" w:rsidRDefault="000E2C20" w:rsidP="0049569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69F">
        <w:rPr>
          <w:rFonts w:ascii="Times New Roman" w:hAnsi="Times New Roman"/>
          <w:color w:val="000000"/>
          <w:sz w:val="24"/>
          <w:szCs w:val="24"/>
        </w:rPr>
        <w:t xml:space="preserve">7.2. </w:t>
      </w:r>
      <w:r w:rsidRPr="0049569F">
        <w:rPr>
          <w:rFonts w:ascii="Times New Roman" w:hAnsi="Times New Roman"/>
          <w:sz w:val="24"/>
          <w:szCs w:val="24"/>
        </w:rPr>
        <w:t xml:space="preserve">При заключении и исполнении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изменение его существенных условий не допускается, за исключением случаев, предусмотренных Федеральн</w:t>
      </w:r>
      <w:r w:rsidR="00AB1767">
        <w:rPr>
          <w:rFonts w:ascii="Times New Roman" w:hAnsi="Times New Roman"/>
          <w:sz w:val="24"/>
          <w:szCs w:val="24"/>
        </w:rPr>
        <w:t xml:space="preserve">ым </w:t>
      </w:r>
      <w:r w:rsidRPr="0049569F">
        <w:rPr>
          <w:rFonts w:ascii="Times New Roman" w:hAnsi="Times New Roman"/>
          <w:sz w:val="24"/>
          <w:szCs w:val="24"/>
        </w:rPr>
        <w:t>закон</w:t>
      </w:r>
      <w:r w:rsidR="00AB1767">
        <w:rPr>
          <w:rFonts w:ascii="Times New Roman" w:hAnsi="Times New Roman"/>
          <w:sz w:val="24"/>
          <w:szCs w:val="24"/>
        </w:rPr>
        <w:t>ом</w:t>
      </w:r>
      <w:r w:rsidRPr="0049569F">
        <w:rPr>
          <w:rFonts w:ascii="Times New Roman" w:hAnsi="Times New Roman"/>
          <w:sz w:val="24"/>
          <w:szCs w:val="24"/>
        </w:rPr>
        <w:t xml:space="preserve"> №</w:t>
      </w:r>
      <w:r w:rsidR="00B4347E">
        <w:rPr>
          <w:rFonts w:ascii="Times New Roman" w:hAnsi="Times New Roman"/>
          <w:sz w:val="24"/>
          <w:szCs w:val="24"/>
        </w:rPr>
        <w:t> </w:t>
      </w:r>
      <w:r w:rsidRPr="0049569F">
        <w:rPr>
          <w:rFonts w:ascii="Times New Roman" w:hAnsi="Times New Roman"/>
          <w:sz w:val="24"/>
          <w:szCs w:val="24"/>
        </w:rPr>
        <w:t>44-ФЗ.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lastRenderedPageBreak/>
        <w:t xml:space="preserve">7.3. Расторжение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в соответствии с гражданским законодательством Российской Федерации.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7.4. При расторжении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а по обоюдному согласию Стороны определяют и производят взаиморасчеты по возмещению фактически понесенных затрат и прямых убытков по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7.5. Расторжение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в одностороннем порядке осуществляется в соответ</w:t>
      </w:r>
      <w:r w:rsidR="00920A14" w:rsidRPr="0049569F">
        <w:rPr>
          <w:rFonts w:ascii="Times New Roman" w:hAnsi="Times New Roman"/>
          <w:sz w:val="24"/>
          <w:szCs w:val="24"/>
        </w:rPr>
        <w:t>ствии с требованиями частей 8-23</w:t>
      </w:r>
      <w:r w:rsidRPr="0049569F">
        <w:rPr>
          <w:rFonts w:ascii="Times New Roman" w:hAnsi="Times New Roman"/>
          <w:sz w:val="24"/>
          <w:szCs w:val="24"/>
        </w:rPr>
        <w:t xml:space="preserve"> статьи 95 Федерального закона.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7.6. Заказчик вправе принять решение об одностороннем отказе от исполнения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только в случаях, предусмотренных Гражданским кодексом Российской Федерации (далее - ГК РФ) для одностороннего отказа от исполнения отдельных видов обязательств при условии оплаты Исполнителю фактически понесенных им расходов.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shd w:val="clear" w:color="auto" w:fill="FFFFFF"/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569F">
        <w:rPr>
          <w:rFonts w:ascii="Times New Roman" w:hAnsi="Times New Roman"/>
          <w:b/>
          <w:color w:val="000000"/>
          <w:sz w:val="24"/>
          <w:szCs w:val="24"/>
        </w:rPr>
        <w:t>8. Порядок разрешения споров</w:t>
      </w:r>
    </w:p>
    <w:p w:rsidR="000E2C20" w:rsidRPr="0049569F" w:rsidRDefault="000E2C20" w:rsidP="0049569F">
      <w:pPr>
        <w:pStyle w:val="ConsNormal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8.1. Все споры, возникающие при исполнении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а, решают</w:t>
      </w:r>
      <w:r w:rsidR="00ED0033">
        <w:rPr>
          <w:rFonts w:ascii="Times New Roman" w:hAnsi="Times New Roman"/>
          <w:sz w:val="24"/>
          <w:szCs w:val="24"/>
        </w:rPr>
        <w:t>ся сторонами путем переговоров</w:t>
      </w:r>
      <w:r w:rsidRPr="0049569F">
        <w:rPr>
          <w:rFonts w:ascii="Times New Roman" w:hAnsi="Times New Roman"/>
          <w:sz w:val="24"/>
          <w:szCs w:val="24"/>
        </w:rPr>
        <w:t>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8.2. Все споры или разногласия, возникающие между Сторонами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 или в связи с ним, неурегулированные путем переговоров, разрешаются Сторонами в соответствии с законодательством Российской Федерации, в том числе в претензионном п</w:t>
      </w:r>
      <w:r w:rsidRPr="0049569F">
        <w:rPr>
          <w:rFonts w:ascii="Times New Roman" w:hAnsi="Times New Roman"/>
          <w:sz w:val="24"/>
          <w:szCs w:val="24"/>
        </w:rPr>
        <w:t>о</w:t>
      </w:r>
      <w:r w:rsidRPr="0049569F">
        <w:rPr>
          <w:rFonts w:ascii="Times New Roman" w:hAnsi="Times New Roman"/>
          <w:sz w:val="24"/>
          <w:szCs w:val="24"/>
        </w:rPr>
        <w:t>рядке.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8.3. Претензия оформляется в письменной форме, с указанием на допущенные при испо</w:t>
      </w:r>
      <w:r w:rsidRPr="0049569F">
        <w:rPr>
          <w:rFonts w:ascii="Times New Roman" w:hAnsi="Times New Roman"/>
          <w:sz w:val="24"/>
          <w:szCs w:val="24"/>
        </w:rPr>
        <w:t>л</w:t>
      </w:r>
      <w:r w:rsidRPr="0049569F">
        <w:rPr>
          <w:rFonts w:ascii="Times New Roman" w:hAnsi="Times New Roman"/>
          <w:sz w:val="24"/>
          <w:szCs w:val="24"/>
        </w:rPr>
        <w:t xml:space="preserve">нении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нарушения обязательств другой Стороной со ссылкой на соответс</w:t>
      </w:r>
      <w:r w:rsidRPr="0049569F">
        <w:rPr>
          <w:rFonts w:ascii="Times New Roman" w:hAnsi="Times New Roman"/>
          <w:sz w:val="24"/>
          <w:szCs w:val="24"/>
        </w:rPr>
        <w:t>т</w:t>
      </w:r>
      <w:r w:rsidRPr="0049569F">
        <w:rPr>
          <w:rFonts w:ascii="Times New Roman" w:hAnsi="Times New Roman"/>
          <w:sz w:val="24"/>
          <w:szCs w:val="24"/>
        </w:rPr>
        <w:t xml:space="preserve">вующие нормы законодательства Российской Федерации, положения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 или его прилож</w:t>
      </w:r>
      <w:r w:rsidRPr="0049569F">
        <w:rPr>
          <w:rFonts w:ascii="Times New Roman" w:hAnsi="Times New Roman"/>
          <w:sz w:val="24"/>
          <w:szCs w:val="24"/>
        </w:rPr>
        <w:t>е</w:t>
      </w:r>
      <w:r w:rsidRPr="0049569F">
        <w:rPr>
          <w:rFonts w:ascii="Times New Roman" w:hAnsi="Times New Roman"/>
          <w:sz w:val="24"/>
          <w:szCs w:val="24"/>
        </w:rPr>
        <w:t>ний, стоимостную оценку убытков, а также действия, которые должны быть произведены Стор</w:t>
      </w:r>
      <w:r w:rsidRPr="0049569F">
        <w:rPr>
          <w:rFonts w:ascii="Times New Roman" w:hAnsi="Times New Roman"/>
          <w:sz w:val="24"/>
          <w:szCs w:val="24"/>
        </w:rPr>
        <w:t>о</w:t>
      </w:r>
      <w:r w:rsidRPr="0049569F">
        <w:rPr>
          <w:rFonts w:ascii="Times New Roman" w:hAnsi="Times New Roman"/>
          <w:sz w:val="24"/>
          <w:szCs w:val="24"/>
        </w:rPr>
        <w:t>ной для устранения нарушений.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8.4. Срок рассмотрения претензии не может превышать 5 (Пять) дней с даты ее получ</w:t>
      </w:r>
      <w:r w:rsidRPr="0049569F">
        <w:rPr>
          <w:rFonts w:ascii="Times New Roman" w:hAnsi="Times New Roman"/>
          <w:sz w:val="24"/>
          <w:szCs w:val="24"/>
        </w:rPr>
        <w:t>е</w:t>
      </w:r>
      <w:r w:rsidRPr="0049569F">
        <w:rPr>
          <w:rFonts w:ascii="Times New Roman" w:hAnsi="Times New Roman"/>
          <w:sz w:val="24"/>
          <w:szCs w:val="24"/>
        </w:rPr>
        <w:t xml:space="preserve">ния Стороной. 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8.5. В случае если спор между Сторонами не будет урегулирован в досудебном порядке, он п</w:t>
      </w:r>
      <w:r w:rsidRPr="0049569F">
        <w:rPr>
          <w:rFonts w:ascii="Times New Roman" w:hAnsi="Times New Roman"/>
          <w:sz w:val="24"/>
          <w:szCs w:val="24"/>
        </w:rPr>
        <w:t>е</w:t>
      </w:r>
      <w:r w:rsidRPr="0049569F">
        <w:rPr>
          <w:rFonts w:ascii="Times New Roman" w:hAnsi="Times New Roman"/>
          <w:sz w:val="24"/>
          <w:szCs w:val="24"/>
        </w:rPr>
        <w:t>редается на рассмотрение в Арбитражный суд города Москвы.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569F">
        <w:rPr>
          <w:rFonts w:ascii="Times New Roman" w:hAnsi="Times New Roman"/>
          <w:b/>
          <w:sz w:val="24"/>
          <w:szCs w:val="24"/>
        </w:rPr>
        <w:t>9</w:t>
      </w:r>
      <w:r w:rsidRPr="0049569F">
        <w:rPr>
          <w:rFonts w:ascii="Times New Roman" w:hAnsi="Times New Roman"/>
          <w:b/>
          <w:sz w:val="24"/>
          <w:szCs w:val="24"/>
          <w:lang w:val="ru-RU"/>
        </w:rPr>
        <w:t>. Обстоятельства непреодолимой силы</w:t>
      </w:r>
    </w:p>
    <w:p w:rsidR="000E2C20" w:rsidRPr="0049569F" w:rsidRDefault="000E2C20" w:rsidP="0049569F">
      <w:pPr>
        <w:pStyle w:val="ConsNormal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9.1. 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 власти</w:t>
      </w:r>
      <w:r w:rsidR="00B4347E">
        <w:rPr>
          <w:rFonts w:ascii="Times New Roman" w:hAnsi="Times New Roman"/>
          <w:sz w:val="24"/>
          <w:szCs w:val="24"/>
        </w:rPr>
        <w:t>, террористическими актами</w:t>
      </w:r>
      <w:r w:rsidRPr="0049569F">
        <w:rPr>
          <w:rFonts w:ascii="Times New Roman" w:hAnsi="Times New Roman"/>
          <w:sz w:val="24"/>
          <w:szCs w:val="24"/>
        </w:rPr>
        <w:t>,</w:t>
      </w:r>
      <w:r w:rsidR="00B4347E">
        <w:rPr>
          <w:rFonts w:ascii="Times New Roman" w:hAnsi="Times New Roman"/>
          <w:sz w:val="24"/>
          <w:szCs w:val="24"/>
        </w:rPr>
        <w:t xml:space="preserve"> военными действиями,</w:t>
      </w:r>
      <w:r w:rsidRPr="0049569F">
        <w:rPr>
          <w:rFonts w:ascii="Times New Roman" w:hAnsi="Times New Roman"/>
          <w:sz w:val="24"/>
          <w:szCs w:val="24"/>
        </w:rPr>
        <w:t xml:space="preserve"> влияющих на исполнение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а.</w:t>
      </w:r>
    </w:p>
    <w:p w:rsidR="000E2C20" w:rsidRPr="0049569F" w:rsidRDefault="000E2C20" w:rsidP="0049569F">
      <w:pPr>
        <w:pStyle w:val="ConsNormal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9.2. Свидетельство, выданное соответствующими компетентными органами или торгово-промышленной палатой, является достаточным подтверждением наличия и продолжительности действия обстоятельств непреодолимой силы.</w:t>
      </w:r>
    </w:p>
    <w:p w:rsidR="000E2C20" w:rsidRPr="0049569F" w:rsidRDefault="000E2C20" w:rsidP="0049569F">
      <w:pPr>
        <w:pStyle w:val="ConsNormal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9.3. Сторона, которая не исполняет свои обязательства вследствие действия обстоятельств непреодолимой силы, должна известить другую Сторону о таких обстоятельствах и их влиянии на исполнение обязательств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9.4. Если обстоятельства непреодолимой силы действуют на протяжении 3 (Трех) последовательных месяцев, настоящий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pacing w:val="3"/>
          <w:sz w:val="24"/>
          <w:szCs w:val="24"/>
        </w:rPr>
      </w:pPr>
      <w:r w:rsidRPr="0049569F">
        <w:rPr>
          <w:rFonts w:ascii="Times New Roman" w:hAnsi="Times New Roman"/>
          <w:b/>
          <w:spacing w:val="3"/>
          <w:sz w:val="24"/>
          <w:szCs w:val="24"/>
        </w:rPr>
        <w:t>10. Антикоррупционная оговорка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 w:rsidRPr="0049569F">
        <w:rPr>
          <w:rFonts w:ascii="Times New Roman" w:hAnsi="Times New Roman"/>
          <w:spacing w:val="3"/>
          <w:sz w:val="24"/>
          <w:szCs w:val="24"/>
        </w:rPr>
        <w:t xml:space="preserve">10.1. </w:t>
      </w:r>
      <w:r w:rsidRPr="0049569F">
        <w:rPr>
          <w:rFonts w:ascii="Times New Roman" w:hAnsi="Times New Roman"/>
          <w:sz w:val="24"/>
          <w:szCs w:val="24"/>
        </w:rPr>
        <w:t>Положения настоящего раздела направлены на минимизацию вовлечения Сторон, их аффилированных лиц и работников в коррупционную деятельность, а также на поддержание деловой репутации Сторон на высоком уровне.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 w:rsidRPr="0049569F">
        <w:rPr>
          <w:rFonts w:ascii="Times New Roman" w:hAnsi="Times New Roman"/>
          <w:spacing w:val="3"/>
          <w:sz w:val="24"/>
          <w:szCs w:val="24"/>
        </w:rPr>
        <w:t xml:space="preserve">10.2. </w:t>
      </w:r>
      <w:r w:rsidRPr="0049569F">
        <w:rPr>
          <w:rFonts w:ascii="Times New Roman" w:hAnsi="Times New Roman"/>
          <w:sz w:val="24"/>
          <w:szCs w:val="24"/>
        </w:rPr>
        <w:t xml:space="preserve">Настоящим Стороны подтверждают, что между ними отсутствует конфликт интересов, под которым понимаются случаи, при которых руководитель Заказчика, должностные лица, осуществляющие выбор контрагента, должностные лица ответственные за </w:t>
      </w:r>
      <w:r w:rsidRPr="0049569F">
        <w:rPr>
          <w:rFonts w:ascii="Times New Roman" w:hAnsi="Times New Roman"/>
          <w:sz w:val="24"/>
          <w:szCs w:val="24"/>
        </w:rPr>
        <w:lastRenderedPageBreak/>
        <w:t xml:space="preserve">контроль исполнения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директором, и т.п.) учреждения или унитарного предприятия либо иными органами управления юридического лица - Исполнителя, с физическими лицами, в том числе зарегистрированными в качестве индивидуального предпринимателя - Исполнителем,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49569F">
        <w:rPr>
          <w:rFonts w:ascii="Times New Roman" w:hAnsi="Times New Roman"/>
          <w:sz w:val="24"/>
          <w:szCs w:val="24"/>
        </w:rPr>
        <w:t>неполнородными</w:t>
      </w:r>
      <w:proofErr w:type="spellEnd"/>
      <w:r w:rsidRPr="0049569F">
        <w:rPr>
          <w:rFonts w:ascii="Times New Roman" w:hAnsi="Times New Roman"/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10.3. При исполнении своих обязательств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у, Стороны, их аффилированные лица и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10.4. При исполнении своих обязательств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у, Стороны, их аффилированные лица и работники не осуществляют действия, квалифицируемые законодательством Российской Федерации, как дача/получение взятки, коммерческий подкуп, посредничество во взяточничестве, а также действия, нарушающие требования законодательства Российской Федерации по противодействию легализации (отмыванию) доходов, полученных преступным путем.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10.5. </w:t>
      </w:r>
      <w:r w:rsidRPr="0049569F">
        <w:rPr>
          <w:rFonts w:ascii="Times New Roman" w:hAnsi="Times New Roman"/>
          <w:color w:val="000000"/>
          <w:sz w:val="24"/>
          <w:szCs w:val="24"/>
        </w:rPr>
        <w:t>Стороны обязуются соблюдать, а также обеспечивать соблюдение их аффилированными лицами и работниками положений настоящего раздела, а также оказывать друг другу содействие в случае действительного или возможного нарушения его требований.</w:t>
      </w:r>
    </w:p>
    <w:p w:rsidR="000E2C20" w:rsidRPr="0049569F" w:rsidRDefault="000E2C20" w:rsidP="0049569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2C20" w:rsidRPr="0049569F" w:rsidRDefault="000E2C20" w:rsidP="0049569F">
      <w:pPr>
        <w:widowControl w:val="0"/>
        <w:tabs>
          <w:tab w:val="left" w:pos="0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569F">
        <w:rPr>
          <w:rFonts w:ascii="Times New Roman" w:hAnsi="Times New Roman"/>
          <w:b/>
          <w:color w:val="000000"/>
          <w:sz w:val="24"/>
          <w:szCs w:val="24"/>
        </w:rPr>
        <w:t>11. Прочие условия</w:t>
      </w:r>
    </w:p>
    <w:p w:rsidR="000E2C20" w:rsidRPr="0049569F" w:rsidRDefault="000E2C20" w:rsidP="0049569F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11.1. Переход прав и обязанностей Исполнителя к третьему лицу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у не допускается, за исключением случаев, если новый Исполнитель является его правопреемником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настоящим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 xml:space="preserve">ом, переходят к новому Заказчику.  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11.1.1. Стороны пришли к согласию о недопустимости перехода требования прав и обязанностей кредитора по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 к третьим лицам.</w:t>
      </w:r>
    </w:p>
    <w:p w:rsidR="00920A14" w:rsidRPr="0049569F" w:rsidRDefault="00920A14" w:rsidP="0049569F">
      <w:pPr>
        <w:tabs>
          <w:tab w:val="left" w:pos="0"/>
          <w:tab w:val="num" w:pos="284"/>
        </w:tabs>
        <w:spacing w:after="360"/>
        <w:ind w:right="-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           11.1.2.   Заказчик устанавливает единые требования </w:t>
      </w:r>
      <w:r w:rsidR="0049569F">
        <w:rPr>
          <w:rFonts w:ascii="Times New Roman" w:hAnsi="Times New Roman"/>
          <w:sz w:val="24"/>
          <w:szCs w:val="24"/>
        </w:rPr>
        <w:t xml:space="preserve">к Исполнителю в соответствии с </w:t>
      </w:r>
      <w:r w:rsidRPr="0049569F">
        <w:rPr>
          <w:rFonts w:ascii="Times New Roman" w:hAnsi="Times New Roman"/>
          <w:sz w:val="24"/>
          <w:szCs w:val="24"/>
        </w:rPr>
        <w:t>п.</w:t>
      </w:r>
      <w:r w:rsidR="0049569F">
        <w:rPr>
          <w:rFonts w:ascii="Times New Roman" w:hAnsi="Times New Roman"/>
          <w:sz w:val="24"/>
          <w:szCs w:val="24"/>
        </w:rPr>
        <w:t> </w:t>
      </w:r>
      <w:r w:rsidRPr="0049569F">
        <w:rPr>
          <w:rFonts w:ascii="Times New Roman" w:hAnsi="Times New Roman"/>
          <w:sz w:val="24"/>
          <w:szCs w:val="24"/>
        </w:rPr>
        <w:t>п. 3 - 5, 7, 7.1, 9 - 11 ч. 1 ст. 31 Федерального закона № 44-ФЗ.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11.2.</w:t>
      </w:r>
      <w:r w:rsidRPr="0049569F">
        <w:rPr>
          <w:rFonts w:ascii="Times New Roman" w:hAnsi="Times New Roman"/>
          <w:sz w:val="24"/>
          <w:szCs w:val="24"/>
        </w:rPr>
        <w:tab/>
        <w:t xml:space="preserve">Любое уведомление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 направляется Сторонами в письменной форме</w:t>
      </w:r>
      <w:r w:rsidR="009930AF" w:rsidRPr="009930AF">
        <w:rPr>
          <w:rFonts w:ascii="Times New Roman" w:hAnsi="Times New Roman"/>
          <w:sz w:val="24"/>
          <w:szCs w:val="24"/>
        </w:rPr>
        <w:t xml:space="preserve"> </w:t>
      </w:r>
      <w:r w:rsidR="009930AF" w:rsidRPr="0049569F">
        <w:rPr>
          <w:rFonts w:ascii="Times New Roman" w:hAnsi="Times New Roman"/>
          <w:sz w:val="24"/>
          <w:szCs w:val="24"/>
        </w:rPr>
        <w:t xml:space="preserve">или </w:t>
      </w:r>
      <w:r w:rsidR="009930AF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49569F">
        <w:rPr>
          <w:rFonts w:ascii="Times New Roman" w:hAnsi="Times New Roman"/>
          <w:sz w:val="24"/>
          <w:szCs w:val="24"/>
        </w:rPr>
        <w:t xml:space="preserve">. Надлежащим уведомлением по настоящему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Pr="0049569F">
        <w:rPr>
          <w:rFonts w:ascii="Times New Roman" w:hAnsi="Times New Roman"/>
          <w:sz w:val="24"/>
          <w:szCs w:val="24"/>
        </w:rPr>
        <w:t>у считается получение уведомления другой Стороной.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 xml:space="preserve">Переписка между Сторонами может осуществляться в виде обмена письмами или </w:t>
      </w:r>
      <w:r w:rsidR="009930AF">
        <w:rPr>
          <w:rFonts w:ascii="Times New Roman" w:hAnsi="Times New Roman"/>
          <w:sz w:val="24"/>
          <w:szCs w:val="24"/>
        </w:rPr>
        <w:t>в форме электронного документа, подписанного электронно-цифровой подписью</w:t>
      </w:r>
      <w:r w:rsidRPr="0049569F">
        <w:rPr>
          <w:rFonts w:ascii="Times New Roman" w:hAnsi="Times New Roman"/>
          <w:sz w:val="24"/>
          <w:szCs w:val="24"/>
        </w:rPr>
        <w:t>.</w:t>
      </w:r>
    </w:p>
    <w:p w:rsidR="000E2C20" w:rsidRPr="0049569F" w:rsidRDefault="000E2C20" w:rsidP="0049569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9569F">
        <w:rPr>
          <w:rFonts w:ascii="Times New Roman" w:hAnsi="Times New Roman"/>
          <w:sz w:val="24"/>
          <w:szCs w:val="24"/>
        </w:rPr>
        <w:t>11.3. Обо всех изменениях в платежных и/или почтовых реквизитах Стороны обязаны немедленно извещать друг друга. Действия, совершенные по старым реквизитам, совершенные до получения Стороной уведомления об их изменении, признаются надлежащим исполнением обязательств.</w:t>
      </w:r>
    </w:p>
    <w:p w:rsidR="000E2C20" w:rsidRDefault="009D1EF0" w:rsidP="009D1EF0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</w:t>
      </w:r>
      <w:r w:rsidR="000E2C20" w:rsidRPr="0049569F">
        <w:rPr>
          <w:rFonts w:ascii="Times New Roman" w:hAnsi="Times New Roman"/>
          <w:sz w:val="24"/>
          <w:szCs w:val="24"/>
        </w:rPr>
        <w:t xml:space="preserve">При выполнении настоящего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/>
          <w:sz w:val="24"/>
          <w:szCs w:val="24"/>
        </w:rPr>
        <w:t xml:space="preserve">а во всем, что не предусмотрено в настоящем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0E2C20" w:rsidRPr="0049569F">
        <w:rPr>
          <w:rFonts w:ascii="Times New Roman" w:hAnsi="Times New Roman"/>
          <w:sz w:val="24"/>
          <w:szCs w:val="24"/>
        </w:rPr>
        <w:t>е, Стороны руководствуются законодательством Российской Федерации.</w:t>
      </w:r>
    </w:p>
    <w:p w:rsidR="009D1EF0" w:rsidRPr="00370EFE" w:rsidRDefault="009D1EF0" w:rsidP="009D1EF0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70EFE">
        <w:rPr>
          <w:rFonts w:ascii="Times New Roman" w:hAnsi="Times New Roman"/>
          <w:spacing w:val="-1"/>
          <w:sz w:val="24"/>
          <w:szCs w:val="24"/>
        </w:rPr>
        <w:t xml:space="preserve">11.5. </w:t>
      </w:r>
      <w:r w:rsidRPr="00370EFE">
        <w:rPr>
          <w:rFonts w:ascii="Times New Roman" w:hAnsi="Times New Roman"/>
          <w:sz w:val="24"/>
          <w:szCs w:val="24"/>
        </w:rPr>
        <w:t>Настоящий Контракт заключается в форме электронного документа, подписанного усиленными электронными подписями Сторон, в соответствии с правилами абзаца второго пункта 1 статьи 160 ГК РФ.</w:t>
      </w:r>
    </w:p>
    <w:p w:rsidR="009D1EF0" w:rsidRPr="00370EFE" w:rsidRDefault="009D1EF0" w:rsidP="009D1EF0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70EFE">
        <w:rPr>
          <w:rFonts w:ascii="Times New Roman" w:hAnsi="Times New Roman"/>
          <w:sz w:val="24"/>
          <w:szCs w:val="24"/>
        </w:rPr>
        <w:t>11.5.1. При этом дополнительные документы, сопровождающие Контракт, оформляются сторонами путем их подписания на бумажном носителе или в форме электронного документа. Дополнительные соглашения к Контракту оформляются сторонами путем их подписания на бумажном носителе или в форме электронного документа.</w:t>
      </w:r>
    </w:p>
    <w:p w:rsidR="00541190" w:rsidRPr="00370EFE" w:rsidRDefault="00541190" w:rsidP="00541190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70EFE">
        <w:rPr>
          <w:rFonts w:ascii="Times New Roman" w:hAnsi="Times New Roman"/>
          <w:sz w:val="24"/>
          <w:szCs w:val="24"/>
        </w:rPr>
        <w:t>11.5.2. Стороны подтверждают, что:</w:t>
      </w:r>
    </w:p>
    <w:p w:rsidR="00541190" w:rsidRPr="00370EFE" w:rsidRDefault="00541190" w:rsidP="00541190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70EFE">
        <w:rPr>
          <w:rFonts w:ascii="Times New Roman" w:hAnsi="Times New Roman"/>
          <w:sz w:val="24"/>
          <w:szCs w:val="24"/>
        </w:rPr>
        <w:lastRenderedPageBreak/>
        <w:t xml:space="preserve">- при исполнении настоящего Контракта используют защищённый юридически значимый электронный документооборот (далее – «ЭДО»): обмен документами, определенными в настоящем </w:t>
      </w:r>
      <w:r w:rsidR="00AB1767" w:rsidRPr="00370EFE">
        <w:rPr>
          <w:rFonts w:ascii="Times New Roman" w:hAnsi="Times New Roman"/>
          <w:sz w:val="24"/>
          <w:szCs w:val="24"/>
        </w:rPr>
        <w:t>Контракте</w:t>
      </w:r>
      <w:r w:rsidRPr="00370EFE">
        <w:rPr>
          <w:rFonts w:ascii="Times New Roman" w:hAnsi="Times New Roman"/>
          <w:sz w:val="24"/>
          <w:szCs w:val="24"/>
        </w:rPr>
        <w:t>, будет осуществляться в электронном виде, с использованием специализированных систем;</w:t>
      </w:r>
    </w:p>
    <w:p w:rsidR="00541190" w:rsidRPr="00370EFE" w:rsidRDefault="00541190" w:rsidP="00541190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70EFE">
        <w:rPr>
          <w:rFonts w:ascii="Times New Roman" w:hAnsi="Times New Roman"/>
          <w:sz w:val="24"/>
          <w:szCs w:val="24"/>
        </w:rPr>
        <w:t>- документы, подписанные посредством ЭДО, имеют юридическую силу, равнозначную документам, подписанным в бумажном виде;</w:t>
      </w:r>
    </w:p>
    <w:p w:rsidR="00541190" w:rsidRPr="00370EFE" w:rsidRDefault="00541190" w:rsidP="00541190">
      <w:pPr>
        <w:pStyle w:val="ad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70EFE">
        <w:rPr>
          <w:rFonts w:ascii="Times New Roman" w:hAnsi="Times New Roman"/>
          <w:sz w:val="24"/>
          <w:szCs w:val="24"/>
        </w:rPr>
        <w:t>- согласие на использование ЭДО подтверждается, в том числе фактическими действиями Сторон по подписанию документов посредством ЭДО. При этом Исполнитель обязан заблаговременно осуществить все необходимые мероприятия, обеспечивающие возможность надлежащего применения ЭДО со своей стороны;</w:t>
      </w:r>
    </w:p>
    <w:p w:rsidR="00541190" w:rsidRPr="00370EFE" w:rsidRDefault="00541190" w:rsidP="00541190">
      <w:pPr>
        <w:pStyle w:val="ad"/>
        <w:ind w:right="-2"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370EFE">
        <w:rPr>
          <w:rFonts w:ascii="Times New Roman" w:hAnsi="Times New Roman"/>
          <w:sz w:val="24"/>
          <w:szCs w:val="24"/>
        </w:rPr>
        <w:t>- взаимодействие со стороны Заказчика в рамках ЭДО осуществляется с помощью оператора ЭДО (7605016030 ООО "Компания "Тензор").</w:t>
      </w:r>
    </w:p>
    <w:p w:rsidR="009D1EF0" w:rsidRPr="00370EFE" w:rsidRDefault="009D1EF0" w:rsidP="009D1EF0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E2C20" w:rsidRPr="0049569F" w:rsidRDefault="000E2C20" w:rsidP="00495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569F">
        <w:rPr>
          <w:rFonts w:ascii="Times New Roman" w:eastAsia="Times New Roman" w:hAnsi="Times New Roman"/>
          <w:b/>
          <w:sz w:val="24"/>
          <w:szCs w:val="24"/>
          <w:lang w:eastAsia="ru-RU"/>
        </w:rPr>
        <w:t>12. Адреса и банковские реквизиты и подписи сторон:</w:t>
      </w:r>
    </w:p>
    <w:p w:rsidR="000E2C20" w:rsidRPr="0049569F" w:rsidRDefault="000E2C20" w:rsidP="0049569F">
      <w:pPr>
        <w:spacing w:after="0" w:line="240" w:lineRule="auto"/>
        <w:ind w:left="644" w:right="-2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0E2C20" w:rsidRPr="0049569F" w:rsidTr="00F7050C">
        <w:tc>
          <w:tcPr>
            <w:tcW w:w="4786" w:type="dxa"/>
          </w:tcPr>
          <w:p w:rsidR="000E2C20" w:rsidRPr="0049569F" w:rsidRDefault="000E2C20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Исполнитель:</w:t>
            </w:r>
            <w:r w:rsidRPr="00495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2C20" w:rsidRPr="0049569F" w:rsidRDefault="000E2C20" w:rsidP="00E458F1">
            <w:pPr>
              <w:pStyle w:val="ad"/>
              <w:tabs>
                <w:tab w:val="left" w:pos="1165"/>
              </w:tabs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2C20" w:rsidRPr="0049569F" w:rsidRDefault="000E2C20" w:rsidP="0049569F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95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здравоохранения «Центр крови Федерального медико-биологического агентства»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(ФГБУЗ Центр крови ФМБА России)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 123182, Москва, ул. </w:t>
            </w:r>
            <w:proofErr w:type="spellStart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Щукинская</w:t>
            </w:r>
            <w:proofErr w:type="spellEnd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д. 6, корп. 2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ИНН 7734255090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КПП 773401001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УФК по г. Москве (ФГБУЗ Центр крови ФМБА России) л/с 20736У64550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  ОКЦ № 1 ГУ БАНКА РОССИИ ПО ЦФО//УФК ПО Г. МОСКВЕ г. Москва, 115191, Москва, 3-я </w:t>
            </w:r>
            <w:proofErr w:type="spellStart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3, </w:t>
            </w:r>
            <w:proofErr w:type="spellStart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Единый казначейский счет 40102810545370000003 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БИК 004525988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ОГРН 1037734003416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ОКТМО 45372000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ОКПО 59873462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постановки на учет в налоговом </w:t>
            </w:r>
          </w:p>
          <w:p w:rsidR="000E2C20" w:rsidRPr="0049569F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952">
              <w:rPr>
                <w:rFonts w:ascii="Times New Roman" w:hAnsi="Times New Roman"/>
                <w:sz w:val="24"/>
                <w:szCs w:val="24"/>
                <w:lang w:eastAsia="ru-RU"/>
              </w:rPr>
              <w:t>органе 03.02.2003 г.</w:t>
            </w:r>
          </w:p>
        </w:tc>
      </w:tr>
      <w:tr w:rsidR="000E2C20" w:rsidRPr="0049569F" w:rsidTr="00F7050C">
        <w:tc>
          <w:tcPr>
            <w:tcW w:w="4786" w:type="dxa"/>
          </w:tcPr>
          <w:p w:rsidR="000E2C20" w:rsidRPr="0049569F" w:rsidRDefault="000E2C20" w:rsidP="0076303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2C20" w:rsidRDefault="000E2C20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47952" w:rsidRDefault="00B47952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47952" w:rsidRDefault="00B47952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4795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B47952" w:rsidRP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47952">
              <w:rPr>
                <w:rFonts w:ascii="Times New Roman" w:hAnsi="Times New Roman"/>
                <w:sz w:val="24"/>
                <w:szCs w:val="24"/>
              </w:rPr>
              <w:t>по информационным технологиям</w:t>
            </w:r>
          </w:p>
          <w:p w:rsidR="00B47952" w:rsidRDefault="00B47952" w:rsidP="00B4795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47952">
              <w:rPr>
                <w:rFonts w:ascii="Times New Roman" w:hAnsi="Times New Roman"/>
                <w:sz w:val="24"/>
                <w:szCs w:val="24"/>
              </w:rPr>
              <w:t>ФГБУЗ Центр крови ФМБА России</w:t>
            </w:r>
          </w:p>
          <w:p w:rsidR="00B47952" w:rsidRDefault="00B47952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6303C" w:rsidRPr="0049569F" w:rsidRDefault="0076303C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C20" w:rsidRPr="0049569F" w:rsidTr="00F7050C">
        <w:tc>
          <w:tcPr>
            <w:tcW w:w="4786" w:type="dxa"/>
            <w:hideMark/>
          </w:tcPr>
          <w:p w:rsidR="0076303C" w:rsidRPr="0076303C" w:rsidRDefault="0076303C" w:rsidP="0076303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6303C">
              <w:rPr>
                <w:rFonts w:ascii="Times New Roman" w:hAnsi="Times New Roman"/>
                <w:sz w:val="24"/>
                <w:szCs w:val="24"/>
              </w:rPr>
              <w:t>__ /</w:t>
            </w:r>
            <w:r w:rsidR="00E458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6303C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76303C" w:rsidRPr="0076303C" w:rsidRDefault="0076303C" w:rsidP="0076303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0E2C20" w:rsidRPr="0049569F" w:rsidRDefault="000E2C20" w:rsidP="0076303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E2C20" w:rsidRPr="0049569F" w:rsidRDefault="00B7673E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69F">
              <w:rPr>
                <w:rFonts w:ascii="Times New Roman" w:hAnsi="Times New Roman"/>
                <w:sz w:val="24"/>
                <w:szCs w:val="24"/>
              </w:rPr>
              <w:t>_________________ /</w:t>
            </w:r>
            <w:r w:rsidR="00B47952">
              <w:rPr>
                <w:rFonts w:ascii="Times New Roman" w:hAnsi="Times New Roman"/>
                <w:sz w:val="24"/>
                <w:szCs w:val="24"/>
              </w:rPr>
              <w:t xml:space="preserve"> А.А. Бураков </w:t>
            </w:r>
            <w:r w:rsidR="000E2C20" w:rsidRPr="0049569F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0E2C20" w:rsidRPr="0049569F" w:rsidTr="00F7050C">
        <w:tc>
          <w:tcPr>
            <w:tcW w:w="4786" w:type="dxa"/>
            <w:hideMark/>
          </w:tcPr>
          <w:p w:rsidR="000E2C20" w:rsidRPr="0049569F" w:rsidRDefault="000E2C20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69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  <w:hideMark/>
          </w:tcPr>
          <w:p w:rsidR="000E2C20" w:rsidRPr="0049569F" w:rsidRDefault="000E2C20" w:rsidP="0049569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9569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6802BE" w:rsidRPr="006802BE" w:rsidRDefault="009D3A94" w:rsidP="004E290E">
      <w:pPr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802BE" w:rsidRPr="006802B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6802BE" w:rsidRPr="006802BE">
        <w:rPr>
          <w:rFonts w:ascii="Times New Roman" w:hAnsi="Times New Roman"/>
          <w:noProof/>
          <w:sz w:val="24"/>
          <w:szCs w:val="24"/>
        </w:rPr>
        <w:fldChar w:fldCharType="begin"/>
      </w:r>
      <w:r w:rsidR="006802BE" w:rsidRPr="006802BE">
        <w:rPr>
          <w:rFonts w:ascii="Times New Roman" w:hAnsi="Times New Roman"/>
          <w:noProof/>
          <w:sz w:val="24"/>
          <w:szCs w:val="24"/>
        </w:rPr>
        <w:instrText xml:space="preserve"> SEQ Приложение_№ \* ARABIC </w:instrText>
      </w:r>
      <w:r w:rsidR="006802BE" w:rsidRPr="006802BE">
        <w:rPr>
          <w:rFonts w:ascii="Times New Roman" w:hAnsi="Times New Roman"/>
          <w:noProof/>
          <w:sz w:val="24"/>
          <w:szCs w:val="24"/>
        </w:rPr>
        <w:fldChar w:fldCharType="separate"/>
      </w:r>
      <w:r w:rsidR="006802BE" w:rsidRPr="006802BE">
        <w:rPr>
          <w:rFonts w:ascii="Times New Roman" w:hAnsi="Times New Roman"/>
          <w:noProof/>
          <w:sz w:val="24"/>
          <w:szCs w:val="24"/>
        </w:rPr>
        <w:t>1</w:t>
      </w:r>
      <w:r w:rsidR="006802BE" w:rsidRPr="006802BE">
        <w:rPr>
          <w:rFonts w:ascii="Times New Roman" w:hAnsi="Times New Roman"/>
          <w:noProof/>
          <w:sz w:val="24"/>
          <w:szCs w:val="24"/>
        </w:rPr>
        <w:fldChar w:fldCharType="end"/>
      </w:r>
      <w:r w:rsidR="006802BE" w:rsidRPr="006802BE">
        <w:rPr>
          <w:rFonts w:ascii="Times New Roman" w:hAnsi="Times New Roman"/>
          <w:sz w:val="24"/>
          <w:szCs w:val="24"/>
        </w:rPr>
        <w:t xml:space="preserve"> к </w:t>
      </w:r>
      <w:r w:rsidR="00B64968">
        <w:rPr>
          <w:rFonts w:ascii="Times New Roman" w:hAnsi="Times New Roman"/>
          <w:sz w:val="24"/>
          <w:szCs w:val="24"/>
        </w:rPr>
        <w:t>Контракт</w:t>
      </w:r>
      <w:r w:rsidR="006802BE" w:rsidRPr="006802BE">
        <w:rPr>
          <w:rFonts w:ascii="Times New Roman" w:hAnsi="Times New Roman"/>
          <w:sz w:val="24"/>
          <w:szCs w:val="24"/>
        </w:rPr>
        <w:t>у №_</w:t>
      </w:r>
      <w:r w:rsidR="001C5716">
        <w:rPr>
          <w:rFonts w:ascii="Times New Roman" w:hAnsi="Times New Roman"/>
          <w:sz w:val="24"/>
          <w:szCs w:val="24"/>
        </w:rPr>
        <w:t>_______</w:t>
      </w:r>
      <w:r w:rsidR="006802BE" w:rsidRPr="006802BE">
        <w:rPr>
          <w:rFonts w:ascii="Times New Roman" w:hAnsi="Times New Roman"/>
          <w:sz w:val="24"/>
          <w:szCs w:val="24"/>
        </w:rPr>
        <w:t>__</w:t>
      </w:r>
    </w:p>
    <w:p w:rsidR="006802BE" w:rsidRPr="006802BE" w:rsidRDefault="001C5716" w:rsidP="004E290E">
      <w:pPr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</w:t>
      </w:r>
      <w:r w:rsidR="006802BE" w:rsidRPr="006802BE">
        <w:rPr>
          <w:rFonts w:ascii="Times New Roman" w:hAnsi="Times New Roman"/>
          <w:sz w:val="24"/>
          <w:szCs w:val="24"/>
        </w:rPr>
        <w:t>20__ года</w:t>
      </w:r>
    </w:p>
    <w:p w:rsidR="006802BE" w:rsidRPr="006802BE" w:rsidRDefault="006802BE" w:rsidP="006802BE">
      <w:pPr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02BE" w:rsidRPr="006802BE" w:rsidRDefault="006802BE" w:rsidP="006802BE">
      <w:pPr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02BE" w:rsidRPr="006802BE" w:rsidRDefault="006802BE" w:rsidP="006802BE">
      <w:pPr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02BE" w:rsidRPr="006802BE" w:rsidRDefault="006802BE" w:rsidP="006802BE">
      <w:pPr>
        <w:keepNext/>
        <w:tabs>
          <w:tab w:val="left" w:pos="540"/>
        </w:tabs>
        <w:suppressAutoHyphens/>
        <w:ind w:firstLine="567"/>
        <w:contextualSpacing/>
        <w:jc w:val="center"/>
        <w:outlineLvl w:val="0"/>
        <w:rPr>
          <w:rFonts w:ascii="Times New Roman" w:hAnsi="Times New Roman"/>
          <w:b/>
          <w:bCs/>
          <w:caps/>
          <w:smallCaps/>
          <w:sz w:val="24"/>
          <w:szCs w:val="24"/>
        </w:rPr>
      </w:pPr>
    </w:p>
    <w:p w:rsidR="006802BE" w:rsidRPr="006802BE" w:rsidRDefault="006802BE" w:rsidP="006802BE">
      <w:pPr>
        <w:keepNext/>
        <w:tabs>
          <w:tab w:val="left" w:pos="540"/>
        </w:tabs>
        <w:suppressAutoHyphens/>
        <w:ind w:firstLine="567"/>
        <w:contextualSpacing/>
        <w:jc w:val="center"/>
        <w:outlineLvl w:val="0"/>
        <w:rPr>
          <w:rFonts w:ascii="Times New Roman" w:hAnsi="Times New Roman"/>
          <w:b/>
          <w:bCs/>
          <w:caps/>
          <w:smallCaps/>
          <w:sz w:val="24"/>
          <w:szCs w:val="24"/>
        </w:rPr>
      </w:pPr>
      <w:r w:rsidRPr="006802BE">
        <w:rPr>
          <w:rFonts w:ascii="Times New Roman" w:hAnsi="Times New Roman"/>
          <w:b/>
          <w:bCs/>
          <w:caps/>
          <w:smallCaps/>
          <w:sz w:val="24"/>
          <w:szCs w:val="24"/>
        </w:rPr>
        <w:t>СПЕЦИФИКАЦИЯ</w:t>
      </w:r>
    </w:p>
    <w:p w:rsidR="006802BE" w:rsidRPr="006802BE" w:rsidRDefault="006802BE" w:rsidP="006802BE">
      <w:pPr>
        <w:keepNext/>
        <w:tabs>
          <w:tab w:val="left" w:pos="540"/>
        </w:tabs>
        <w:suppressAutoHyphens/>
        <w:ind w:firstLine="567"/>
        <w:contextualSpacing/>
        <w:jc w:val="center"/>
        <w:outlineLvl w:val="0"/>
        <w:rPr>
          <w:rFonts w:ascii="Times New Roman" w:hAnsi="Times New Roman"/>
          <w:b/>
          <w:bCs/>
          <w:caps/>
          <w:smallCaps/>
          <w:sz w:val="24"/>
          <w:szCs w:val="24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99"/>
        <w:gridCol w:w="1686"/>
        <w:gridCol w:w="1559"/>
        <w:gridCol w:w="993"/>
        <w:gridCol w:w="850"/>
        <w:gridCol w:w="1134"/>
        <w:gridCol w:w="1418"/>
      </w:tblGrid>
      <w:tr w:rsidR="007C1461" w:rsidRPr="006802BE" w:rsidTr="00E2706A">
        <w:trPr>
          <w:cantSplit/>
          <w:trHeight w:val="571"/>
          <w:tblHeader/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7C1461" w:rsidRPr="007C1461" w:rsidRDefault="007C1461" w:rsidP="004E290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7C1461" w:rsidRPr="007C1461" w:rsidRDefault="007C1461" w:rsidP="00885A8E">
            <w:pPr>
              <w:ind w:firstLine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Наименование услуг</w:t>
            </w:r>
          </w:p>
          <w:p w:rsidR="007C1461" w:rsidRPr="007C1461" w:rsidRDefault="007C1461" w:rsidP="007C1461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5" w:type="dxa"/>
            <w:gridSpan w:val="2"/>
          </w:tcPr>
          <w:p w:rsidR="007C1461" w:rsidRPr="007C1461" w:rsidRDefault="007C1461" w:rsidP="007C146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Средства измерения и изделия медицинской техники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1461" w:rsidRPr="007C1461" w:rsidRDefault="007C1461" w:rsidP="007C146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1461" w:rsidRPr="007C1461" w:rsidRDefault="007C1461" w:rsidP="007C146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1461" w:rsidRPr="007C1461" w:rsidRDefault="007C1461" w:rsidP="007C146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Цена за единицу, руб.</w:t>
            </w:r>
          </w:p>
          <w:p w:rsidR="007C1461" w:rsidRPr="007C1461" w:rsidRDefault="007C1461" w:rsidP="007C146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1461" w:rsidRPr="007C1461" w:rsidRDefault="007C1461" w:rsidP="007C146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  <w:p w:rsidR="007C1461" w:rsidRPr="007C1461" w:rsidRDefault="007C1461" w:rsidP="007C146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461" w:rsidRPr="007C1461" w:rsidRDefault="007C1461" w:rsidP="007C1461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461" w:rsidRPr="006802BE" w:rsidTr="00E2706A">
        <w:trPr>
          <w:cantSplit/>
          <w:trHeight w:val="848"/>
          <w:tblHeader/>
          <w:jc w:val="center"/>
        </w:trPr>
        <w:tc>
          <w:tcPr>
            <w:tcW w:w="539" w:type="dxa"/>
            <w:vMerge/>
            <w:shd w:val="clear" w:color="auto" w:fill="auto"/>
          </w:tcPr>
          <w:p w:rsidR="007C1461" w:rsidRPr="006802BE" w:rsidRDefault="007C1461" w:rsidP="004E29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7C1461" w:rsidRPr="006802BE" w:rsidRDefault="007C1461" w:rsidP="004E290E">
            <w:pPr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7C1461" w:rsidRPr="005B577A" w:rsidRDefault="007C1461" w:rsidP="007C146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Наименование по бухгалтерскому учёту</w:t>
            </w:r>
          </w:p>
        </w:tc>
        <w:tc>
          <w:tcPr>
            <w:tcW w:w="1559" w:type="dxa"/>
          </w:tcPr>
          <w:p w:rsidR="007C1461" w:rsidRPr="005B577A" w:rsidRDefault="007C1461" w:rsidP="007C146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 xml:space="preserve">Инвентарный </w:t>
            </w:r>
          </w:p>
          <w:p w:rsidR="007C1461" w:rsidRPr="005B577A" w:rsidRDefault="007C1461" w:rsidP="007C146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993" w:type="dxa"/>
            <w:vMerge/>
            <w:shd w:val="clear" w:color="auto" w:fill="auto"/>
          </w:tcPr>
          <w:p w:rsidR="007C1461" w:rsidRPr="006802BE" w:rsidRDefault="007C1461" w:rsidP="004E29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1461" w:rsidRDefault="007C1461" w:rsidP="004E29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1461" w:rsidRPr="006802BE" w:rsidRDefault="007C1461" w:rsidP="004E29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1461" w:rsidRPr="006802BE" w:rsidRDefault="007C1461" w:rsidP="004E29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461" w:rsidRPr="006802BE" w:rsidTr="00E2706A">
        <w:trPr>
          <w:cantSplit/>
          <w:trHeight w:val="1902"/>
          <w:jc w:val="center"/>
        </w:trPr>
        <w:tc>
          <w:tcPr>
            <w:tcW w:w="539" w:type="dxa"/>
            <w:shd w:val="clear" w:color="auto" w:fill="auto"/>
          </w:tcPr>
          <w:p w:rsidR="007C1461" w:rsidRPr="006802BE" w:rsidRDefault="007C1461" w:rsidP="00885A8E">
            <w:pPr>
              <w:ind w:right="5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2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99" w:type="dxa"/>
            <w:shd w:val="clear" w:color="auto" w:fill="auto"/>
          </w:tcPr>
          <w:p w:rsidR="003A717E" w:rsidRDefault="007C1461" w:rsidP="003A717E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1461">
              <w:rPr>
                <w:rFonts w:ascii="Times New Roman" w:hAnsi="Times New Roman"/>
                <w:sz w:val="20"/>
                <w:szCs w:val="20"/>
              </w:rPr>
              <w:t>Поверка весов электронных медицинских ВЭМ-150-"Масса-К"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C1461" w:rsidRPr="007C1461" w:rsidRDefault="007C1461" w:rsidP="007C146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7C1461" w:rsidRPr="005B577A" w:rsidRDefault="007C1461" w:rsidP="003A717E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Весы электронные медицинские ВЭМ-150-"Масса-К"</w:t>
            </w:r>
          </w:p>
        </w:tc>
        <w:tc>
          <w:tcPr>
            <w:tcW w:w="1559" w:type="dxa"/>
          </w:tcPr>
          <w:p w:rsidR="007C1461" w:rsidRPr="006802BE" w:rsidRDefault="007C1461" w:rsidP="00445D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1461">
              <w:rPr>
                <w:rFonts w:ascii="Times New Roman" w:hAnsi="Times New Roman"/>
                <w:sz w:val="24"/>
                <w:szCs w:val="24"/>
              </w:rPr>
              <w:t>1101040237</w:t>
            </w:r>
          </w:p>
        </w:tc>
        <w:tc>
          <w:tcPr>
            <w:tcW w:w="993" w:type="dxa"/>
            <w:shd w:val="clear" w:color="auto" w:fill="auto"/>
          </w:tcPr>
          <w:p w:rsidR="007C1461" w:rsidRPr="005B577A" w:rsidRDefault="007C1461" w:rsidP="007C146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1461" w:rsidRPr="005B577A" w:rsidRDefault="007C1461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461" w:rsidRPr="006802BE" w:rsidTr="00E2706A">
        <w:trPr>
          <w:cantSplit/>
          <w:trHeight w:val="1132"/>
          <w:jc w:val="center"/>
        </w:trPr>
        <w:tc>
          <w:tcPr>
            <w:tcW w:w="539" w:type="dxa"/>
            <w:shd w:val="clear" w:color="auto" w:fill="auto"/>
          </w:tcPr>
          <w:p w:rsidR="007C1461" w:rsidRPr="006802BE" w:rsidRDefault="005B577A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99" w:type="dxa"/>
            <w:shd w:val="clear" w:color="auto" w:fill="auto"/>
          </w:tcPr>
          <w:p w:rsidR="007C1461" w:rsidRPr="00445D51" w:rsidRDefault="00445D5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45D51">
              <w:rPr>
                <w:rFonts w:ascii="Times New Roman" w:hAnsi="Times New Roman"/>
                <w:sz w:val="20"/>
                <w:szCs w:val="20"/>
              </w:rPr>
              <w:t>Поверка весов электронных HL-2000</w:t>
            </w:r>
          </w:p>
        </w:tc>
        <w:tc>
          <w:tcPr>
            <w:tcW w:w="1686" w:type="dxa"/>
          </w:tcPr>
          <w:p w:rsidR="007C1461" w:rsidRPr="00445D51" w:rsidRDefault="00445D5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45D51">
              <w:rPr>
                <w:rFonts w:ascii="Times New Roman" w:hAnsi="Times New Roman"/>
                <w:sz w:val="20"/>
                <w:szCs w:val="20"/>
              </w:rPr>
              <w:t>Весы электронные AND HL-2000</w:t>
            </w:r>
          </w:p>
        </w:tc>
        <w:tc>
          <w:tcPr>
            <w:tcW w:w="1559" w:type="dxa"/>
          </w:tcPr>
          <w:p w:rsidR="007C1461" w:rsidRPr="005B577A" w:rsidRDefault="00445D5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2101240324</w:t>
            </w:r>
          </w:p>
        </w:tc>
        <w:tc>
          <w:tcPr>
            <w:tcW w:w="993" w:type="dxa"/>
            <w:shd w:val="clear" w:color="auto" w:fill="auto"/>
          </w:tcPr>
          <w:p w:rsidR="007C1461" w:rsidRPr="005B577A" w:rsidRDefault="007C1461" w:rsidP="007C146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1461" w:rsidRPr="005B577A" w:rsidRDefault="00445D51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461" w:rsidRPr="006802BE" w:rsidTr="00E2706A">
        <w:trPr>
          <w:cantSplit/>
          <w:trHeight w:val="801"/>
          <w:jc w:val="center"/>
        </w:trPr>
        <w:tc>
          <w:tcPr>
            <w:tcW w:w="539" w:type="dxa"/>
            <w:shd w:val="clear" w:color="auto" w:fill="auto"/>
          </w:tcPr>
          <w:p w:rsidR="007C1461" w:rsidRPr="006802BE" w:rsidRDefault="005B577A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99" w:type="dxa"/>
            <w:shd w:val="clear" w:color="auto" w:fill="auto"/>
          </w:tcPr>
          <w:p w:rsidR="007C1461" w:rsidRPr="00445D51" w:rsidRDefault="00445D5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45D51">
              <w:rPr>
                <w:rFonts w:ascii="Times New Roman" w:hAnsi="Times New Roman"/>
                <w:sz w:val="20"/>
                <w:szCs w:val="20"/>
              </w:rPr>
              <w:t>Поверка весов электронных HL-2000</w:t>
            </w:r>
          </w:p>
        </w:tc>
        <w:tc>
          <w:tcPr>
            <w:tcW w:w="1686" w:type="dxa"/>
          </w:tcPr>
          <w:p w:rsidR="007C1461" w:rsidRPr="00445D51" w:rsidRDefault="00445D5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45D51">
              <w:rPr>
                <w:rFonts w:ascii="Times New Roman" w:hAnsi="Times New Roman"/>
                <w:sz w:val="20"/>
                <w:szCs w:val="20"/>
              </w:rPr>
              <w:t>Весы электронные AND HL-2000</w:t>
            </w:r>
          </w:p>
        </w:tc>
        <w:tc>
          <w:tcPr>
            <w:tcW w:w="1559" w:type="dxa"/>
          </w:tcPr>
          <w:p w:rsidR="007C1461" w:rsidRPr="005B577A" w:rsidRDefault="00445D5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2101240325</w:t>
            </w:r>
          </w:p>
        </w:tc>
        <w:tc>
          <w:tcPr>
            <w:tcW w:w="993" w:type="dxa"/>
            <w:shd w:val="clear" w:color="auto" w:fill="auto"/>
          </w:tcPr>
          <w:p w:rsidR="007C1461" w:rsidRPr="005B577A" w:rsidRDefault="007C1461" w:rsidP="007C146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1461" w:rsidRPr="005B577A" w:rsidRDefault="00445D51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461" w:rsidRPr="005B577A" w:rsidTr="00E2706A">
        <w:trPr>
          <w:cantSplit/>
          <w:trHeight w:val="2346"/>
          <w:jc w:val="center"/>
        </w:trPr>
        <w:tc>
          <w:tcPr>
            <w:tcW w:w="539" w:type="dxa"/>
            <w:shd w:val="clear" w:color="auto" w:fill="auto"/>
          </w:tcPr>
          <w:p w:rsidR="007C1461" w:rsidRPr="005B577A" w:rsidRDefault="00885A8E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999" w:type="dxa"/>
            <w:shd w:val="clear" w:color="auto" w:fill="auto"/>
          </w:tcPr>
          <w:p w:rsidR="007C1461" w:rsidRPr="005B577A" w:rsidRDefault="005B577A" w:rsidP="00885A8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 xml:space="preserve">Поверка термометра электронного медицинского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Thermoval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 мод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Thermoval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Classic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Color«Пayль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Хартманн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 АГ»,</w:t>
            </w:r>
            <w:r w:rsidR="00885A8E">
              <w:rPr>
                <w:rFonts w:ascii="Times New Roman" w:hAnsi="Times New Roman"/>
                <w:sz w:val="20"/>
                <w:szCs w:val="20"/>
              </w:rPr>
              <w:t xml:space="preserve"> Германия</w:t>
            </w:r>
          </w:p>
        </w:tc>
        <w:tc>
          <w:tcPr>
            <w:tcW w:w="1686" w:type="dxa"/>
          </w:tcPr>
          <w:p w:rsidR="007C1461" w:rsidRPr="005B577A" w:rsidRDefault="005B577A" w:rsidP="005B5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 xml:space="preserve">Термометр электронный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медицинский;Thermoval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; мод </w:t>
            </w: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Thermoval</w:t>
            </w:r>
            <w:proofErr w:type="spellEnd"/>
            <w:r w:rsidRPr="005B577A">
              <w:rPr>
                <w:rFonts w:ascii="Times New Roman" w:hAnsi="Times New Roman"/>
                <w:sz w:val="20"/>
                <w:szCs w:val="20"/>
              </w:rPr>
              <w:t xml:space="preserve"> ;</w:t>
            </w:r>
          </w:p>
        </w:tc>
        <w:tc>
          <w:tcPr>
            <w:tcW w:w="1559" w:type="dxa"/>
          </w:tcPr>
          <w:p w:rsidR="007C1461" w:rsidRPr="005B577A" w:rsidRDefault="00E2706A" w:rsidP="005B5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4101240714</w:t>
            </w:r>
          </w:p>
        </w:tc>
        <w:tc>
          <w:tcPr>
            <w:tcW w:w="993" w:type="dxa"/>
            <w:shd w:val="clear" w:color="auto" w:fill="auto"/>
          </w:tcPr>
          <w:p w:rsidR="007C1461" w:rsidRPr="005B577A" w:rsidRDefault="007C1461" w:rsidP="007C146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577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1461" w:rsidRPr="005B577A" w:rsidRDefault="00445D51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1461" w:rsidRPr="005B577A" w:rsidRDefault="007C1461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A8E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885A8E" w:rsidRPr="005B577A" w:rsidRDefault="00885A8E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885A8E" w:rsidRPr="005B577A" w:rsidRDefault="00885A8E" w:rsidP="00885A8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и</w:t>
            </w:r>
            <w:r w:rsidRPr="00885A8E">
              <w:rPr>
                <w:rFonts w:ascii="Times New Roman" w:hAnsi="Times New Roman"/>
                <w:sz w:val="20"/>
                <w:szCs w:val="20"/>
              </w:rPr>
              <w:t>змерители артериального давл</w:t>
            </w:r>
            <w:r>
              <w:rPr>
                <w:rFonts w:ascii="Times New Roman" w:hAnsi="Times New Roman"/>
                <w:sz w:val="20"/>
                <w:szCs w:val="20"/>
              </w:rPr>
              <w:t>ения и частоты пульса цифрового</w:t>
            </w:r>
            <w:r w:rsidRPr="00885A8E">
              <w:rPr>
                <w:rFonts w:ascii="Times New Roman" w:hAnsi="Times New Roman"/>
                <w:sz w:val="20"/>
                <w:szCs w:val="20"/>
              </w:rPr>
              <w:t xml:space="preserve"> UA-777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85A8E" w:rsidRPr="005B577A" w:rsidRDefault="00885A8E" w:rsidP="005B5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5A8E">
              <w:rPr>
                <w:rFonts w:ascii="Times New Roman" w:hAnsi="Times New Roman"/>
                <w:sz w:val="20"/>
                <w:szCs w:val="20"/>
              </w:rPr>
              <w:t xml:space="preserve">Тонометр UA-777 автоматический с адаптером и </w:t>
            </w:r>
            <w:proofErr w:type="spellStart"/>
            <w:r w:rsidRPr="00885A8E">
              <w:rPr>
                <w:rFonts w:ascii="Times New Roman" w:hAnsi="Times New Roman"/>
                <w:sz w:val="20"/>
                <w:szCs w:val="20"/>
              </w:rPr>
              <w:t>доп.манжетой</w:t>
            </w:r>
            <w:proofErr w:type="spellEnd"/>
            <w:r w:rsidRPr="00885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5A8E" w:rsidRPr="005B577A" w:rsidRDefault="00885A8E" w:rsidP="005B5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5A8E">
              <w:rPr>
                <w:rFonts w:ascii="Times New Roman" w:hAnsi="Times New Roman"/>
                <w:sz w:val="20"/>
                <w:szCs w:val="20"/>
              </w:rPr>
              <w:t>1101040310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85A8E" w:rsidRPr="005B577A" w:rsidRDefault="00885A8E" w:rsidP="007C146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5A8E" w:rsidRPr="005B577A" w:rsidRDefault="00885A8E" w:rsidP="004E290E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5A8E" w:rsidRPr="005B577A" w:rsidRDefault="00885A8E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85A8E" w:rsidRPr="005B577A" w:rsidRDefault="00885A8E" w:rsidP="00445D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измерителя</w:t>
            </w:r>
            <w:r w:rsidRPr="00885A8E">
              <w:rPr>
                <w:rFonts w:ascii="Times New Roman" w:hAnsi="Times New Roman"/>
                <w:sz w:val="20"/>
                <w:szCs w:val="20"/>
              </w:rPr>
              <w:t xml:space="preserve"> артериального давления и частоты пульса автоматические;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OMRON; </w:t>
            </w:r>
            <w:r w:rsidRPr="00885A8E">
              <w:rPr>
                <w:rFonts w:ascii="Times New Roman" w:hAnsi="Times New Roman"/>
                <w:sz w:val="20"/>
                <w:szCs w:val="20"/>
              </w:rPr>
              <w:t>Мод. OMRON 705-IT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706A">
              <w:rPr>
                <w:rFonts w:ascii="Times New Roman" w:hAnsi="Times New Roman"/>
                <w:sz w:val="20"/>
                <w:szCs w:val="20"/>
              </w:rPr>
              <w:t>Автоматический измеритель артериального давления OMRON 705-IT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706A">
              <w:rPr>
                <w:rFonts w:ascii="Times New Roman" w:hAnsi="Times New Roman"/>
                <w:sz w:val="20"/>
                <w:szCs w:val="20"/>
              </w:rPr>
              <w:t>4101240469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F544B4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F544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измерителя</w:t>
            </w:r>
            <w:r w:rsidRPr="00885A8E">
              <w:rPr>
                <w:rFonts w:ascii="Times New Roman" w:hAnsi="Times New Roman"/>
                <w:sz w:val="20"/>
                <w:szCs w:val="20"/>
              </w:rPr>
              <w:t xml:space="preserve"> артериального давления и частоты пульса автоматические;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OMRON; </w:t>
            </w:r>
            <w:r w:rsidRPr="00885A8E">
              <w:rPr>
                <w:rFonts w:ascii="Times New Roman" w:hAnsi="Times New Roman"/>
                <w:sz w:val="20"/>
                <w:szCs w:val="20"/>
              </w:rPr>
              <w:t>Мод. OMRON 705-IT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6A" w:rsidRPr="005B577A" w:rsidRDefault="00E2706A" w:rsidP="00F544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706A">
              <w:rPr>
                <w:rFonts w:ascii="Times New Roman" w:hAnsi="Times New Roman"/>
                <w:sz w:val="20"/>
                <w:szCs w:val="20"/>
              </w:rPr>
              <w:t>Автоматический измеритель артериального давления OMRON 705-IT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6A" w:rsidRPr="005B577A" w:rsidRDefault="00E2706A" w:rsidP="00F544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4101240470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F544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F544B4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F544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A" w:rsidRPr="005B577A" w:rsidRDefault="00E2706A" w:rsidP="00F544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B943AB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ростомера по ТУ 9452-025-00226454-2006 (АО «ТВЕС»)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Ростомер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5A8E">
              <w:rPr>
                <w:rFonts w:ascii="Times New Roman" w:hAnsi="Times New Roman"/>
                <w:sz w:val="20"/>
                <w:szCs w:val="20"/>
              </w:rPr>
              <w:t>4101341590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E2706A" w:rsidRDefault="00B943AB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:rsidR="00E2706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манометра сигнализирующего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E2706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Манометр показывающие ТМВ-320Т </w:t>
            </w:r>
            <w:r w:rsidRPr="00E2706A">
              <w:rPr>
                <w:rFonts w:ascii="Times New Roman" w:hAnsi="Times New Roman"/>
                <w:sz w:val="20"/>
                <w:szCs w:val="20"/>
              </w:rPr>
              <w:t>(к установке для обеззараживан</w:t>
            </w:r>
            <w:r>
              <w:rPr>
                <w:rFonts w:ascii="Times New Roman" w:hAnsi="Times New Roman"/>
                <w:sz w:val="20"/>
                <w:szCs w:val="20"/>
              </w:rPr>
              <w:t>ия медицинских отходов СМО-75ПЗ)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06A" w:rsidRPr="00885A8E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706A">
              <w:rPr>
                <w:rFonts w:ascii="Times New Roman" w:hAnsi="Times New Roman"/>
                <w:sz w:val="20"/>
                <w:szCs w:val="20"/>
              </w:rPr>
              <w:t>4101241376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E2706A" w:rsidRDefault="00B943AB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:rsidR="00E2706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манометра сигнализирующего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E2706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Манометр показывающие ТМВ-320Т </w:t>
            </w:r>
            <w:r w:rsidRPr="00E2706A">
              <w:rPr>
                <w:rFonts w:ascii="Times New Roman" w:hAnsi="Times New Roman"/>
                <w:sz w:val="20"/>
                <w:szCs w:val="20"/>
              </w:rPr>
              <w:t>(к установке для обеззараживан</w:t>
            </w:r>
            <w:r>
              <w:rPr>
                <w:rFonts w:ascii="Times New Roman" w:hAnsi="Times New Roman"/>
                <w:sz w:val="20"/>
                <w:szCs w:val="20"/>
              </w:rPr>
              <w:t>ия медицинских отходов СМО-75ПЗ)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06A" w:rsidRPr="00885A8E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706A">
              <w:rPr>
                <w:rFonts w:ascii="Times New Roman" w:hAnsi="Times New Roman"/>
                <w:sz w:val="20"/>
                <w:szCs w:val="20"/>
              </w:rPr>
              <w:t>4101241376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E2706A" w:rsidRDefault="00B943AB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:rsidR="00E2706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манометра сигнализирующего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E2706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Манометр показывающие ТМВ-320Т </w:t>
            </w:r>
            <w:r w:rsidRPr="00E2706A">
              <w:rPr>
                <w:rFonts w:ascii="Times New Roman" w:hAnsi="Times New Roman"/>
                <w:sz w:val="20"/>
                <w:szCs w:val="20"/>
              </w:rPr>
              <w:t>(к установке для обеззараживан</w:t>
            </w:r>
            <w:r>
              <w:rPr>
                <w:rFonts w:ascii="Times New Roman" w:hAnsi="Times New Roman"/>
                <w:sz w:val="20"/>
                <w:szCs w:val="20"/>
              </w:rPr>
              <w:t>ия медицинских отходов СМО-75ПЗ)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06A" w:rsidRPr="00885A8E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706A">
              <w:rPr>
                <w:rFonts w:ascii="Times New Roman" w:hAnsi="Times New Roman"/>
                <w:sz w:val="20"/>
                <w:szCs w:val="20"/>
              </w:rPr>
              <w:t>4101241376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06A" w:rsidRPr="005B577A" w:rsidTr="00E2706A">
        <w:trPr>
          <w:cantSplit/>
          <w:trHeight w:val="585"/>
          <w:jc w:val="center"/>
        </w:trPr>
        <w:tc>
          <w:tcPr>
            <w:tcW w:w="539" w:type="dxa"/>
            <w:shd w:val="clear" w:color="auto" w:fill="auto"/>
          </w:tcPr>
          <w:p w:rsidR="00E2706A" w:rsidRPr="005B577A" w:rsidRDefault="00E2706A" w:rsidP="00E2706A">
            <w:pPr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86" w:type="dxa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706A" w:rsidRPr="005B577A" w:rsidRDefault="00337090" w:rsidP="00337090">
            <w:pPr>
              <w:ind w:right="19" w:firstLine="33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706A" w:rsidRPr="005B577A" w:rsidRDefault="00E2706A" w:rsidP="00E2706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02BE" w:rsidRPr="005B577A" w:rsidRDefault="006802BE" w:rsidP="006802BE">
      <w:pPr>
        <w:ind w:firstLine="567"/>
        <w:contextualSpacing/>
        <w:rPr>
          <w:rFonts w:ascii="Times New Roman" w:hAnsi="Times New Roman"/>
          <w:sz w:val="20"/>
          <w:szCs w:val="20"/>
        </w:rPr>
      </w:pPr>
    </w:p>
    <w:p w:rsidR="006802BE" w:rsidRPr="006802BE" w:rsidRDefault="006802BE" w:rsidP="006802BE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5B577A">
        <w:rPr>
          <w:rFonts w:ascii="Times New Roman" w:hAnsi="Times New Roman"/>
          <w:sz w:val="20"/>
          <w:szCs w:val="20"/>
        </w:rPr>
        <w:t xml:space="preserve">Цена </w:t>
      </w:r>
      <w:r w:rsidR="00B64968" w:rsidRPr="005B577A">
        <w:rPr>
          <w:rFonts w:ascii="Times New Roman" w:hAnsi="Times New Roman"/>
          <w:sz w:val="20"/>
          <w:szCs w:val="20"/>
        </w:rPr>
        <w:t>Контракт</w:t>
      </w:r>
      <w:r w:rsidRPr="005B577A">
        <w:rPr>
          <w:rFonts w:ascii="Times New Roman" w:hAnsi="Times New Roman"/>
          <w:sz w:val="20"/>
          <w:szCs w:val="20"/>
        </w:rPr>
        <w:t xml:space="preserve">а, составляет </w:t>
      </w:r>
      <w:r w:rsidR="00851D0D">
        <w:rPr>
          <w:rFonts w:ascii="Times New Roman" w:hAnsi="Times New Roman"/>
          <w:sz w:val="20"/>
          <w:szCs w:val="20"/>
        </w:rPr>
        <w:t>_______________________</w:t>
      </w:r>
      <w:r w:rsidRPr="005B577A">
        <w:rPr>
          <w:rFonts w:ascii="Times New Roman" w:hAnsi="Times New Roman"/>
          <w:sz w:val="20"/>
          <w:szCs w:val="20"/>
        </w:rPr>
        <w:t xml:space="preserve"> </w:t>
      </w:r>
    </w:p>
    <w:p w:rsidR="006802BE" w:rsidRPr="006802BE" w:rsidRDefault="006802BE" w:rsidP="006802B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W w:w="10139" w:type="dxa"/>
        <w:tblLook w:val="0000" w:firstRow="0" w:lastRow="0" w:firstColumn="0" w:lastColumn="0" w:noHBand="0" w:noVBand="0"/>
      </w:tblPr>
      <w:tblGrid>
        <w:gridCol w:w="4786"/>
        <w:gridCol w:w="567"/>
        <w:gridCol w:w="4219"/>
        <w:gridCol w:w="567"/>
      </w:tblGrid>
      <w:tr w:rsidR="006802BE" w:rsidRPr="006802BE" w:rsidTr="001C5716">
        <w:tc>
          <w:tcPr>
            <w:tcW w:w="5353" w:type="dxa"/>
            <w:gridSpan w:val="2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02BE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gridSpan w:val="2"/>
          </w:tcPr>
          <w:p w:rsidR="006802BE" w:rsidRDefault="006802BE" w:rsidP="001C5716">
            <w:pPr>
              <w:ind w:firstLine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02BE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1C5716" w:rsidRPr="00B47952" w:rsidRDefault="001C5716" w:rsidP="001C571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4795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1C5716" w:rsidRPr="00B47952" w:rsidRDefault="001C5716" w:rsidP="001C571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47952">
              <w:rPr>
                <w:rFonts w:ascii="Times New Roman" w:hAnsi="Times New Roman"/>
                <w:sz w:val="24"/>
                <w:szCs w:val="24"/>
              </w:rPr>
              <w:t>по информационным технологиям</w:t>
            </w:r>
          </w:p>
          <w:p w:rsidR="001C5716" w:rsidRDefault="001C5716" w:rsidP="001C571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47952">
              <w:rPr>
                <w:rFonts w:ascii="Times New Roman" w:hAnsi="Times New Roman"/>
                <w:sz w:val="24"/>
                <w:szCs w:val="24"/>
              </w:rPr>
              <w:t>ФГБУЗ Центр крови ФМБА России</w:t>
            </w:r>
          </w:p>
          <w:p w:rsidR="001C5716" w:rsidRPr="006802BE" w:rsidRDefault="001C5716" w:rsidP="004E290E">
            <w:pPr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02BE" w:rsidRPr="006802BE" w:rsidTr="001C5716">
        <w:trPr>
          <w:gridAfter w:val="1"/>
          <w:wAfter w:w="567" w:type="dxa"/>
        </w:trPr>
        <w:tc>
          <w:tcPr>
            <w:tcW w:w="4786" w:type="dxa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2BE" w:rsidRPr="006802BE" w:rsidTr="001C5716">
        <w:trPr>
          <w:gridAfter w:val="1"/>
          <w:wAfter w:w="567" w:type="dxa"/>
        </w:trPr>
        <w:tc>
          <w:tcPr>
            <w:tcW w:w="4786" w:type="dxa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02BE">
              <w:rPr>
                <w:rFonts w:ascii="Times New Roman" w:hAnsi="Times New Roman"/>
                <w:sz w:val="24"/>
                <w:szCs w:val="24"/>
              </w:rPr>
              <w:t>_________________ /_____________/</w:t>
            </w:r>
          </w:p>
        </w:tc>
        <w:tc>
          <w:tcPr>
            <w:tcW w:w="4786" w:type="dxa"/>
            <w:gridSpan w:val="2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02BE">
              <w:rPr>
                <w:rFonts w:ascii="Times New Roman" w:hAnsi="Times New Roman"/>
                <w:sz w:val="24"/>
                <w:szCs w:val="24"/>
              </w:rPr>
              <w:t>_</w:t>
            </w:r>
            <w:r w:rsidR="00F544B4">
              <w:rPr>
                <w:rFonts w:ascii="Times New Roman" w:hAnsi="Times New Roman"/>
                <w:sz w:val="24"/>
                <w:szCs w:val="24"/>
              </w:rPr>
              <w:t xml:space="preserve">________________/ А.А. Бураков </w:t>
            </w:r>
            <w:r w:rsidRPr="006802BE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6802BE" w:rsidRPr="006802BE" w:rsidTr="001C5716">
        <w:trPr>
          <w:gridAfter w:val="1"/>
          <w:wAfter w:w="567" w:type="dxa"/>
        </w:trPr>
        <w:tc>
          <w:tcPr>
            <w:tcW w:w="4786" w:type="dxa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02B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  <w:gridSpan w:val="2"/>
          </w:tcPr>
          <w:p w:rsidR="006802BE" w:rsidRPr="006802BE" w:rsidRDefault="006802BE" w:rsidP="004E290E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02B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0C7A0A" w:rsidRDefault="000C7A0A" w:rsidP="00BE6F2D">
      <w:pPr>
        <w:contextualSpacing/>
        <w:rPr>
          <w:rFonts w:ascii="Times New Roman" w:hAnsi="Times New Roman"/>
          <w:sz w:val="24"/>
          <w:szCs w:val="24"/>
        </w:rPr>
      </w:pPr>
    </w:p>
    <w:p w:rsidR="00BE6F2D" w:rsidRPr="006802BE" w:rsidRDefault="00BE6F2D" w:rsidP="00BE6F2D">
      <w:pPr>
        <w:contextualSpacing/>
        <w:rPr>
          <w:rFonts w:ascii="Times New Roman" w:hAnsi="Times New Roman"/>
          <w:sz w:val="24"/>
          <w:szCs w:val="24"/>
        </w:rPr>
      </w:pPr>
    </w:p>
    <w:sectPr w:rsidR="00BE6F2D" w:rsidRPr="006802BE" w:rsidSect="00F7050C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2A29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69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5EB3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BEC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2A1E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D8B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B8C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5294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0A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3AF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71F13"/>
    <w:multiLevelType w:val="multilevel"/>
    <w:tmpl w:val="B1024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955EF3"/>
    <w:multiLevelType w:val="multilevel"/>
    <w:tmpl w:val="8CF4E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D0591"/>
    <w:multiLevelType w:val="multilevel"/>
    <w:tmpl w:val="545007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920"/>
        </w:tabs>
        <w:ind w:left="1920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2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13" w15:restartNumberingAfterBreak="0">
    <w:nsid w:val="405D7670"/>
    <w:multiLevelType w:val="multilevel"/>
    <w:tmpl w:val="1BD4D7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E84"/>
    <w:rsid w:val="00002AAC"/>
    <w:rsid w:val="00004945"/>
    <w:rsid w:val="00016889"/>
    <w:rsid w:val="0002765E"/>
    <w:rsid w:val="00040BB6"/>
    <w:rsid w:val="00045CAF"/>
    <w:rsid w:val="00046DF4"/>
    <w:rsid w:val="00071B11"/>
    <w:rsid w:val="000807CF"/>
    <w:rsid w:val="000810B4"/>
    <w:rsid w:val="000867A7"/>
    <w:rsid w:val="00096F60"/>
    <w:rsid w:val="000A1550"/>
    <w:rsid w:val="000A775D"/>
    <w:rsid w:val="000B180F"/>
    <w:rsid w:val="000C4359"/>
    <w:rsid w:val="000C7A0A"/>
    <w:rsid w:val="000D2D11"/>
    <w:rsid w:val="000E2C20"/>
    <w:rsid w:val="000E3508"/>
    <w:rsid w:val="000F28B7"/>
    <w:rsid w:val="001015C4"/>
    <w:rsid w:val="0010238E"/>
    <w:rsid w:val="00115A0A"/>
    <w:rsid w:val="00120CDD"/>
    <w:rsid w:val="001228E1"/>
    <w:rsid w:val="001341DB"/>
    <w:rsid w:val="00141597"/>
    <w:rsid w:val="00141DDD"/>
    <w:rsid w:val="00146EA7"/>
    <w:rsid w:val="0015402A"/>
    <w:rsid w:val="00157F90"/>
    <w:rsid w:val="0016208D"/>
    <w:rsid w:val="001672EA"/>
    <w:rsid w:val="00177333"/>
    <w:rsid w:val="0018713D"/>
    <w:rsid w:val="00192738"/>
    <w:rsid w:val="001B4768"/>
    <w:rsid w:val="001C5716"/>
    <w:rsid w:val="001D26B1"/>
    <w:rsid w:val="001D552C"/>
    <w:rsid w:val="001E1599"/>
    <w:rsid w:val="001E3BAD"/>
    <w:rsid w:val="001E475F"/>
    <w:rsid w:val="00201631"/>
    <w:rsid w:val="0020229F"/>
    <w:rsid w:val="00231069"/>
    <w:rsid w:val="00247962"/>
    <w:rsid w:val="00247B9F"/>
    <w:rsid w:val="00270B2B"/>
    <w:rsid w:val="0027735E"/>
    <w:rsid w:val="00295032"/>
    <w:rsid w:val="002D02AF"/>
    <w:rsid w:val="002E53CA"/>
    <w:rsid w:val="002F54D6"/>
    <w:rsid w:val="002F637B"/>
    <w:rsid w:val="00305EAC"/>
    <w:rsid w:val="0030626C"/>
    <w:rsid w:val="00322C52"/>
    <w:rsid w:val="00337090"/>
    <w:rsid w:val="00337261"/>
    <w:rsid w:val="003433F5"/>
    <w:rsid w:val="00343FC3"/>
    <w:rsid w:val="0034526F"/>
    <w:rsid w:val="00350500"/>
    <w:rsid w:val="00363C79"/>
    <w:rsid w:val="00366205"/>
    <w:rsid w:val="00367767"/>
    <w:rsid w:val="00370EFE"/>
    <w:rsid w:val="00393898"/>
    <w:rsid w:val="003A6133"/>
    <w:rsid w:val="003A6211"/>
    <w:rsid w:val="003A717E"/>
    <w:rsid w:val="003C4300"/>
    <w:rsid w:val="003E5E50"/>
    <w:rsid w:val="003E7341"/>
    <w:rsid w:val="003F3D10"/>
    <w:rsid w:val="004159B5"/>
    <w:rsid w:val="00416FF0"/>
    <w:rsid w:val="00417B8C"/>
    <w:rsid w:val="00431753"/>
    <w:rsid w:val="00433857"/>
    <w:rsid w:val="00445D51"/>
    <w:rsid w:val="00446E8D"/>
    <w:rsid w:val="00447013"/>
    <w:rsid w:val="00447BCB"/>
    <w:rsid w:val="00456AEC"/>
    <w:rsid w:val="00460348"/>
    <w:rsid w:val="004624A9"/>
    <w:rsid w:val="00471555"/>
    <w:rsid w:val="0048269A"/>
    <w:rsid w:val="004928DC"/>
    <w:rsid w:val="0049569F"/>
    <w:rsid w:val="004965C5"/>
    <w:rsid w:val="004A66CA"/>
    <w:rsid w:val="004C1B02"/>
    <w:rsid w:val="004C6D6A"/>
    <w:rsid w:val="004C70D2"/>
    <w:rsid w:val="004C7B34"/>
    <w:rsid w:val="004D583C"/>
    <w:rsid w:val="004D63B5"/>
    <w:rsid w:val="004E290E"/>
    <w:rsid w:val="004E7157"/>
    <w:rsid w:val="004E737B"/>
    <w:rsid w:val="004F357A"/>
    <w:rsid w:val="004F47C8"/>
    <w:rsid w:val="004F4BF1"/>
    <w:rsid w:val="004F5484"/>
    <w:rsid w:val="00501638"/>
    <w:rsid w:val="00524029"/>
    <w:rsid w:val="00537A66"/>
    <w:rsid w:val="00541190"/>
    <w:rsid w:val="00572ABA"/>
    <w:rsid w:val="005755A6"/>
    <w:rsid w:val="00585295"/>
    <w:rsid w:val="005A459E"/>
    <w:rsid w:val="005B577A"/>
    <w:rsid w:val="005C54FB"/>
    <w:rsid w:val="005D6D63"/>
    <w:rsid w:val="005E231F"/>
    <w:rsid w:val="005F35F9"/>
    <w:rsid w:val="00601449"/>
    <w:rsid w:val="00605E0D"/>
    <w:rsid w:val="00615F82"/>
    <w:rsid w:val="00620A3B"/>
    <w:rsid w:val="006301E9"/>
    <w:rsid w:val="00633C61"/>
    <w:rsid w:val="00634285"/>
    <w:rsid w:val="0063486B"/>
    <w:rsid w:val="0063564C"/>
    <w:rsid w:val="0064212C"/>
    <w:rsid w:val="00642B99"/>
    <w:rsid w:val="006473F1"/>
    <w:rsid w:val="0065336A"/>
    <w:rsid w:val="006706E4"/>
    <w:rsid w:val="006802BE"/>
    <w:rsid w:val="00682EB7"/>
    <w:rsid w:val="00693503"/>
    <w:rsid w:val="006A047D"/>
    <w:rsid w:val="006A2716"/>
    <w:rsid w:val="006B5914"/>
    <w:rsid w:val="006B6888"/>
    <w:rsid w:val="006C391B"/>
    <w:rsid w:val="006C7206"/>
    <w:rsid w:val="006D4498"/>
    <w:rsid w:val="006E324C"/>
    <w:rsid w:val="00705B1E"/>
    <w:rsid w:val="00710D92"/>
    <w:rsid w:val="00715CA5"/>
    <w:rsid w:val="007171CD"/>
    <w:rsid w:val="0072610D"/>
    <w:rsid w:val="007267AC"/>
    <w:rsid w:val="00726825"/>
    <w:rsid w:val="00726B95"/>
    <w:rsid w:val="00732C2C"/>
    <w:rsid w:val="00741C5B"/>
    <w:rsid w:val="007427D7"/>
    <w:rsid w:val="007435B4"/>
    <w:rsid w:val="007528ED"/>
    <w:rsid w:val="007604E8"/>
    <w:rsid w:val="00761D8F"/>
    <w:rsid w:val="0076303C"/>
    <w:rsid w:val="00765AEA"/>
    <w:rsid w:val="007664A2"/>
    <w:rsid w:val="007667BA"/>
    <w:rsid w:val="007934D3"/>
    <w:rsid w:val="007957C1"/>
    <w:rsid w:val="007B6E50"/>
    <w:rsid w:val="007B7833"/>
    <w:rsid w:val="007C1461"/>
    <w:rsid w:val="007C20F8"/>
    <w:rsid w:val="007C6410"/>
    <w:rsid w:val="007C6847"/>
    <w:rsid w:val="007E44FB"/>
    <w:rsid w:val="007E473E"/>
    <w:rsid w:val="007E6F7C"/>
    <w:rsid w:val="008107DC"/>
    <w:rsid w:val="008247E6"/>
    <w:rsid w:val="008255D9"/>
    <w:rsid w:val="0083036A"/>
    <w:rsid w:val="00831E84"/>
    <w:rsid w:val="00843EDC"/>
    <w:rsid w:val="00847672"/>
    <w:rsid w:val="00851D0D"/>
    <w:rsid w:val="008674D2"/>
    <w:rsid w:val="00871446"/>
    <w:rsid w:val="008734D5"/>
    <w:rsid w:val="00873797"/>
    <w:rsid w:val="00873B72"/>
    <w:rsid w:val="0088133B"/>
    <w:rsid w:val="0088368D"/>
    <w:rsid w:val="00885A8E"/>
    <w:rsid w:val="00887232"/>
    <w:rsid w:val="008915AE"/>
    <w:rsid w:val="00892995"/>
    <w:rsid w:val="008935F9"/>
    <w:rsid w:val="00894197"/>
    <w:rsid w:val="008A6B51"/>
    <w:rsid w:val="008B5A53"/>
    <w:rsid w:val="008D331E"/>
    <w:rsid w:val="00900C85"/>
    <w:rsid w:val="00907364"/>
    <w:rsid w:val="009201C1"/>
    <w:rsid w:val="00920A14"/>
    <w:rsid w:val="00935C69"/>
    <w:rsid w:val="00936F65"/>
    <w:rsid w:val="00937DA7"/>
    <w:rsid w:val="00944106"/>
    <w:rsid w:val="00971C1C"/>
    <w:rsid w:val="009913C6"/>
    <w:rsid w:val="009930AF"/>
    <w:rsid w:val="00996778"/>
    <w:rsid w:val="009A1E74"/>
    <w:rsid w:val="009B5B3B"/>
    <w:rsid w:val="009C0C9E"/>
    <w:rsid w:val="009C6DEA"/>
    <w:rsid w:val="009D1EF0"/>
    <w:rsid w:val="009D3A94"/>
    <w:rsid w:val="009E1167"/>
    <w:rsid w:val="009E570E"/>
    <w:rsid w:val="00A2590D"/>
    <w:rsid w:val="00A2714F"/>
    <w:rsid w:val="00A3488D"/>
    <w:rsid w:val="00A463D7"/>
    <w:rsid w:val="00A47E93"/>
    <w:rsid w:val="00A65C96"/>
    <w:rsid w:val="00A94CF9"/>
    <w:rsid w:val="00A975E8"/>
    <w:rsid w:val="00A97A17"/>
    <w:rsid w:val="00AB1767"/>
    <w:rsid w:val="00AB39EF"/>
    <w:rsid w:val="00AB3BE7"/>
    <w:rsid w:val="00AC171D"/>
    <w:rsid w:val="00AD19FB"/>
    <w:rsid w:val="00AE6DAE"/>
    <w:rsid w:val="00AF29D2"/>
    <w:rsid w:val="00B056C4"/>
    <w:rsid w:val="00B33F4C"/>
    <w:rsid w:val="00B43284"/>
    <w:rsid w:val="00B4347E"/>
    <w:rsid w:val="00B44721"/>
    <w:rsid w:val="00B47952"/>
    <w:rsid w:val="00B56BF7"/>
    <w:rsid w:val="00B64968"/>
    <w:rsid w:val="00B72026"/>
    <w:rsid w:val="00B720B4"/>
    <w:rsid w:val="00B7363E"/>
    <w:rsid w:val="00B75A1C"/>
    <w:rsid w:val="00B7673E"/>
    <w:rsid w:val="00B861C1"/>
    <w:rsid w:val="00B943AB"/>
    <w:rsid w:val="00B952FA"/>
    <w:rsid w:val="00B9753B"/>
    <w:rsid w:val="00BA0452"/>
    <w:rsid w:val="00BA0856"/>
    <w:rsid w:val="00BA6059"/>
    <w:rsid w:val="00BB6103"/>
    <w:rsid w:val="00BC0DAD"/>
    <w:rsid w:val="00BC2D55"/>
    <w:rsid w:val="00BD39E1"/>
    <w:rsid w:val="00BD3AFF"/>
    <w:rsid w:val="00BE51C7"/>
    <w:rsid w:val="00BE6F2D"/>
    <w:rsid w:val="00BF12F6"/>
    <w:rsid w:val="00BF1783"/>
    <w:rsid w:val="00BF394B"/>
    <w:rsid w:val="00BF5A1C"/>
    <w:rsid w:val="00C05B51"/>
    <w:rsid w:val="00C35F3E"/>
    <w:rsid w:val="00C44A38"/>
    <w:rsid w:val="00C47E35"/>
    <w:rsid w:val="00C57D05"/>
    <w:rsid w:val="00C6192A"/>
    <w:rsid w:val="00C63592"/>
    <w:rsid w:val="00C63C60"/>
    <w:rsid w:val="00C7567F"/>
    <w:rsid w:val="00C81B52"/>
    <w:rsid w:val="00C85503"/>
    <w:rsid w:val="00C94C4E"/>
    <w:rsid w:val="00C95FD6"/>
    <w:rsid w:val="00C96DF0"/>
    <w:rsid w:val="00CA0B95"/>
    <w:rsid w:val="00CA62F1"/>
    <w:rsid w:val="00CA735A"/>
    <w:rsid w:val="00CA789E"/>
    <w:rsid w:val="00CB162F"/>
    <w:rsid w:val="00CB3D71"/>
    <w:rsid w:val="00CC2D78"/>
    <w:rsid w:val="00CC371B"/>
    <w:rsid w:val="00CC46FB"/>
    <w:rsid w:val="00CD6404"/>
    <w:rsid w:val="00CE1710"/>
    <w:rsid w:val="00CF23B3"/>
    <w:rsid w:val="00CF75AA"/>
    <w:rsid w:val="00D06FEF"/>
    <w:rsid w:val="00D26041"/>
    <w:rsid w:val="00D37DE7"/>
    <w:rsid w:val="00D476A6"/>
    <w:rsid w:val="00D5060A"/>
    <w:rsid w:val="00D53C11"/>
    <w:rsid w:val="00D547E0"/>
    <w:rsid w:val="00D66B56"/>
    <w:rsid w:val="00D96F46"/>
    <w:rsid w:val="00DA494E"/>
    <w:rsid w:val="00DA5F89"/>
    <w:rsid w:val="00DB490E"/>
    <w:rsid w:val="00DB7818"/>
    <w:rsid w:val="00DC56E8"/>
    <w:rsid w:val="00DD0D60"/>
    <w:rsid w:val="00DE2C24"/>
    <w:rsid w:val="00DE3833"/>
    <w:rsid w:val="00DF1423"/>
    <w:rsid w:val="00DF72C4"/>
    <w:rsid w:val="00E0742D"/>
    <w:rsid w:val="00E2706A"/>
    <w:rsid w:val="00E33825"/>
    <w:rsid w:val="00E36635"/>
    <w:rsid w:val="00E40987"/>
    <w:rsid w:val="00E42DAB"/>
    <w:rsid w:val="00E458F1"/>
    <w:rsid w:val="00E52315"/>
    <w:rsid w:val="00E623FD"/>
    <w:rsid w:val="00E77B6B"/>
    <w:rsid w:val="00E8559F"/>
    <w:rsid w:val="00EA5D69"/>
    <w:rsid w:val="00EB493D"/>
    <w:rsid w:val="00ED0033"/>
    <w:rsid w:val="00ED47F9"/>
    <w:rsid w:val="00ED4A92"/>
    <w:rsid w:val="00EF0036"/>
    <w:rsid w:val="00EF6406"/>
    <w:rsid w:val="00F20DD0"/>
    <w:rsid w:val="00F2133A"/>
    <w:rsid w:val="00F231BD"/>
    <w:rsid w:val="00F40E2F"/>
    <w:rsid w:val="00F544B4"/>
    <w:rsid w:val="00F6094B"/>
    <w:rsid w:val="00F6246C"/>
    <w:rsid w:val="00F62CDD"/>
    <w:rsid w:val="00F6762B"/>
    <w:rsid w:val="00F7050C"/>
    <w:rsid w:val="00F734D0"/>
    <w:rsid w:val="00F87B31"/>
    <w:rsid w:val="00F9565E"/>
    <w:rsid w:val="00F97B71"/>
    <w:rsid w:val="00FA057F"/>
    <w:rsid w:val="00FB046B"/>
    <w:rsid w:val="00FC6DD9"/>
    <w:rsid w:val="00FD73D4"/>
    <w:rsid w:val="00FE1895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8DCCA-E8A9-4106-A747-74C246E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1E84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color w:val="333333"/>
      <w:kern w:val="36"/>
      <w:sz w:val="26"/>
      <w:szCs w:val="26"/>
      <w:lang w:val="x-none" w:eastAsia="ru-RU"/>
    </w:rPr>
  </w:style>
  <w:style w:type="paragraph" w:styleId="5">
    <w:name w:val="heading 5"/>
    <w:basedOn w:val="a"/>
    <w:next w:val="a"/>
    <w:qFormat/>
    <w:rsid w:val="00FD73D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aliases w:val=" Знак Знак1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1E84"/>
    <w:rPr>
      <w:rFonts w:ascii="Arial" w:eastAsia="Times New Roman" w:hAnsi="Arial" w:cs="Arial"/>
      <w:b/>
      <w:bCs/>
      <w:color w:val="333333"/>
      <w:kern w:val="36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1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333333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semiHidden/>
    <w:rsid w:val="00831E84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a3">
    <w:basedOn w:val="a"/>
    <w:rsid w:val="000807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393898"/>
    <w:pPr>
      <w:spacing w:after="0" w:line="240" w:lineRule="auto"/>
      <w:ind w:right="-261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Знак"/>
    <w:link w:val="a4"/>
    <w:rsid w:val="00393898"/>
    <w:rPr>
      <w:sz w:val="24"/>
      <w:szCs w:val="24"/>
      <w:lang w:val="ru-RU" w:eastAsia="ru-RU" w:bidi="ar-SA"/>
    </w:rPr>
  </w:style>
  <w:style w:type="paragraph" w:customStyle="1" w:styleId="3">
    <w:name w:val="Стиль3"/>
    <w:basedOn w:val="2"/>
    <w:link w:val="30"/>
    <w:rsid w:val="00393898"/>
    <w:pPr>
      <w:widowControl w:val="0"/>
      <w:tabs>
        <w:tab w:val="num" w:pos="1209"/>
      </w:tabs>
      <w:adjustRightInd w:val="0"/>
      <w:spacing w:after="0" w:line="240" w:lineRule="auto"/>
      <w:ind w:left="1209" w:hanging="360"/>
      <w:jc w:val="both"/>
    </w:pPr>
    <w:rPr>
      <w:sz w:val="24"/>
      <w:szCs w:val="20"/>
      <w:lang w:eastAsia="ru-RU"/>
    </w:rPr>
  </w:style>
  <w:style w:type="character" w:customStyle="1" w:styleId="30">
    <w:name w:val="Стиль3 Знак"/>
    <w:link w:val="3"/>
    <w:rsid w:val="00393898"/>
    <w:rPr>
      <w:sz w:val="24"/>
      <w:lang w:val="ru-RU" w:eastAsia="ru-RU" w:bidi="ar-SA"/>
    </w:rPr>
  </w:style>
  <w:style w:type="paragraph" w:styleId="2">
    <w:name w:val="Body Text Indent 2"/>
    <w:basedOn w:val="a"/>
    <w:rsid w:val="00393898"/>
    <w:pPr>
      <w:spacing w:after="120" w:line="480" w:lineRule="auto"/>
      <w:ind w:left="283"/>
    </w:pPr>
  </w:style>
  <w:style w:type="character" w:styleId="a6">
    <w:name w:val="annotation reference"/>
    <w:uiPriority w:val="99"/>
    <w:rsid w:val="006706E4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6706E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6706E4"/>
    <w:rPr>
      <w:lang w:eastAsia="en-US"/>
    </w:rPr>
  </w:style>
  <w:style w:type="paragraph" w:styleId="a9">
    <w:name w:val="annotation subject"/>
    <w:basedOn w:val="a7"/>
    <w:next w:val="a7"/>
    <w:link w:val="aa"/>
    <w:rsid w:val="006706E4"/>
    <w:rPr>
      <w:b/>
      <w:bCs/>
    </w:rPr>
  </w:style>
  <w:style w:type="character" w:customStyle="1" w:styleId="aa">
    <w:name w:val="Тема примечания Знак"/>
    <w:link w:val="a9"/>
    <w:rsid w:val="006706E4"/>
    <w:rPr>
      <w:b/>
      <w:bCs/>
      <w:lang w:eastAsia="en-US"/>
    </w:rPr>
  </w:style>
  <w:style w:type="paragraph" w:styleId="ab">
    <w:name w:val="Balloon Text"/>
    <w:basedOn w:val="a"/>
    <w:link w:val="ac"/>
    <w:rsid w:val="006706E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706E4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link w:val="ae"/>
    <w:uiPriority w:val="1"/>
    <w:qFormat/>
    <w:rsid w:val="003F3D10"/>
    <w:rPr>
      <w:sz w:val="22"/>
      <w:szCs w:val="22"/>
      <w:lang w:eastAsia="en-US"/>
    </w:rPr>
  </w:style>
  <w:style w:type="paragraph" w:styleId="af">
    <w:name w:val="List"/>
    <w:basedOn w:val="a"/>
    <w:rsid w:val="003F3D1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367767"/>
    <w:pPr>
      <w:spacing w:after="120"/>
      <w:ind w:left="283"/>
    </w:pPr>
    <w:rPr>
      <w:lang w:val="x-none"/>
    </w:rPr>
  </w:style>
  <w:style w:type="character" w:customStyle="1" w:styleId="af1">
    <w:name w:val="Основной текст с отступом Знак"/>
    <w:link w:val="af0"/>
    <w:rsid w:val="00367767"/>
    <w:rPr>
      <w:sz w:val="22"/>
      <w:szCs w:val="22"/>
      <w:lang w:eastAsia="en-US"/>
    </w:rPr>
  </w:style>
  <w:style w:type="paragraph" w:customStyle="1" w:styleId="ConsNormal">
    <w:name w:val="ConsNormal"/>
    <w:rsid w:val="00935C69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styleId="af2">
    <w:name w:val="List Paragraph"/>
    <w:basedOn w:val="a"/>
    <w:link w:val="af3"/>
    <w:uiPriority w:val="34"/>
    <w:qFormat/>
    <w:rsid w:val="003C43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3C430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basedOn w:val="a"/>
    <w:rsid w:val="003C4300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7427D7"/>
    <w:rPr>
      <w:sz w:val="22"/>
      <w:szCs w:val="22"/>
      <w:lang w:eastAsia="en-US"/>
    </w:rPr>
  </w:style>
  <w:style w:type="character" w:styleId="af4">
    <w:name w:val="Hyperlink"/>
    <w:unhideWhenUsed/>
    <w:rsid w:val="005A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D405EC0DC480BF9CA3A1AACF611739C7F2EF4702CFC96575D15827BDA7222E0C8C0D0CBBEC683ELAL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(ОБЩАЯ ФОРМА)</vt:lpstr>
    </vt:vector>
  </TitlesOfParts>
  <Company>Капекс-СФ</Company>
  <LinksUpToDate>false</LinksUpToDate>
  <CharactersWithSpaces>26447</CharactersWithSpaces>
  <SharedDoc>false</SharedDoc>
  <HLinks>
    <vt:vector size="6" baseType="variant">
      <vt:variant>
        <vt:i4>7798835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consultantplus://offline/ref=D4D405EC0DC480BF9CA3A1AACF611739C7F2EF4702CFC96575D15827BDA7222E0C8C0D0CBBEC683ELALBO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(ОБЩАЯ ФОРМА)</dc:title>
  <dc:subject/>
  <dc:creator>reshetov</dc:creator>
  <cp:keywords/>
  <cp:lastModifiedBy>Захаров Андрей Викторович</cp:lastModifiedBy>
  <cp:revision>2</cp:revision>
  <cp:lastPrinted>2015-09-21T09:01:00Z</cp:lastPrinted>
  <dcterms:created xsi:type="dcterms:W3CDTF">2026-06-30T13:30:00Z</dcterms:created>
  <dcterms:modified xsi:type="dcterms:W3CDTF">2026-06-30T13:30:00Z</dcterms:modified>
</cp:coreProperties>
</file>