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Lines/>
        <w:keepNext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sz w:val="22"/>
          <w:szCs w:val="22"/>
        </w:rPr>
      </w:r>
      <w:bookmarkStart w:id="0" w:name="sub_11"/>
      <w:r>
        <w:rPr>
          <w:sz w:val="22"/>
          <w:szCs w:val="22"/>
        </w:rPr>
      </w:r>
      <w:bookmarkStart w:id="1" w:name="Par59"/>
      <w:r>
        <w:rPr>
          <w:sz w:val="22"/>
          <w:szCs w:val="22"/>
        </w:rPr>
      </w:r>
      <w:bookmarkEnd w:id="0"/>
      <w:r>
        <w:rPr>
          <w:sz w:val="22"/>
          <w:szCs w:val="22"/>
        </w:rPr>
      </w:r>
      <w:bookmarkEnd w:id="1"/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ПРОЕКТ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ГОСУДАРСТВЕННЫЙ КОНТРАКТ № _______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Оказание услуг по передаче права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использование ПО ViPNet Client 5 for Linux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jc w:val="both"/>
        <w:keepLines/>
        <w:tabs>
          <w:tab w:val="left" w:pos="6379" w:leader="none"/>
        </w:tabs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г. Магадан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«___» __________ 2026 г.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Управление Федеральной службы государственной регистрации, кадастра и картографии по Магаданской области и Чукотскому автономному округу, именуемое в дальнейшем «Заказчик», в лице ___________, действующего на основании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», с одной стороны, 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______________, именуем__ в да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льнейшем «Исполнитель», в лице ________, действующ_____ на основании __________, с другой стороны, вместе именуемые «Стороны» и каждый в отдельности «Сторона», руководствуясь Федеральным законом от 05.04.2013 г. № 44-ФЗ «О контрактной системе в сфере закуп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ок товаров, работ, услуг для обеспечения государственных и муниципальных нужд» (далее – Закон № 44-ФЗ), на основании протокола ___________________ № __________от «____» _________ 20__ года, заключили настоящий контракт (далее – «Контракт») о нижеследующем: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keepLines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360"/>
        <w:jc w:val="center"/>
        <w:keepLines/>
        <w:keepNext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1. </w:t>
      </w:r>
      <w:r>
        <w:rPr>
          <w:rFonts w:ascii="Times New Roman" w:hAnsi="Times New Roman" w:cs="Times New Roman"/>
          <w:b/>
          <w:color w:val="000000" w:themeColor="text1"/>
          <w:spacing w:val="1"/>
          <w:sz w:val="22"/>
          <w:szCs w:val="22"/>
        </w:rPr>
        <w:t xml:space="preserve">ПРЕДМЕТ КОНТРАКТА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75"/>
        <w:keepLines/>
        <w:keepNext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8"/>
        <w:numPr>
          <w:ilvl w:val="1"/>
          <w:numId w:val="6"/>
        </w:numPr>
        <w:contextualSpacing/>
        <w:ind w:left="0" w:firstLine="709"/>
        <w:jc w:val="both"/>
        <w:keepLines/>
        <w:rPr>
          <w:color w:val="000000" w:themeColor="text1"/>
          <w:sz w:val="22"/>
          <w:szCs w:val="22"/>
        </w:rPr>
        <w:outlineLvl w:val="7"/>
      </w:pPr>
      <w:r>
        <w:rPr>
          <w:color w:val="000000" w:themeColor="text1"/>
          <w:sz w:val="22"/>
          <w:szCs w:val="22"/>
        </w:rPr>
        <w:t xml:space="preserve">Исполнитель обязуется оказать услуги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по передаче права на использование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ViPNet Client 5 for Linux с сертификатом техподдержки и установочным комплектом (1шт)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(далее по тексту – услуги) в соответствии с Техническим заданием (Приложение № 1 к Контракту), являющимся неотъемлемой частью Контракта, а Заказчик обязуется принять и оплатить оказанные услуги в порядке и на условиях, предусмотренных в Контракте.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numPr>
          <w:ilvl w:val="1"/>
          <w:numId w:val="6"/>
        </w:numPr>
        <w:ind w:left="0" w:firstLine="709"/>
        <w:jc w:val="both"/>
        <w:widowControl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Наименование программного обеспечения, права на использование которого предоставляются (передаются) Исполнителем Заказчику, указываются в Спецификации (Приложение № 2), являющейся неотъемлемой частью настоящего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numPr>
          <w:ilvl w:val="1"/>
          <w:numId w:val="6"/>
        </w:numPr>
        <w:ind w:left="0" w:firstLine="709"/>
        <w:jc w:val="both"/>
        <w:widowControl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действует на основании лицензии ________.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numPr>
          <w:ilvl w:val="1"/>
          <w:numId w:val="6"/>
        </w:numPr>
        <w:ind w:left="0" w:firstLine="709"/>
        <w:jc w:val="both"/>
        <w:widowControl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Использование результата интеллектуальной деятельности допускается на территории Российской Федерации.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numPr>
          <w:ilvl w:val="1"/>
          <w:numId w:val="6"/>
        </w:numPr>
        <w:ind w:left="0" w:firstLine="709"/>
        <w:jc w:val="both"/>
        <w:widowControl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Настоящим Исполнитель подтверждает, что он действует в пределах прав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и полномочий, предоставленных ему право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обладателем программного обеспечения для ЭВМ, и на момент предоставления (передачи) Заказчику права на использование программного обеспечения для ЭВМ оно не заложено, не арестовано, не является предметом исков третьих лиц и является лицензионным продуктом.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8"/>
        <w:contextualSpacing/>
        <w:ind w:firstLine="720"/>
        <w:jc w:val="both"/>
        <w:keepLines/>
        <w:rPr>
          <w:color w:val="000000" w:themeColor="text1"/>
          <w:sz w:val="22"/>
          <w:szCs w:val="22"/>
        </w:rPr>
        <w:outlineLvl w:val="7"/>
      </w:pPr>
      <w:r>
        <w:rPr>
          <w:iCs/>
          <w:color w:val="000000" w:themeColor="text1"/>
          <w:sz w:val="22"/>
          <w:szCs w:val="22"/>
        </w:rPr>
        <w:t xml:space="preserve">1.6</w:t>
      </w:r>
      <w:r>
        <w:rPr>
          <w:iCs/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Оказание услуг осуществляется Исполните</w:t>
      </w:r>
      <w:r>
        <w:rPr>
          <w:color w:val="000000" w:themeColor="text1"/>
          <w:sz w:val="22"/>
          <w:szCs w:val="22"/>
        </w:rPr>
        <w:t xml:space="preserve">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firstLine="709"/>
        <w:jc w:val="center"/>
        <w:widowControl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2. ЦЕНА КОНТРАКТА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И ПОРЯДОК ОПЛАТЫ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keepNext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 xml:space="preserve">Цена настоящего Контракта составляет _______________ </w:t>
      </w:r>
      <w:r>
        <w:rPr>
          <w:rFonts w:ascii="Times New Roman" w:hAnsi="Times New Roman" w:cs="Times New Roman"/>
          <w:sz w:val="22"/>
          <w:szCs w:val="22"/>
        </w:rPr>
        <w:t xml:space="preserve">( _</w:t>
      </w:r>
      <w:r>
        <w:rPr>
          <w:rFonts w:ascii="Times New Roman" w:hAnsi="Times New Roman" w:cs="Times New Roman"/>
          <w:sz w:val="22"/>
          <w:szCs w:val="22"/>
        </w:rPr>
        <w:t xml:space="preserve">______________ ) рублей __ копеек, в том числе НДС_____________/НДС не облагается на основании______________________________________(В случае, если НДС не облагается, то указывается ссылка на статью Налогового Кодекса Российской Федерации).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Цена Контракта является твердой и определяется на весь срок исполнения </w:t>
      </w:r>
      <w:r>
        <w:rPr>
          <w:rFonts w:ascii="Times New Roman" w:hAnsi="Times New Roman" w:cs="Times New Roman"/>
          <w:sz w:val="22"/>
          <w:szCs w:val="22"/>
        </w:rPr>
        <w:t xml:space="preserve">Контракта, за исключением случаев, предусмотренных Законом №44-ФЗ, настоящим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Цена контракта включает в себя все расходы, связан</w:t>
      </w:r>
      <w:r>
        <w:rPr>
          <w:rFonts w:ascii="Times New Roman" w:hAnsi="Times New Roman" w:cs="Times New Roman"/>
          <w:sz w:val="22"/>
          <w:szCs w:val="22"/>
        </w:rPr>
        <w:t xml:space="preserve">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</w:t>
      </w:r>
      <w:r>
        <w:rPr>
          <w:rFonts w:ascii="Times New Roman" w:hAnsi="Times New Roman" w:cs="Times New Roman"/>
          <w:sz w:val="22"/>
          <w:szCs w:val="22"/>
        </w:rPr>
        <w:t xml:space="preserve">нных с оплатой Контракта.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rFonts w:ascii="Times New Roman" w:hAnsi="Times New Roman" w:cs="Times New Roman"/>
          <w:sz w:val="22"/>
          <w:szCs w:val="22"/>
        </w:rPr>
        <w:t xml:space="preserve">Заказчиком.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2.3. Оплата по Контракту осуществляется в безналичной форме путем перечисления денежных средств на счет Исполнителя, указанный в Контракте, в течение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5 (пяти) рабочих дней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даты подписания Заказчиком документа о приемке.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8"/>
        <w:jc w:val="both"/>
        <w:spacing w:line="233" w:lineRule="auto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sz w:val="22"/>
          <w:szCs w:val="22"/>
        </w:rPr>
        <w:t xml:space="preserve">Обязательства Заказчика по оплате считаются исполненными с момента списания денежных средств с расчетного счета Заказчик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8"/>
        <w:jc w:val="both"/>
        <w:spacing w:line="233" w:lineRule="auto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2.4. Валюта, используемая для расчетов - рубль Российской Федерации.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9"/>
        <w:jc w:val="both"/>
        <w:keepNext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2.5.Источник финансирования: федеральный бюджет.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9"/>
        <w:jc w:val="both"/>
        <w:keepNext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 ПРАВА И ОБЯЗАННОСТИ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СТОРОН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3.1. Заказчик вправе: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3.1.1. Требовать от Исполнителя надлежащего исполнения обязательств в соответствии с условиями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3.1.2. Требовать от Исполнителя представления надлежащим образом оформленных документов.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3.1.3. В случае досрочного исполнения Исполнителем обязательств по Контракту принять и оплатить услуги в соответствии с установленным в Контракте порядком.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3.1.4. Запрашивать у Исполнителя информацию о ходе и состоянии исполнения обязательств Исполнителя по Контракту.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3.1.5. Направлять мотивированный отказ в подписании документа о приемке по результатам приемки оказанных услуг.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3.1.6. </w:t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3.1.7. Принять решение об одностороннем отказе от исполнения Контракта в соответствии с Законом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44-ФЗ</w:t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3.1.8. Пользоваться иными установленными Контрактом и законодательством Российской Федерации правами.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3.2. Заказчик обязан: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3.2.1. Провести экспертизу для проверки представленных Исполнителем результатов оказанных услуг, предусмотренных Контрактом в соответствии с п. 5.3 Контракта.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3.2.2. Принять и оплатить оказанные услуги при отсутствии у него замечаний по качеству, объему, соответствию оказанных услуг условиям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3.2.3. Для взыскания неустойки (штрафов, пеней) направлять Исполнителю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претензию, содержащую требование об уплате сумм неустойки (штрафов, пеней), предусмотренных Контрактом за неисполнение (ненадлежащее исполнение) Исполнителем своих обязательств по Контракту.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3.2.4. Исполнять иные обязанности, предусмотренные законодательством Российской Федерации и условиями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3.3. Исполнитель вправе: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3.3.1. Требовать оплаты оказанных надлежащим образом услуг.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3.3.2. Запрашивать у Заказчика предоставления разъяснений и уточнений по вопросам оказания услуг в рамках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3.3.3. </w:t>
      </w:r>
      <w:r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 требовать уплаты неустоек (штрафов, пеней).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3.3.4. 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0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3.4. Исполнитель обязан: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3.4.1. Своевременно и надлежащим образом оказать услуги в соответствии с действующим законодательством Российской Федерации, условиями Контракта и Техническим заданием (Приложение № 1 к Контракту).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3.4.2. Обеспечивать соответствие ока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3.4.3. В случае, если законодательством Российской Федерации предусмотрены обязательные требования к лицам, осуществляю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щим определенные виды деятельности, входящие в состав услуг, подлежащих выполнению по Контракту (лицензирование,  аккредитация и прочее), Исполнитель обязан обеспечить наличие документов, подтверждающих его соответствие, либо привлекаемых им соисполнителей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требованиям, установленным законодательством Российской Федерации, в  течение всего срока исполнения Контракта. Указанные документы представляются Исполнителем по требованию Заказчика в течение 5 рабочих дней со дня получения соответствующего требования.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3.4.4. Не предоставлять другим лицам или не разглашать иным способом конфиденциальную информацию, полученную в результате исполнения обязательств по Контракту.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3.4.5.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 в порядке, указанном в п. 12.3.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Исполнять иные обязанности, предусмотренные действующим законодательством Российской Федерации и Контрактом.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  <w:outlineLvl w:val="0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8"/>
        <w:jc w:val="center"/>
        <w:spacing w:line="233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4. МЕСТО,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УСЛОВИЯ ОКАЗАНИЯ УСЛУГ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4.1. Место оказания услуг: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685000,  Магаданская область, г. Магадан, ул. Горького, д. 15/7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firstLine="708"/>
        <w:jc w:val="both"/>
        <w:spacing w:line="233" w:lineRule="auto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4.2. Срок оказания услуг: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с момента заключения контракта по 15.10.2026г. включительно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  <w:outlineLvl w:val="2"/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r>
    </w:p>
    <w:p>
      <w:pPr>
        <w:contextualSpacing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5. ПОРЯДОК ПРИЕМКИ ОКАЗАНЫХ УСЛУГ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ind w:left="57" w:right="5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По факту оказания услуг в течение 3 (трех) рабочих дней Исполнитель формирует документ о приемке.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57" w:right="5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Заказчик осуществляет приемк</w:t>
      </w:r>
      <w:r>
        <w:rPr>
          <w:rFonts w:ascii="Times New Roman" w:hAnsi="Times New Roman" w:cs="Times New Roman"/>
          <w:sz w:val="22"/>
          <w:szCs w:val="22"/>
        </w:rPr>
        <w:t xml:space="preserve">у оказ</w:t>
      </w:r>
      <w:r>
        <w:rPr>
          <w:rFonts w:ascii="Times New Roman" w:hAnsi="Times New Roman" w:cs="Times New Roman"/>
          <w:sz w:val="22"/>
          <w:szCs w:val="22"/>
        </w:rPr>
        <w:t xml:space="preserve">анных услуг в течение 5 (пяти) рабочих дней.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57" w:right="5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Для проверки предоставленных Исполнителем результатов, предусмотренных Контрактом, в части их соответствия условиям Контракт</w:t>
      </w:r>
      <w:r>
        <w:rPr>
          <w:rFonts w:ascii="Times New Roman" w:hAnsi="Times New Roman" w:cs="Times New Roman"/>
          <w:sz w:val="22"/>
          <w:szCs w:val="22"/>
        </w:rPr>
        <w:t xml:space="preserve">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876"/>
        <w:ind w:firstLine="54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>
        <w:rPr>
          <w:b/>
          <w:color w:val="000000" w:themeColor="text1"/>
          <w:sz w:val="22"/>
          <w:szCs w:val="22"/>
        </w:rPr>
        <w:t xml:space="preserve">ОТВЕТСТВЕННОСТЬ СТОРОН</w: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pStyle w:val="876"/>
        <w:ind w:firstLine="54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6.2. Сторона, не исполнившая или ненадлежащим образом исполнившая обязательства, которые предусмотрены в Контракте, обязуется возместить другой Стороне понесенные убытки, а также выплатить неустойку.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6.3. Неустойка (пени, штрафы) по Контракту выплачивается только на основании обоснованного письменного требования Стороны Контракта.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6.4. Пеня начисляется Заказчиком за каждый день просрочки исполнения Исполнителем обязательства, предусмотренного К</w:t>
      </w:r>
      <w:r>
        <w:rPr>
          <w:sz w:val="22"/>
          <w:szCs w:val="22"/>
        </w:rPr>
        <w:t xml:space="preserve">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</w:t>
      </w:r>
      <w:r>
        <w:rPr>
          <w:sz w:val="22"/>
          <w:szCs w:val="22"/>
        </w:rPr>
        <w:t xml:space="preserve">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6.5.  За каждый факт неисполнения или ненадлежащего исполнения Исполнителем обязательств, предусмотренных К</w:t>
      </w:r>
      <w:r>
        <w:rPr>
          <w:sz w:val="22"/>
          <w:szCs w:val="22"/>
        </w:rPr>
        <w:t xml:space="preserve">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в случае, если цена Контракта не превышает 3 млн. рублей. </w: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6.6. В случае закл</w:t>
      </w:r>
      <w:r>
        <w:rPr>
          <w:sz w:val="22"/>
          <w:szCs w:val="22"/>
        </w:rPr>
        <w:t xml:space="preserve">ючения Контракта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то за каждый факт неисполнения или ненадлежащего исполнени</w:t>
      </w:r>
      <w:r>
        <w:rPr>
          <w:sz w:val="22"/>
          <w:szCs w:val="22"/>
        </w:rPr>
        <w:t xml:space="preserve">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контракта, но не более 5</w:t>
      </w:r>
      <w:r>
        <w:rPr>
          <w:sz w:val="22"/>
          <w:szCs w:val="22"/>
        </w:rPr>
        <w:t xml:space="preserve">000</w:t>
      </w:r>
      <w:r>
        <w:rPr>
          <w:sz w:val="22"/>
          <w:szCs w:val="22"/>
        </w:rPr>
        <w:t xml:space="preserve"> рублей и не менее 1</w:t>
      </w:r>
      <w:r>
        <w:rPr>
          <w:sz w:val="22"/>
          <w:szCs w:val="22"/>
        </w:rPr>
        <w:t xml:space="preserve">000</w:t>
      </w:r>
      <w:r>
        <w:rPr>
          <w:sz w:val="22"/>
          <w:szCs w:val="22"/>
        </w:rPr>
        <w:t xml:space="preserve"> рублей.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6.7. При наличии факта неисполнения или н</w:t>
      </w:r>
      <w:r>
        <w:rPr>
          <w:sz w:val="22"/>
          <w:szCs w:val="22"/>
        </w:rPr>
        <w:t xml:space="preserve">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таких обязательств) в размере 1000 рублей, если цена Контракта не превышает 3 млн. рублей.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6.8. За каждый факт неис</w:t>
      </w:r>
      <w:r>
        <w:rPr>
          <w:sz w:val="22"/>
          <w:szCs w:val="22"/>
        </w:rPr>
        <w:t xml:space="preserve">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рублей, если цена Контракта не превышает 3 млн. рублей (включительно).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6.9.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</w:t>
      </w:r>
      <w:r>
        <w:rPr>
          <w:sz w:val="22"/>
          <w:szCs w:val="22"/>
        </w:rPr>
        <w:t xml:space="preserve">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ind w:firstLine="567"/>
        <w:jc w:val="both"/>
        <w:spacing w:before="0" w:after="0" w:line="24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6.10. Общая сумма начисленных штрафов за неисполнение или ненадлежащее исполнение Поставщиком или Заказчиком обязательств, предусмотренных Контрактом, не может превышать цену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7. ПОРЯДОК РАЗРЕШЕНИЯ СПОРОВ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7.1. Все споры или разногласия, возникающие между Сторонами по Контракту, разрешаются в претензионном порядке, в соответствии с ч. 16 ст. 94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Закона № 44-ФЗ.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7.2. Сторона, имеющая к другой Стороне претензию (требование) обязана направить другой Стороне претензию (требование) с приложением обосновывающих претензию (требование) документов.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7.3. Сторона, которая получила претензию (требование), обязана ее рассмотреть и направить мотивированный ответ другой Стороне в течение 10 рабочих дней с момента получения претензии (требования).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7.4. В случае невозможности разрешения разногласий в досудебном порядке, они подлежат рассмотрению в Арбитражном суде Магаданской области.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contextualSpacing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8. ПОРЯДОК ИЗМЕНЕНИЯ, ДОПОЛНЕНИЯ И РАСТОРЖЕНИЯ КОНТРАКТА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contextualSpacing/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Законом №44-ФЗ.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8.2. Расторжение Контракта допускается по соглашению Сторон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по решению суда, в случае одностороннего отказа Стороны Контракта от исполнения Контракта в соответствии с гражданским законодательством. В случае принятия Заказчиком решения об одностороннем отказе от исполнения Контракта по основаниям, предусмотренным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Гражданским Кодексом Российской Федерации, такой отказ осуществляется в соответствии со ст. 95 Закона №44-ФЗ.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8.3. В случаях, установленных ч. 15 ст. 95 Закона № 44-ФЗ, Заказчик обязан принять решение об одностороннем отказе от исполнения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9. ОБСТОЯТЕЛЬСТВА НЕПРЕОДОЛИМОЙ СИЛЫ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865"/>
        <w:contextualSpacing/>
        <w:ind w:firstLine="720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5"/>
        <w:contextualSpacing/>
        <w:ind w:firstLine="709"/>
        <w:jc w:val="bot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9.1. 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</w:t>
      </w:r>
      <w:r>
        <w:rPr>
          <w:rFonts w:ascii="Times New Roman" w:hAnsi="Times New Roman" w:cs="Times New Roman"/>
          <w:sz w:val="22"/>
          <w:szCs w:val="22"/>
        </w:rPr>
        <w:t xml:space="preserve">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5"/>
        <w:contextualSpacing/>
        <w:ind w:firstLine="709"/>
        <w:jc w:val="bot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9.2. Сторона, для которой создалась невозможность исполнения обязательств </w:t>
      </w:r>
      <w:r>
        <w:rPr>
          <w:rFonts w:ascii="Times New Roman" w:hAnsi="Times New Roman" w:cs="Times New Roman"/>
          <w:sz w:val="22"/>
          <w:szCs w:val="22"/>
        </w:rPr>
        <w:t xml:space="preserve">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5"/>
        <w:contextualSpacing/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9.3. Неизвещение, либо несвоевременное извещение другой стороны согласно п.9.2. Контракта влечет за собой утрату права ссылаться на эти обстоятельства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20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firstLine="0"/>
        <w:jc w:val="both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709"/>
        <w:jc w:val="center"/>
        <w:keepNext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11. ГАРАНТИЙНЫЕ ОБЯЗАТЕЛЬСТВА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709"/>
        <w:jc w:val="center"/>
        <w:keepNext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r>
    </w:p>
    <w:p>
      <w:pPr>
        <w:ind w:firstLine="709"/>
        <w:jc w:val="both"/>
        <w:keepNext/>
        <w:tabs>
          <w:tab w:val="left" w:pos="0" w:leader="none"/>
          <w:tab w:val="left" w:pos="1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11.1. Гарантийные обязательства не устанавливаются.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left="360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12. ПРОЧИЕ УСЛОВИЯ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5"/>
        <w:contextualSpacing/>
        <w:ind w:left="720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12.1. К отношениям Сторон, неурегулированным настоящим Контрактом, применяются нормы действующего гражданского законодательства Российской Федерации.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12.2. Контракт вступает в силу с момента его заключения и действует до полного исполнения своих обязательств.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12.3. Документоо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борот в рамках Контракта осуществляется в письменной форме. Для оперативного уведомления допускается обмен документами посредством телефонной связи, электронной почты с обязательной досылкой (передачей) подлинного документа в течение 3 (трех) рабочих дней.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Срок ответа на входящий документ в рамках Контракта не может превышать 5 (Пяти) рабочих дней со дня его получения.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12.4.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12.5.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случае перемены Заказчика по Контракту права и обязанности Заказчика, предусмотренные Контрактом, переходят к новому Заказчику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ч. 6 ст. 95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Закона № 44-ФЗ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12.6. Все приложения к Контракту должны быть оформлены в со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12.7. Исполнитель обязан 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редставить Заказчику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Исполнителя будет считаться адрес, указанный в Контракте.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12.8. При изменении у Исполнителя номеров телефонов, факсов, адреса электронной почты, реквизитов банка для осуществления расчетов по Контракту Исполнитель должен уведомить об этом Заказчика в течение 24 часов с момента изменений.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</w:t>
      </w:r>
      <w:r>
        <w:rPr>
          <w:rFonts w:ascii="Times New Roman" w:hAnsi="Times New Roman" w:cs="Times New Roman"/>
          <w:sz w:val="22"/>
          <w:szCs w:val="22"/>
        </w:rPr>
        <w:t xml:space="preserve">8.1. В случае возникновения у Стороны подозрений, что произошло или может произойти нарушение каких-либо положений, соответствующая Сторона обязуется уведомить другую Сторону в письменной форме. После письменного уведомления, соответствующая Сторона имеет </w:t>
      </w:r>
      <w:r>
        <w:rPr>
          <w:rFonts w:ascii="Times New Roman" w:hAnsi="Times New Roman" w:cs="Times New Roman"/>
          <w:sz w:val="22"/>
          <w:szCs w:val="22"/>
        </w:rPr>
        <w:t xml:space="preserve">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left="360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13. ПРИЛОЖЕНИЯ К КОНТРАКТУ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13.1. Приложения к Контракту являются его неотъемлемыми частями: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№ 1 –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Техническое задание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№ 2 – Спецификация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both"/>
        <w:spacing w:after="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14.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АДРЕСА И РЕКВИЗИТЫ СТОРОН: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p>
      <w:pPr>
        <w:pStyle w:val="865"/>
        <w:contextualSpacing/>
        <w:ind w:firstLine="708"/>
        <w:jc w:val="center"/>
        <w:spacing w:after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4907"/>
      </w:tblGrid>
      <w:tr>
        <w:tblPrEx/>
        <w:trPr>
          <w:trHeight w:val="235"/>
        </w:trPr>
        <w:tc>
          <w:tcPr>
            <w:tcW w:w="490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keepLines/>
              <w:keepNext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4907" w:type="dxa"/>
            <w:vAlign w:val="center"/>
            <w:textDirection w:val="lrTb"/>
            <w:noWrap w:val="false"/>
          </w:tcPr>
          <w:p>
            <w:pPr>
              <w:pStyle w:val="852"/>
              <w:ind w:firstLine="0"/>
              <w:jc w:val="left"/>
              <w:keepLines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Исполнитель: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4906" w:type="dxa"/>
            <w:textDirection w:val="lrTb"/>
            <w:noWrap w:val="false"/>
          </w:tcPr>
          <w:p>
            <w:pPr>
              <w:keepLines/>
              <w:keepNext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Управление Федеральной службы государственной регистрации, кадастра и картографии по Магаданской области и Чукотскому автономному округу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Юридический/фактический адрес: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685000, Магаданская обл., г. Магадан,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ул. Горького, д.15/7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Телефон/ факс: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(4132) 650250/608824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Адрес электронной почты: 49_feo@rosreestr.ru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 4909007240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КПП 490901001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ОГРН 1044900038391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ОКПО 31632366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банка получателя: Казначейский счет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03211643000000012005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ОКЦ № 1 ДГУ Банка России//УФК по Приморскому краю,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 Владивосток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л/с 03471А52460 в УФК по Магаданской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Единый казначейский счет 40102810545370000012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БИК 010507002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__________________ / 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keepLines/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keepLines/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4907" w:type="dxa"/>
            <w:textDirection w:val="lrTb"/>
            <w:noWrap w:val="false"/>
          </w:tcPr>
          <w:p>
            <w:pPr>
              <w:ind w:firstLine="720"/>
              <w:keepLines/>
              <w:keepNext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№ 1 к Контракту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right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«__» _______ 2026 г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ТЕХНИЧЕСКОЕ ЗАДАНИЕ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  <w:t xml:space="preserve">Оказание услуг по передаче права на использование ПО ViPNet Client 5 for Linux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0"/>
          <w:numId w:val="13"/>
        </w:numPr>
        <w:contextualSpacing w:val="0"/>
        <w:ind w:left="0" w:firstLine="0"/>
        <w:jc w:val="both"/>
        <w:spacing w:after="0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2"/>
          <w:szCs w:val="22"/>
        </w:rPr>
        <w:t xml:space="preserve">НАИМЕНОВАНИЕ, МЕСТО И СРОКИ ОКАЗАНИЯ УСЛУГ </w:t>
      </w: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</w:p>
    <w:p>
      <w:pPr>
        <w:pStyle w:val="875"/>
        <w:contextualSpacing w:val="0"/>
        <w:ind w:left="0"/>
        <w:jc w:val="both"/>
        <w:spacing w:after="0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</w:p>
    <w:p>
      <w:pPr>
        <w:pStyle w:val="928"/>
        <w:numPr>
          <w:ilvl w:val="1"/>
          <w:numId w:val="13"/>
        </w:numPr>
        <w:ind w:left="0"/>
        <w:spacing w:after="0" w:line="276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Оказание услуг по передаче права на использование </w:t>
      </w:r>
      <w:r>
        <w:rPr>
          <w:rFonts w:eastAsia="Times New Roman"/>
          <w:sz w:val="22"/>
          <w:szCs w:val="22"/>
        </w:rPr>
        <w:t xml:space="preserve">ПО ViPNet Client </w:t>
      </w:r>
      <w:r>
        <w:rPr>
          <w:rFonts w:eastAsia="Times New Roman"/>
          <w:sz w:val="22"/>
          <w:szCs w:val="22"/>
        </w:rPr>
        <w:t xml:space="preserve">5</w:t>
      </w:r>
      <w:r>
        <w:rPr>
          <w:rFonts w:eastAsia="Times New Roman"/>
          <w:sz w:val="22"/>
          <w:szCs w:val="22"/>
        </w:rPr>
        <w:t xml:space="preserve"> for Linux </w:t>
      </w:r>
      <w:r>
        <w:rPr>
          <w:rFonts w:eastAsia="Times New Roman"/>
          <w:sz w:val="22"/>
          <w:szCs w:val="22"/>
        </w:rPr>
        <w:t xml:space="preserve">с установочным комплектом</w:t>
      </w:r>
      <w:r>
        <w:rPr>
          <w:rFonts w:eastAsia="Times New Roman"/>
          <w:sz w:val="22"/>
          <w:szCs w:val="22"/>
        </w:rPr>
      </w:r>
      <w:r>
        <w:rPr>
          <w:rFonts w:eastAsia="Times New Roman"/>
        </w:rPr>
      </w:r>
    </w:p>
    <w:p>
      <w:pPr>
        <w:pStyle w:val="928"/>
        <w:numPr>
          <w:ilvl w:val="1"/>
          <w:numId w:val="13"/>
        </w:numPr>
        <w:ind w:left="0"/>
        <w:spacing w:after="0" w:line="276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Место оказания услуг: </w:t>
      </w:r>
      <w:r>
        <w:rPr>
          <w:rFonts w:eastAsia="Times New Roman"/>
          <w:sz w:val="22"/>
          <w:szCs w:val="22"/>
        </w:rPr>
        <w:t xml:space="preserve">685000,  Магаданская область, г. Магадан, ул. Горького, д. 15/7.</w:t>
      </w:r>
      <w:r>
        <w:rPr>
          <w:rFonts w:eastAsia="Times New Roman"/>
          <w:sz w:val="22"/>
          <w:szCs w:val="22"/>
        </w:rPr>
      </w:r>
      <w:r>
        <w:rPr>
          <w:rFonts w:eastAsia="Times New Roman"/>
        </w:rPr>
      </w:r>
    </w:p>
    <w:p>
      <w:pPr>
        <w:pStyle w:val="928"/>
        <w:numPr>
          <w:ilvl w:val="1"/>
          <w:numId w:val="13"/>
        </w:numPr>
        <w:ind w:left="0"/>
        <w:spacing w:after="0" w:line="276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Срок оказания услуг: с даты заключения контракта до 15.1</w:t>
      </w:r>
      <w:r>
        <w:rPr>
          <w:rFonts w:eastAsia="Times New Roman"/>
          <w:sz w:val="22"/>
          <w:szCs w:val="22"/>
        </w:rPr>
        <w:t xml:space="preserve">0</w:t>
      </w:r>
      <w:r>
        <w:rPr>
          <w:rFonts w:eastAsia="Times New Roman"/>
          <w:sz w:val="22"/>
          <w:szCs w:val="22"/>
        </w:rPr>
        <w:t xml:space="preserve">.202</w:t>
      </w:r>
      <w:r>
        <w:rPr>
          <w:rFonts w:eastAsia="Times New Roman"/>
          <w:sz w:val="22"/>
          <w:szCs w:val="22"/>
        </w:rPr>
        <w:t xml:space="preserve">6</w:t>
      </w:r>
      <w:r>
        <w:rPr>
          <w:rFonts w:eastAsia="Times New Roman"/>
          <w:sz w:val="22"/>
          <w:szCs w:val="22"/>
        </w:rPr>
        <w:t xml:space="preserve"> г.</w:t>
      </w:r>
      <w:r>
        <w:rPr>
          <w:rFonts w:eastAsia="Times New Roman"/>
          <w:sz w:val="22"/>
          <w:szCs w:val="22"/>
        </w:rPr>
      </w:r>
      <w:r>
        <w:rPr>
          <w:rFonts w:eastAsia="Times New Roman"/>
        </w:rPr>
      </w:r>
    </w:p>
    <w:p>
      <w:pPr>
        <w:pStyle w:val="875"/>
        <w:contextualSpacing w:val="0"/>
        <w:ind w:left="0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5"/>
        <w:numPr>
          <w:ilvl w:val="0"/>
          <w:numId w:val="13"/>
        </w:numPr>
        <w:contextualSpacing w:val="0"/>
        <w:ind w:left="0" w:firstLine="0"/>
        <w:jc w:val="both"/>
        <w:spacing w:after="0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2"/>
          <w:szCs w:val="22"/>
        </w:rPr>
        <w:t xml:space="preserve">ОБЪЕМ ОКАЗЫВАЕМЫХ УСЛУГ</w:t>
      </w: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</w:p>
    <w:p>
      <w:pPr>
        <w:pStyle w:val="875"/>
        <w:contextualSpacing w:val="0"/>
        <w:ind w:left="0"/>
        <w:jc w:val="both"/>
        <w:spacing w:after="0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</w:p>
    <w:p>
      <w:pPr>
        <w:pStyle w:val="875"/>
        <w:numPr>
          <w:ilvl w:val="1"/>
          <w:numId w:val="13"/>
        </w:numPr>
        <w:contextualSpacing w:val="0"/>
        <w:ind w:left="0"/>
        <w:jc w:val="both"/>
        <w:spacing w:after="0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2"/>
          <w:szCs w:val="22"/>
        </w:rPr>
        <w:t xml:space="preserve">Услуги оказываются в следующем объеме:</w:t>
      </w:r>
      <w:r>
        <w:rPr>
          <w:rFonts w:ascii="Times New Roman" w:hAnsi="Times New Roman" w:eastAsia="Calibri"/>
          <w:b/>
          <w:bCs/>
          <w:sz w:val="22"/>
          <w:szCs w:val="22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</w:p>
    <w:p>
      <w:pPr>
        <w:numPr>
          <w:ilvl w:val="0"/>
          <w:numId w:val="14"/>
        </w:num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bCs/>
          <w:sz w:val="22"/>
          <w:szCs w:val="22"/>
        </w:rPr>
        <w:t xml:space="preserve">Передача</w:t>
      </w:r>
      <w:r>
        <w:rPr>
          <w:rFonts w:ascii="Times New Roman" w:hAnsi="Times New Roman" w:eastAsia="Calibri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неисключительных прав на использование программного</w:t>
      </w:r>
      <w:r>
        <w:rPr>
          <w:rFonts w:ascii="Times New Roman" w:hAnsi="Times New Roman"/>
          <w:sz w:val="22"/>
          <w:szCs w:val="22"/>
        </w:rPr>
        <w:t xml:space="preserve"> обеспечения (далее – ПО) ViPNet Client </w:t>
      </w:r>
      <w:r>
        <w:rPr>
          <w:rFonts w:ascii="Times New Roman" w:hAnsi="Times New Roman"/>
          <w:sz w:val="22"/>
          <w:szCs w:val="22"/>
        </w:rPr>
        <w:t xml:space="preserve">5</w:t>
      </w:r>
      <w:r>
        <w:rPr>
          <w:rFonts w:ascii="Times New Roman" w:hAnsi="Times New Roman"/>
          <w:sz w:val="22"/>
          <w:szCs w:val="22"/>
        </w:rPr>
        <w:t xml:space="preserve"> for Linux </w:t>
      </w:r>
      <w:r>
        <w:rPr>
          <w:rFonts w:ascii="Times New Roman" w:hAnsi="Times New Roman"/>
          <w:sz w:val="22"/>
          <w:szCs w:val="22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сертификатом техподдержки и установочным комплектом (1шт)</w:t>
      </w:r>
      <w:r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t xml:space="preserve">, в количестве:</w:t>
      </w:r>
      <w:r>
        <w:rPr>
          <w:rFonts w:ascii="Times New Roman" w:hAnsi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sz w:val="22"/>
          <w:szCs w:val="22"/>
          <w:highlight w:val="white"/>
        </w:rPr>
        <w:t xml:space="preserve">2</w:t>
      </w:r>
      <w:r>
        <w:rPr>
          <w:rFonts w:ascii="Times New Roman" w:hAnsi="Times New Roman"/>
          <w:b/>
          <w:bCs/>
          <w:sz w:val="22"/>
          <w:szCs w:val="22"/>
          <w:highlight w:val="white"/>
        </w:rPr>
        <w:t xml:space="preserve"> шт</w:t>
      </w:r>
      <w:r>
        <w:rPr>
          <w:rFonts w:ascii="Times New Roman" w:hAnsi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ind w:left="0"/>
        <w:spacing w:after="0" w:line="276" w:lineRule="auto"/>
        <w:rPr>
          <w:rFonts w:eastAsia="Times New Roman"/>
        </w:rPr>
      </w:pPr>
      <w:r>
        <w:rPr>
          <w:rFonts w:eastAsia="Times New Roman"/>
          <w:i/>
          <w:sz w:val="22"/>
          <w:szCs w:val="22"/>
        </w:rPr>
        <w:t xml:space="preserve">Эквивалент недопустим ввиду необходимости совместимости ПО с уже существующей системой криптографической защиты информации ViPNet Network Security (ViPNet-сеть № 1274).</w:t>
      </w:r>
      <w:r>
        <w:rPr>
          <w:rFonts w:eastAsia="Times New Roman"/>
          <w:sz w:val="22"/>
          <w:szCs w:val="22"/>
        </w:rPr>
      </w:r>
      <w:r>
        <w:rPr>
          <w:rFonts w:eastAsia="Times New Roman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 w:eastAsia="Calibri"/>
          <w:bCs/>
          <w:color w:val="000000"/>
          <w:sz w:val="24"/>
          <w:szCs w:val="24"/>
        </w:rPr>
      </w:pPr>
      <w:r>
        <w:rPr>
          <w:rFonts w:ascii="Times New Roman" w:hAnsi="Times New Roman" w:eastAsia="Calibri"/>
          <w:bCs/>
          <w:color w:val="000000"/>
          <w:sz w:val="22"/>
          <w:szCs w:val="22"/>
        </w:rPr>
      </w:r>
      <w:r>
        <w:rPr>
          <w:rFonts w:ascii="Times New Roman" w:hAnsi="Times New Roman" w:eastAsia="Calibri"/>
          <w:bCs/>
          <w:color w:val="000000"/>
          <w:sz w:val="22"/>
          <w:szCs w:val="22"/>
        </w:rPr>
      </w:r>
      <w:r>
        <w:rPr>
          <w:rFonts w:ascii="Times New Roman" w:hAnsi="Times New Roman" w:eastAsia="Calibri"/>
          <w:bCs/>
          <w:color w:val="000000"/>
          <w:sz w:val="24"/>
          <w:szCs w:val="24"/>
        </w:rPr>
      </w:r>
    </w:p>
    <w:p>
      <w:pPr>
        <w:numPr>
          <w:ilvl w:val="0"/>
          <w:numId w:val="15"/>
        </w:numPr>
        <w:ind w:left="0" w:firstLine="0"/>
        <w:jc w:val="both"/>
        <w:spacing w:after="0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</w:rPr>
        <w:t xml:space="preserve">Общие требования к Исполнителю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</w:rPr>
      </w:r>
      <w:r>
        <w:rPr>
          <w:rFonts w:ascii="Times New Roman" w:hAnsi="Times New Roman" w:eastAsia="Calibri"/>
          <w:b/>
          <w:bCs/>
          <w:color w:val="000000"/>
          <w:sz w:val="24"/>
          <w:szCs w:val="24"/>
        </w:rPr>
      </w:r>
    </w:p>
    <w:p>
      <w:pPr>
        <w:numPr>
          <w:ilvl w:val="1"/>
          <w:numId w:val="15"/>
        </w:numPr>
        <w:ind w:left="0"/>
        <w:jc w:val="both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В соответствии с п.1 ч.1 ст.12 Федерального закона от 04.05.2011 № 99-ФЗ «О лицензировании отдельных видов деятельности» и постановлением Правительства Российской Федерации от 16.04.2012 № 313 «Об утверждении Положения о лице</w:t>
      </w:r>
      <w:r>
        <w:rPr>
          <w:rFonts w:ascii="Times New Roman" w:hAnsi="Times New Roman"/>
          <w:color w:val="000000"/>
          <w:sz w:val="22"/>
          <w:szCs w:val="22"/>
        </w:rPr>
        <w:t xml:space="preserve">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</w:t>
      </w:r>
      <w:r>
        <w:rPr>
          <w:rFonts w:ascii="Times New Roman" w:hAnsi="Times New Roman"/>
          <w:color w:val="000000"/>
          <w:sz w:val="22"/>
          <w:szCs w:val="22"/>
        </w:rPr>
        <w:t xml:space="preserve">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</w:t>
      </w:r>
      <w:r>
        <w:rPr>
          <w:rFonts w:ascii="Times New Roman" w:hAnsi="Times New Roman"/>
          <w:color w:val="000000"/>
          <w:sz w:val="22"/>
          <w:szCs w:val="22"/>
        </w:rPr>
        <w:t xml:space="preserve">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</w:t>
      </w:r>
      <w:r>
        <w:rPr>
          <w:rFonts w:ascii="Times New Roman" w:hAnsi="Times New Roman"/>
          <w:color w:val="000000"/>
          <w:sz w:val="22"/>
          <w:szCs w:val="22"/>
        </w:rPr>
        <w:t xml:space="preserve">о лица или индивидуального предпринимателя» Поставщик обязан иметь действующую лицензию ФСБ России со следующим перечнем оказываемых услуг: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4"/>
        </w:num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bCs/>
          <w:sz w:val="22"/>
          <w:szCs w:val="22"/>
        </w:rPr>
        <w:t xml:space="preserve">передача</w:t>
      </w:r>
      <w:r>
        <w:rPr>
          <w:rFonts w:ascii="Times New Roman" w:hAnsi="Times New Roman" w:eastAsia="Calibri"/>
          <w:bCs/>
          <w:color w:val="000000"/>
          <w:sz w:val="22"/>
          <w:szCs w:val="22"/>
        </w:rPr>
        <w:t xml:space="preserve"> шифровальных (криптографических) средств, за исключением </w:t>
      </w:r>
      <w:r>
        <w:rPr>
          <w:rFonts w:ascii="Times New Roman" w:hAnsi="Times New Roman"/>
          <w:sz w:val="22"/>
          <w:szCs w:val="22"/>
        </w:rPr>
        <w:t xml:space="preserve">шифровальных (криптографических) средств защиты фи</w:t>
      </w:r>
      <w:r>
        <w:rPr>
          <w:rFonts w:ascii="Times New Roman" w:hAnsi="Times New Roman"/>
          <w:sz w:val="22"/>
          <w:szCs w:val="22"/>
        </w:rPr>
        <w:t xml:space="preserve">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jc w:val="both"/>
        <w:spacing w:after="0"/>
        <w:tabs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865"/>
        <w:contextualSpacing/>
        <w:ind w:firstLine="0"/>
        <w:jc w:val="both"/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-540" w:firstLine="540"/>
        <w:jc w:val="right"/>
        <w:keepLines/>
        <w:keepNext/>
        <w:rPr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№ 2 к Контракту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40" w:firstLine="540"/>
        <w:jc w:val="right"/>
        <w:keepLines/>
        <w:keepNext/>
        <w:rPr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«__» _______ 2026 г.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ind w:left="-540" w:firstLine="540"/>
        <w:jc w:val="right"/>
        <w:keepLines/>
        <w:keepNext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jc w:val="center"/>
        <w:spacing w:after="200" w:line="276" w:lineRule="auto"/>
        <w:widowControl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</w:p>
    <w:p>
      <w:pPr>
        <w:jc w:val="center"/>
        <w:spacing w:after="200" w:line="276" w:lineRule="auto"/>
        <w:widowControl/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СПЕЦИФИКАЦИЯ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</w:r>
    </w:p>
    <w:p>
      <w:pPr>
        <w:jc w:val="center"/>
        <w:spacing w:after="200" w:line="276" w:lineRule="auto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tbl>
      <w:tblPr>
        <w:tblW w:w="10063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000" w:firstRow="0" w:lastRow="0" w:firstColumn="0" w:lastColumn="0" w:noHBand="0" w:noVBand="0"/>
      </w:tblPr>
      <w:tblGrid>
        <w:gridCol w:w="4563"/>
        <w:gridCol w:w="1638"/>
        <w:gridCol w:w="1638"/>
        <w:gridCol w:w="2224"/>
      </w:tblGrid>
      <w:tr>
        <w:tblPrEx/>
        <w:trPr>
          <w:trHeight w:val="600"/>
        </w:trPr>
        <w:tc>
          <w:tcPr>
            <w:tcW w:w="456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(шт.)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Стоимость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 единицу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Общая стоимость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563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Оказание услуг по передаче права на использование ПО ViPNet Client 5 for Linux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 сертификатом техподдержки и установочным комплектом (1шт)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76"/>
              <w:jc w:val="both"/>
              <w:widowControl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       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783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Итого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222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jc w:val="center"/>
        <w:spacing w:after="200" w:line="276" w:lineRule="auto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6"/>
        <w:gridCol w:w="4907"/>
      </w:tblGrid>
      <w:tr>
        <w:tblPrEx/>
        <w:trPr>
          <w:trHeight w:val="235"/>
        </w:trPr>
        <w:tc>
          <w:tcPr>
            <w:tcW w:w="4906" w:type="dxa"/>
            <w:vAlign w:val="center"/>
            <w:textDirection w:val="lrTb"/>
            <w:noWrap w:val="false"/>
          </w:tcPr>
          <w:p>
            <w:pPr>
              <w:contextualSpacing/>
              <w:ind w:firstLine="720"/>
              <w:jc w:val="center"/>
              <w:keepLines/>
              <w:keepNext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W w:w="4907" w:type="dxa"/>
            <w:vAlign w:val="center"/>
            <w:textDirection w:val="lrTb"/>
            <w:noWrap w:val="false"/>
          </w:tcPr>
          <w:p>
            <w:pPr>
              <w:pStyle w:val="852"/>
              <w:contextualSpacing/>
              <w:ind w:firstLine="720"/>
              <w:jc w:val="center"/>
              <w:keepLines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 xml:space="preserve">Исполнитель: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</w:tr>
    </w:tbl>
    <w:p>
      <w:pPr>
        <w:spacing w:after="200" w:line="276" w:lineRule="auto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</w:r>
      <w:bookmarkStart w:id="2" w:name="_GoBack"/>
      <w:r>
        <w:rPr>
          <w:sz w:val="22"/>
          <w:szCs w:val="22"/>
        </w:rPr>
      </w:r>
      <w:bookmarkEnd w:id="2"/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sectPr>
      <w:footnotePr/>
      <w:endnotePr/>
      <w:type w:val="nextPage"/>
      <w:pgSz w:w="11906" w:h="16838" w:orient="portrait"/>
      <w:pgMar w:top="992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Times New Roman CYR">
    <w:panose1 w:val="02000603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409020205020404"/>
  </w:font>
  <w:font w:name="SimSun">
    <w:panose1 w:val="0200050600000002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pStyle w:val="881"/>
      <w:isLgl w:val="false"/>
      <w:suff w:val="space"/>
      <w:lvlText w:val="%1.%2."/>
      <w:lvlJc w:val="left"/>
      <w:pPr>
        <w:ind w:left="567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44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18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25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28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360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396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468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Zero"/>
      <w:isLgl w:val="false"/>
      <w:suff w:val="tab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Zero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360" w:hanging="360"/>
        <w:tabs>
          <w:tab w:val="num" w:pos="360" w:leader="none"/>
        </w:tabs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360"/>
        <w:tabs>
          <w:tab w:val="num" w:pos="420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40" w:hanging="720"/>
        <w:tabs>
          <w:tab w:val="num" w:pos="84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900" w:hanging="720"/>
        <w:tabs>
          <w:tab w:val="num" w:pos="900" w:leader="none"/>
        </w:tabs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20" w:hanging="1080"/>
        <w:tabs>
          <w:tab w:val="num" w:pos="1320" w:leader="none"/>
        </w:tabs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80" w:hanging="1080"/>
        <w:tabs>
          <w:tab w:val="num" w:pos="1380" w:leader="none"/>
        </w:tabs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0" w:hanging="1440"/>
        <w:tabs>
          <w:tab w:val="num" w:pos="1860" w:leader="none"/>
        </w:tabs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80" w:hanging="1800"/>
        <w:tabs>
          <w:tab w:val="num" w:pos="2280" w:leader="none"/>
        </w:tabs>
      </w:pPr>
      <w:rPr>
        <w:rFonts w:hint="default"/>
        <w:b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540"/>
        <w:tabs>
          <w:tab w:val="left" w:pos="126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  <w:tabs>
          <w:tab w:val="left" w:pos="180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  <w:tabs>
          <w:tab w:val="left" w:pos="216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  <w:tabs>
          <w:tab w:val="left" w:pos="288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  <w:tabs>
          <w:tab w:val="left" w:pos="32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left" w:pos="39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  <w:tabs>
          <w:tab w:val="left" w:pos="43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left" w:pos="504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 w:cs="Symbo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90"/>
      </w:pPr>
      <w:rPr>
        <w:rFonts w:hint="default" w:ascii="Times New Roman" w:hAnsi="Times New Roman" w:eastAsia="Calibri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84" w:firstLine="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 w:cs="Symbol"/>
        <w:b w:val="0"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90"/>
      </w:pPr>
      <w:rPr>
        <w:rFonts w:hint="default" w:ascii="Times New Roman" w:hAnsi="Times New Roman" w:eastAsia="Calibri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84" w:firstLine="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Zero"/>
      <w:isLgl w:val="false"/>
      <w:suff w:val="tab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Zero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Zero"/>
      <w:isLgl w:val="false"/>
      <w:suff w:val="tab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0" w:hanging="1200"/>
      </w:pPr>
      <w:rPr>
        <w:rFonts w:hint="default"/>
      </w:rPr>
    </w:lvl>
    <w:lvl w:ilvl="6">
      <w:start w:val="1"/>
      <w:numFmt w:val="decimalZero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53"/>
    <w:link w:val="849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53"/>
    <w:link w:val="850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53"/>
    <w:link w:val="851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53"/>
    <w:link w:val="852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3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48"/>
    <w:next w:val="84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3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48"/>
    <w:next w:val="84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3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48"/>
    <w:next w:val="84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3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48"/>
    <w:next w:val="848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48"/>
    <w:next w:val="848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character" w:styleId="702">
    <w:name w:val="Quote Char"/>
    <w:link w:val="913"/>
    <w:uiPriority w:val="29"/>
    <w:rPr>
      <w:i/>
    </w:rPr>
  </w:style>
  <w:style w:type="paragraph" w:styleId="703">
    <w:name w:val="Intense Quote"/>
    <w:basedOn w:val="848"/>
    <w:next w:val="84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64"/>
    <w:uiPriority w:val="99"/>
  </w:style>
  <w:style w:type="character" w:styleId="706">
    <w:name w:val="Footer Char"/>
    <w:basedOn w:val="853"/>
    <w:link w:val="867"/>
    <w:uiPriority w:val="99"/>
  </w:style>
  <w:style w:type="paragraph" w:styleId="707">
    <w:name w:val="Caption"/>
    <w:basedOn w:val="848"/>
    <w:next w:val="848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7"/>
    <w:uiPriority w:val="99"/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Footnote Text Char"/>
    <w:link w:val="863"/>
    <w:uiPriority w:val="99"/>
    <w:rPr>
      <w:sz w:val="18"/>
    </w:rPr>
  </w:style>
  <w:style w:type="character" w:styleId="835">
    <w:name w:val="Endnote Text Char"/>
    <w:link w:val="860"/>
    <w:uiPriority w:val="99"/>
    <w:rPr>
      <w:sz w:val="20"/>
    </w:rPr>
  </w:style>
  <w:style w:type="character" w:styleId="836">
    <w:name w:val="endnote reference"/>
    <w:basedOn w:val="853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</w:rPr>
  </w:style>
  <w:style w:type="paragraph" w:styleId="849">
    <w:name w:val="Heading 1"/>
    <w:basedOn w:val="848"/>
    <w:next w:val="848"/>
    <w:link w:val="885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850">
    <w:name w:val="Heading 2"/>
    <w:basedOn w:val="848"/>
    <w:next w:val="848"/>
    <w:link w:val="883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1">
    <w:name w:val="Heading 3"/>
    <w:basedOn w:val="848"/>
    <w:next w:val="848"/>
    <w:link w:val="884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52">
    <w:name w:val="Heading 4"/>
    <w:basedOn w:val="848"/>
    <w:next w:val="848"/>
    <w:link w:val="872"/>
    <w:qFormat/>
    <w:pPr>
      <w:jc w:val="right"/>
      <w:keepNext/>
      <w:outlineLvl w:val="3"/>
    </w:pPr>
    <w:rPr>
      <w:b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>
    <w:name w:val="footnote reference"/>
    <w:semiHidden/>
    <w:qFormat/>
    <w:rPr>
      <w:vertAlign w:val="superscript"/>
    </w:rPr>
  </w:style>
  <w:style w:type="character" w:styleId="857">
    <w:name w:val="Hyperlink"/>
    <w:qFormat/>
    <w:rPr>
      <w:color w:val="0000ff"/>
      <w:u w:val="single"/>
    </w:rPr>
  </w:style>
  <w:style w:type="paragraph" w:styleId="858">
    <w:name w:val="Balloon Text"/>
    <w:basedOn w:val="848"/>
    <w:link w:val="886"/>
    <w:semiHidden/>
    <w:unhideWhenUsed/>
    <w:qFormat/>
    <w:rPr>
      <w:rFonts w:ascii="Segoe UI" w:hAnsi="Segoe UI" w:cs="Segoe UI"/>
    </w:rPr>
  </w:style>
  <w:style w:type="paragraph" w:styleId="859">
    <w:name w:val="Body Text Indent 3"/>
    <w:basedOn w:val="848"/>
    <w:link w:val="922"/>
    <w:uiPriority w:val="99"/>
    <w:semiHidden/>
    <w:unhideWhenUsed/>
    <w:qFormat/>
    <w:pPr>
      <w:ind w:left="283"/>
      <w:spacing w:after="120"/>
    </w:pPr>
    <w:rPr>
      <w:sz w:val="16"/>
      <w:szCs w:val="16"/>
    </w:rPr>
  </w:style>
  <w:style w:type="paragraph" w:styleId="860">
    <w:name w:val="endnote text"/>
    <w:basedOn w:val="848"/>
    <w:link w:val="882"/>
    <w:qFormat/>
    <w:rPr>
      <w:rFonts w:eastAsia="SimSun" w:cs="Times New Roman"/>
      <w:sz w:val="20"/>
      <w:szCs w:val="20"/>
    </w:rPr>
  </w:style>
  <w:style w:type="paragraph" w:styleId="861">
    <w:name w:val="annotation text"/>
    <w:basedOn w:val="848"/>
    <w:link w:val="888"/>
    <w:uiPriority w:val="99"/>
    <w:semiHidden/>
    <w:unhideWhenUsed/>
    <w:qFormat/>
    <w:rPr>
      <w:sz w:val="20"/>
      <w:szCs w:val="20"/>
    </w:rPr>
  </w:style>
  <w:style w:type="paragraph" w:styleId="862">
    <w:name w:val="annotation subject"/>
    <w:basedOn w:val="861"/>
    <w:next w:val="861"/>
    <w:link w:val="890"/>
    <w:uiPriority w:val="99"/>
    <w:semiHidden/>
    <w:unhideWhenUsed/>
    <w:qFormat/>
    <w:rPr>
      <w:b/>
      <w:bCs/>
    </w:rPr>
  </w:style>
  <w:style w:type="paragraph" w:styleId="863">
    <w:name w:val="footnote text"/>
    <w:basedOn w:val="848"/>
    <w:link w:val="892"/>
    <w:semiHidden/>
    <w:qFormat/>
    <w:rPr>
      <w:rFonts w:cs="Times New Roman"/>
      <w:sz w:val="20"/>
      <w:szCs w:val="20"/>
    </w:rPr>
  </w:style>
  <w:style w:type="paragraph" w:styleId="864">
    <w:name w:val="Header"/>
    <w:basedOn w:val="848"/>
    <w:link w:val="893"/>
    <w:qFormat/>
    <w:pPr>
      <w:tabs>
        <w:tab w:val="center" w:pos="4677" w:leader="none"/>
        <w:tab w:val="right" w:pos="9355" w:leader="none"/>
      </w:tabs>
    </w:pPr>
  </w:style>
  <w:style w:type="paragraph" w:styleId="865">
    <w:name w:val="Body Text"/>
    <w:basedOn w:val="848"/>
    <w:link w:val="873"/>
    <w:qFormat/>
    <w:pPr>
      <w:spacing w:after="120"/>
    </w:pPr>
  </w:style>
  <w:style w:type="paragraph" w:styleId="866">
    <w:name w:val="Body Text Indent"/>
    <w:basedOn w:val="848"/>
    <w:link w:val="874"/>
    <w:qFormat/>
    <w:pPr>
      <w:ind w:left="283"/>
      <w:spacing w:after="120"/>
    </w:pPr>
  </w:style>
  <w:style w:type="paragraph" w:styleId="867">
    <w:name w:val="Footer"/>
    <w:basedOn w:val="848"/>
    <w:link w:val="894"/>
    <w:qFormat/>
    <w:pPr>
      <w:tabs>
        <w:tab w:val="center" w:pos="4677" w:leader="none"/>
        <w:tab w:val="right" w:pos="9355" w:leader="none"/>
      </w:tabs>
    </w:pPr>
  </w:style>
  <w:style w:type="paragraph" w:styleId="868">
    <w:name w:val="Normal (Web)"/>
    <w:basedOn w:val="848"/>
    <w:link w:val="895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869">
    <w:name w:val="Body Text 3"/>
    <w:basedOn w:val="848"/>
    <w:link w:val="896"/>
    <w:qFormat/>
    <w:pPr>
      <w:spacing w:after="120"/>
    </w:pPr>
    <w:rPr>
      <w:sz w:val="16"/>
      <w:szCs w:val="16"/>
    </w:rPr>
  </w:style>
  <w:style w:type="paragraph" w:styleId="870">
    <w:name w:val="HTML Preformatted"/>
    <w:basedOn w:val="848"/>
    <w:link w:val="897"/>
    <w:uiPriority w:val="99"/>
    <w:unhideWhenUsed/>
    <w:qFormat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table" w:styleId="871">
    <w:name w:val="Table Grid"/>
    <w:basedOn w:val="854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2" w:customStyle="1">
    <w:name w:val="Заголовок 4 Знак"/>
    <w:basedOn w:val="853"/>
    <w:link w:val="852"/>
    <w:qFormat/>
    <w:rPr>
      <w:rFonts w:ascii="Arial" w:hAnsi="Arial" w:eastAsia="Times New Roman" w:cs="Arial"/>
      <w:b/>
      <w:sz w:val="18"/>
      <w:szCs w:val="18"/>
      <w:lang w:eastAsia="ru-RU"/>
    </w:rPr>
  </w:style>
  <w:style w:type="character" w:styleId="873" w:customStyle="1">
    <w:name w:val="Основной текст Знак"/>
    <w:basedOn w:val="853"/>
    <w:link w:val="865"/>
    <w:qFormat/>
    <w:rPr>
      <w:rFonts w:ascii="Arial" w:hAnsi="Arial" w:eastAsia="Times New Roman" w:cs="Arial"/>
      <w:sz w:val="18"/>
      <w:szCs w:val="18"/>
      <w:lang w:eastAsia="ru-RU"/>
    </w:rPr>
  </w:style>
  <w:style w:type="character" w:styleId="874" w:customStyle="1">
    <w:name w:val="Основной текст с отступом Знак"/>
    <w:basedOn w:val="853"/>
    <w:link w:val="866"/>
    <w:qFormat/>
    <w:rPr>
      <w:rFonts w:ascii="Arial" w:hAnsi="Arial" w:eastAsia="Times New Roman" w:cs="Arial"/>
      <w:sz w:val="18"/>
      <w:szCs w:val="18"/>
      <w:lang w:eastAsia="ru-RU"/>
    </w:rPr>
  </w:style>
  <w:style w:type="paragraph" w:styleId="875">
    <w:name w:val="List Paragraph"/>
    <w:basedOn w:val="848"/>
    <w:link w:val="926"/>
    <w:uiPriority w:val="34"/>
    <w:qFormat/>
    <w:pPr>
      <w:contextualSpacing/>
      <w:ind w:left="720"/>
    </w:pPr>
  </w:style>
  <w:style w:type="paragraph" w:styleId="876" w:customStyle="1">
    <w:name w:val="ConsPlusNormal"/>
    <w:link w:val="877"/>
    <w:qFormat/>
    <w:rPr>
      <w:rFonts w:ascii="Times New Roman" w:hAnsi="Times New Roman" w:eastAsia="Times New Roman" w:cs="Times New Roman"/>
      <w:sz w:val="24"/>
      <w:szCs w:val="24"/>
    </w:rPr>
  </w:style>
  <w:style w:type="character" w:styleId="877" w:customStyle="1">
    <w:name w:val="ConsPlusNormal Знак"/>
    <w:link w:val="876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_Style 56"/>
    <w:basedOn w:val="848"/>
    <w:next w:val="868"/>
    <w:uiPriority w:val="99"/>
    <w:qFormat/>
    <w:pPr>
      <w:keepNext/>
      <w:widowControl/>
    </w:pPr>
    <w:rPr>
      <w:rFonts w:ascii="Times New Roman" w:hAnsi="Times New Roman" w:cs="Times New Roman"/>
      <w:sz w:val="24"/>
      <w:szCs w:val="24"/>
    </w:rPr>
  </w:style>
  <w:style w:type="paragraph" w:styleId="879" w:customStyle="1">
    <w:name w:val="Обычный1"/>
    <w:qFormat/>
    <w:rPr>
      <w:rFonts w:ascii="Times New Roman" w:hAnsi="Times New Roman" w:eastAsia="Times New Roman" w:cs="Times New Roman"/>
    </w:rPr>
  </w:style>
  <w:style w:type="paragraph" w:styleId="880" w:customStyle="1">
    <w:name w:val="Style6"/>
    <w:basedOn w:val="848"/>
    <w:uiPriority w:val="99"/>
    <w:qFormat/>
    <w:pPr>
      <w:ind w:firstLine="936"/>
      <w:spacing w:line="228" w:lineRule="exact"/>
    </w:pPr>
    <w:rPr>
      <w:rFonts w:ascii="Times New Roman" w:hAnsi="Times New Roman" w:cs="Times New Roman"/>
      <w:sz w:val="24"/>
      <w:szCs w:val="24"/>
    </w:rPr>
  </w:style>
  <w:style w:type="paragraph" w:styleId="881" w:customStyle="1">
    <w:name w:val="Статья_договора"/>
    <w:basedOn w:val="848"/>
    <w:qFormat/>
    <w:pPr>
      <w:numPr>
        <w:ilvl w:val="1"/>
        <w:numId w:val="1"/>
      </w:numPr>
      <w:jc w:val="both"/>
      <w:widowControl/>
      <w:outlineLvl w:val="1"/>
    </w:pPr>
    <w:rPr>
      <w:rFonts w:cs="Times New Roman"/>
      <w:sz w:val="22"/>
      <w:szCs w:val="22"/>
    </w:rPr>
  </w:style>
  <w:style w:type="character" w:styleId="882" w:customStyle="1">
    <w:name w:val="Текст концевой сноски Знак"/>
    <w:basedOn w:val="853"/>
    <w:link w:val="860"/>
    <w:qFormat/>
    <w:rPr>
      <w:rFonts w:ascii="Arial" w:hAnsi="Arial" w:eastAsia="SimSun" w:cs="Times New Roman"/>
      <w:sz w:val="20"/>
      <w:szCs w:val="20"/>
      <w:lang w:eastAsia="ru-RU"/>
    </w:rPr>
  </w:style>
  <w:style w:type="character" w:styleId="883" w:customStyle="1">
    <w:name w:val="Заголовок 2 Знак"/>
    <w:basedOn w:val="853"/>
    <w:link w:val="850"/>
    <w:qFormat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884" w:customStyle="1">
    <w:name w:val="Заголовок 3 Знак"/>
    <w:basedOn w:val="853"/>
    <w:link w:val="85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  <w:sz w:val="18"/>
      <w:szCs w:val="18"/>
      <w:lang w:eastAsia="ru-RU"/>
    </w:rPr>
  </w:style>
  <w:style w:type="character" w:styleId="885" w:customStyle="1">
    <w:name w:val="Заголовок 1 Знак"/>
    <w:basedOn w:val="853"/>
    <w:link w:val="849"/>
    <w:qFormat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886" w:customStyle="1">
    <w:name w:val="Текст выноски Знак"/>
    <w:basedOn w:val="853"/>
    <w:link w:val="858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87" w:customStyle="1">
    <w:name w:val="Текст выноски Знак1"/>
    <w:basedOn w:val="85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88" w:customStyle="1">
    <w:name w:val="Текст примечания Знак"/>
    <w:basedOn w:val="853"/>
    <w:link w:val="861"/>
    <w:uiPriority w:val="99"/>
    <w:semiHidden/>
    <w:qFormat/>
    <w:rPr>
      <w:rFonts w:ascii="Arial" w:hAnsi="Arial" w:eastAsia="Times New Roman" w:cs="Arial"/>
      <w:sz w:val="20"/>
      <w:szCs w:val="20"/>
      <w:lang w:eastAsia="ru-RU"/>
    </w:rPr>
  </w:style>
  <w:style w:type="character" w:styleId="889" w:customStyle="1">
    <w:name w:val="Текст примечания Знак1"/>
    <w:basedOn w:val="853"/>
    <w:uiPriority w:val="99"/>
    <w:semiHidden/>
    <w:qFormat/>
    <w:rPr>
      <w:rFonts w:ascii="Arial" w:hAnsi="Arial" w:eastAsia="Times New Roman" w:cs="Arial"/>
      <w:sz w:val="20"/>
      <w:szCs w:val="20"/>
      <w:lang w:eastAsia="ru-RU"/>
    </w:rPr>
  </w:style>
  <w:style w:type="character" w:styleId="890" w:customStyle="1">
    <w:name w:val="Тема примечания Знак"/>
    <w:basedOn w:val="888"/>
    <w:link w:val="862"/>
    <w:uiPriority w:val="99"/>
    <w:semiHidden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891" w:customStyle="1">
    <w:name w:val="Тема примечания Знак1"/>
    <w:basedOn w:val="889"/>
    <w:uiPriority w:val="99"/>
    <w:semiHidden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892" w:customStyle="1">
    <w:name w:val="Текст сноски Знак"/>
    <w:basedOn w:val="853"/>
    <w:link w:val="863"/>
    <w:semiHidden/>
    <w:qFormat/>
    <w:rPr>
      <w:rFonts w:ascii="Arial" w:hAnsi="Arial" w:eastAsia="Times New Roman" w:cs="Times New Roman"/>
      <w:sz w:val="20"/>
      <w:szCs w:val="20"/>
      <w:lang w:eastAsia="ru-RU"/>
    </w:rPr>
  </w:style>
  <w:style w:type="character" w:styleId="893" w:customStyle="1">
    <w:name w:val="Верхний колонтитул Знак"/>
    <w:basedOn w:val="853"/>
    <w:link w:val="864"/>
    <w:qFormat/>
    <w:rPr>
      <w:rFonts w:ascii="Arial" w:hAnsi="Arial" w:eastAsia="Times New Roman" w:cs="Arial"/>
      <w:sz w:val="18"/>
      <w:szCs w:val="18"/>
      <w:lang w:eastAsia="ru-RU"/>
    </w:rPr>
  </w:style>
  <w:style w:type="character" w:styleId="894" w:customStyle="1">
    <w:name w:val="Нижний колонтитул Знак"/>
    <w:basedOn w:val="853"/>
    <w:link w:val="867"/>
    <w:qFormat/>
    <w:rPr>
      <w:rFonts w:ascii="Arial" w:hAnsi="Arial" w:eastAsia="Times New Roman" w:cs="Arial"/>
      <w:sz w:val="18"/>
      <w:szCs w:val="18"/>
      <w:lang w:eastAsia="ru-RU"/>
    </w:rPr>
  </w:style>
  <w:style w:type="character" w:styleId="895" w:customStyle="1">
    <w:name w:val="Обычный (веб) Знак"/>
    <w:link w:val="86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Основной текст 3 Знак"/>
    <w:basedOn w:val="853"/>
    <w:link w:val="86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897" w:customStyle="1">
    <w:name w:val="Стандартный HTML Знак"/>
    <w:basedOn w:val="853"/>
    <w:link w:val="870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8" w:customStyle="1">
    <w:name w:val="Обычный + по ширине"/>
    <w:basedOn w:val="848"/>
    <w:uiPriority w:val="99"/>
    <w:qFormat/>
    <w:pPr>
      <w:jc w:val="both"/>
      <w:widowControl/>
    </w:pPr>
    <w:rPr>
      <w:rFonts w:ascii="Times New Roman" w:hAnsi="Times New Roman" w:cs="Times New Roman"/>
      <w:sz w:val="24"/>
      <w:szCs w:val="24"/>
    </w:rPr>
  </w:style>
  <w:style w:type="paragraph" w:styleId="899" w:customStyle="1">
    <w:name w:val="ConsNonformat"/>
    <w:qFormat/>
    <w:pPr>
      <w:ind w:right="19772"/>
      <w:widowControl w:val="off"/>
    </w:pPr>
    <w:rPr>
      <w:rFonts w:ascii="Courier New" w:hAnsi="Courier New" w:eastAsia="Times New Roman" w:cs="Tahoma"/>
    </w:rPr>
  </w:style>
  <w:style w:type="paragraph" w:styleId="900" w:customStyle="1">
    <w:name w:val="ConsNormal"/>
    <w:link w:val="901"/>
    <w:qFormat/>
    <w:pPr>
      <w:ind w:right="19772" w:firstLine="720"/>
      <w:widowControl w:val="off"/>
    </w:pPr>
    <w:rPr>
      <w:rFonts w:ascii="Arial" w:hAnsi="Arial" w:eastAsia="Times New Roman" w:cs="Arial"/>
      <w:sz w:val="22"/>
      <w:szCs w:val="22"/>
    </w:rPr>
  </w:style>
  <w:style w:type="character" w:styleId="901" w:customStyle="1">
    <w:name w:val="ConsNormal Знак"/>
    <w:link w:val="900"/>
    <w:qFormat/>
    <w:rPr>
      <w:rFonts w:ascii="Arial" w:hAnsi="Arial" w:eastAsia="Times New Roman" w:cs="Arial"/>
      <w:lang w:eastAsia="ru-RU"/>
    </w:rPr>
  </w:style>
  <w:style w:type="paragraph" w:styleId="902" w:customStyle="1">
    <w:name w:val="Heading"/>
    <w:qFormat/>
    <w:pPr>
      <w:widowControl w:val="off"/>
    </w:pPr>
    <w:rPr>
      <w:rFonts w:ascii="Arial" w:hAnsi="Arial" w:eastAsia="Times New Roman" w:cs="Arial"/>
      <w:b/>
      <w:bCs/>
      <w:sz w:val="22"/>
      <w:szCs w:val="22"/>
    </w:rPr>
  </w:style>
  <w:style w:type="paragraph" w:styleId="903" w:customStyle="1">
    <w:name w:val="Знак1"/>
    <w:basedOn w:val="848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904" w:customStyle="1">
    <w:name w:val="Iniiaiie oaeno 21"/>
    <w:basedOn w:val="848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905" w:customStyle="1">
    <w:name w:val="Раздел_договора"/>
    <w:basedOn w:val="849"/>
    <w:qFormat/>
    <w:pPr>
      <w:jc w:val="center"/>
      <w:keepLines/>
      <w:spacing w:before="60"/>
      <w:widowControl/>
    </w:pPr>
    <w:rPr>
      <w:rFonts w:ascii="Verdana" w:hAnsi="Verdana" w:cs="Times New Roman"/>
      <w:caps/>
      <w:sz w:val="22"/>
      <w:szCs w:val="22"/>
    </w:rPr>
  </w:style>
  <w:style w:type="paragraph" w:styleId="906" w:customStyle="1">
    <w:name w:val="PG2"/>
    <w:basedOn w:val="850"/>
    <w:qFormat/>
    <w:pPr>
      <w:ind w:left="170"/>
      <w:jc w:val="both"/>
      <w:keepLines w:val="0"/>
      <w:keepNext w:val="0"/>
      <w:spacing w:before="0"/>
      <w:widowControl/>
      <w:tabs>
        <w:tab w:val="left" w:pos="530" w:leader="none"/>
        <w:tab w:val="left" w:pos="1100" w:leader="none"/>
      </w:tabs>
    </w:pPr>
    <w:rPr>
      <w:rFonts w:ascii="Arial" w:hAnsi="Arial" w:eastAsia="Calibri" w:cs="Times New Roman"/>
      <w:b w:val="0"/>
      <w:bCs w:val="0"/>
      <w:color w:val="auto"/>
      <w:sz w:val="24"/>
      <w:szCs w:val="20"/>
    </w:rPr>
  </w:style>
  <w:style w:type="paragraph" w:styleId="907" w:customStyle="1">
    <w:name w:val="Абзац списка11"/>
    <w:basedOn w:val="848"/>
    <w:qFormat/>
    <w:pPr>
      <w:ind w:left="708" w:firstLine="720"/>
      <w:jc w:val="both"/>
      <w:spacing w:before="60" w:after="60"/>
    </w:pPr>
    <w:rPr>
      <w:rFonts w:ascii="Times New Roman" w:hAnsi="Times New Roman" w:cs="Times New Roman"/>
      <w:sz w:val="24"/>
      <w:szCs w:val="24"/>
      <w:lang w:eastAsia="en-US"/>
    </w:rPr>
  </w:style>
  <w:style w:type="paragraph" w:styleId="908" w:customStyle="1">
    <w:name w:val="Контракт-пункт"/>
    <w:basedOn w:val="848"/>
    <w:qFormat/>
    <w:pPr>
      <w:ind w:left="851" w:hanging="851"/>
      <w:jc w:val="both"/>
      <w:widowControl/>
      <w:tabs>
        <w:tab w:val="left" w:pos="851" w:leader="none"/>
      </w:tabs>
    </w:pPr>
    <w:rPr>
      <w:rFonts w:ascii="Times New Roman" w:hAnsi="Times New Roman" w:cs="Times New Roman"/>
      <w:sz w:val="24"/>
      <w:szCs w:val="24"/>
    </w:rPr>
  </w:style>
  <w:style w:type="paragraph" w:styleId="909" w:customStyle="1">
    <w:name w:val="Контракт-раздел"/>
    <w:basedOn w:val="848"/>
    <w:next w:val="908"/>
    <w:qFormat/>
    <w:pPr>
      <w:jc w:val="center"/>
      <w:keepNext/>
      <w:spacing w:before="360" w:after="120"/>
      <w:widowControl/>
      <w:tabs>
        <w:tab w:val="left" w:pos="0" w:leader="none"/>
        <w:tab w:val="left" w:pos="540" w:leader="none"/>
      </w:tabs>
      <w:outlineLvl w:val="3"/>
    </w:pPr>
    <w:rPr>
      <w:rFonts w:ascii="Times New Roman" w:hAnsi="Times New Roman" w:cs="Times New Roman"/>
      <w:b/>
      <w:bCs/>
      <w:caps/>
      <w:smallCaps/>
      <w:sz w:val="24"/>
      <w:szCs w:val="24"/>
    </w:rPr>
  </w:style>
  <w:style w:type="paragraph" w:styleId="910" w:customStyle="1">
    <w:name w:val="Контракт-подпункт"/>
    <w:basedOn w:val="848"/>
    <w:qFormat/>
    <w:pPr>
      <w:ind w:left="851" w:hanging="851"/>
      <w:jc w:val="both"/>
      <w:widowControl/>
      <w:tabs>
        <w:tab w:val="left" w:pos="851" w:leader="none"/>
      </w:tabs>
    </w:pPr>
    <w:rPr>
      <w:rFonts w:ascii="Times New Roman" w:hAnsi="Times New Roman" w:cs="Times New Roman"/>
      <w:sz w:val="24"/>
      <w:szCs w:val="24"/>
    </w:rPr>
  </w:style>
  <w:style w:type="paragraph" w:styleId="911" w:customStyle="1">
    <w:name w:val="Контракт-подподпункт"/>
    <w:basedOn w:val="848"/>
    <w:qFormat/>
    <w:pPr>
      <w:ind w:left="1418" w:hanging="567"/>
      <w:jc w:val="both"/>
      <w:widowControl/>
      <w:tabs>
        <w:tab w:val="left" w:pos="1418" w:leader="none"/>
      </w:tabs>
    </w:pPr>
    <w:rPr>
      <w:rFonts w:ascii="Times New Roman" w:hAnsi="Times New Roman" w:cs="Times New Roman"/>
      <w:sz w:val="24"/>
      <w:szCs w:val="24"/>
    </w:rPr>
  </w:style>
  <w:style w:type="paragraph" w:styleId="912" w:customStyle="1">
    <w:name w:val="heading 1 normal unnumbered"/>
    <w:basedOn w:val="848"/>
    <w:next w:val="848"/>
    <w:uiPriority w:val="9"/>
    <w:qFormat/>
    <w:pPr>
      <w:ind w:firstLine="482"/>
      <w:jc w:val="both"/>
      <w:spacing w:before="120" w:after="120" w:line="276" w:lineRule="auto"/>
      <w:widowControl/>
      <w:outlineLvl w:val="0"/>
    </w:pPr>
    <w:rPr>
      <w:rFonts w:ascii="Times New Roman" w:hAnsi="Times New Roman" w:cs="Times New Roman"/>
      <w:sz w:val="22"/>
      <w:szCs w:val="22"/>
    </w:rPr>
  </w:style>
  <w:style w:type="paragraph" w:styleId="913">
    <w:name w:val="Quote"/>
    <w:basedOn w:val="848"/>
    <w:next w:val="848"/>
    <w:link w:val="914"/>
    <w:uiPriority w:val="29"/>
    <w:qFormat/>
    <w:pPr>
      <w:ind w:left="964"/>
      <w:jc w:val="both"/>
      <w:spacing w:before="120" w:line="276" w:lineRule="auto"/>
      <w:widowControl/>
      <w:pBdr>
        <w:left w:val="single" w:color="999999" w:sz="24" w:space="10"/>
      </w:pBdr>
    </w:pPr>
    <w:rPr>
      <w:rFonts w:ascii="Times New Roman" w:hAnsi="Times New Roman" w:cs="Times New Roman"/>
      <w:i/>
      <w:iCs/>
      <w:color w:val="8064a2"/>
      <w:sz w:val="22"/>
      <w:szCs w:val="22"/>
    </w:rPr>
  </w:style>
  <w:style w:type="character" w:styleId="914" w:customStyle="1">
    <w:name w:val="Цитата 2 Знак"/>
    <w:basedOn w:val="853"/>
    <w:link w:val="913"/>
    <w:uiPriority w:val="29"/>
    <w:qFormat/>
    <w:rPr>
      <w:rFonts w:ascii="Times New Roman" w:hAnsi="Times New Roman" w:eastAsia="Times New Roman" w:cs="Times New Roman"/>
      <w:i/>
      <w:iCs/>
      <w:color w:val="8064a2"/>
      <w:lang w:eastAsia="ru-RU"/>
    </w:rPr>
  </w:style>
  <w:style w:type="paragraph" w:styleId="915" w:customStyle="1">
    <w:name w:val="Warning"/>
    <w:basedOn w:val="848"/>
    <w:next w:val="848"/>
    <w:uiPriority w:val="29"/>
    <w:qFormat/>
    <w:pPr>
      <w:ind w:left="964"/>
      <w:jc w:val="both"/>
      <w:spacing w:before="120" w:line="276" w:lineRule="auto"/>
      <w:widowControl/>
      <w:pBdr>
        <w:left w:val="single" w:color="999999" w:sz="24" w:space="10"/>
      </w:pBdr>
    </w:pPr>
    <w:rPr>
      <w:rFonts w:ascii="Times New Roman" w:hAnsi="Times New Roman" w:cs="Times New Roman"/>
      <w:i/>
      <w:iCs/>
      <w:color w:val="e36c0a"/>
      <w:sz w:val="22"/>
      <w:szCs w:val="22"/>
    </w:rPr>
  </w:style>
  <w:style w:type="character" w:styleId="916" w:customStyle="1">
    <w:name w:val="apple-converted-space"/>
    <w:basedOn w:val="853"/>
    <w:qFormat/>
  </w:style>
  <w:style w:type="paragraph" w:styleId="917" w:customStyle="1">
    <w:name w:val="copyright-info"/>
    <w:basedOn w:val="848"/>
    <w:qFormat/>
    <w:pPr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918" w:customStyle="1">
    <w:name w:val="Font Style14"/>
    <w:qFormat/>
    <w:rPr>
      <w:rFonts w:ascii="Times New Roman" w:hAnsi="Times New Roman" w:cs="Times New Roman"/>
      <w:sz w:val="22"/>
      <w:szCs w:val="22"/>
    </w:rPr>
  </w:style>
  <w:style w:type="paragraph" w:styleId="919" w:customStyle="1">
    <w:name w:val="ConsPlusNonformat"/>
    <w:qFormat/>
    <w:pPr>
      <w:widowControl w:val="off"/>
    </w:pPr>
    <w:rPr>
      <w:rFonts w:ascii="Courier New" w:hAnsi="Courier New" w:eastAsia="Times New Roman" w:cs="Courier New"/>
      <w:lang w:eastAsia="ar-SA"/>
    </w:rPr>
  </w:style>
  <w:style w:type="character" w:styleId="920" w:customStyle="1">
    <w:name w:val="Гипертекстовая ссылка"/>
    <w:uiPriority w:val="99"/>
    <w:qFormat/>
    <w:rPr>
      <w:color w:val="106bbe"/>
    </w:rPr>
  </w:style>
  <w:style w:type="paragraph" w:styleId="921" w:customStyle="1">
    <w:name w:val="Таблицы (моноширинный)"/>
    <w:basedOn w:val="848"/>
    <w:next w:val="848"/>
    <w:uiPriority w:val="99"/>
    <w:qFormat/>
    <w:rPr>
      <w:rFonts w:ascii="Courier New" w:hAnsi="Courier New" w:cs="Courier New"/>
      <w:sz w:val="24"/>
      <w:szCs w:val="24"/>
    </w:rPr>
  </w:style>
  <w:style w:type="character" w:styleId="922" w:customStyle="1">
    <w:name w:val="Основной текст с отступом 3 Знак"/>
    <w:basedOn w:val="853"/>
    <w:link w:val="859"/>
    <w:uiPriority w:val="99"/>
    <w:semiHidden/>
    <w:qFormat/>
    <w:rPr>
      <w:rFonts w:ascii="Arial" w:hAnsi="Arial" w:eastAsia="Times New Roman" w:cs="Arial"/>
      <w:sz w:val="16"/>
      <w:szCs w:val="16"/>
      <w:lang w:eastAsia="ru-RU"/>
    </w:rPr>
  </w:style>
  <w:style w:type="character" w:styleId="923" w:customStyle="1">
    <w:name w:val="Цветовое выделение"/>
    <w:uiPriority w:val="99"/>
    <w:qFormat/>
    <w:rPr>
      <w:b/>
      <w:bCs/>
      <w:color w:val="26282f"/>
    </w:rPr>
  </w:style>
  <w:style w:type="paragraph" w:styleId="924" w:customStyle="1">
    <w:name w:val="Нормальный (таблица)"/>
    <w:basedOn w:val="848"/>
    <w:next w:val="848"/>
    <w:uiPriority w:val="99"/>
    <w:qFormat/>
    <w:pPr>
      <w:jc w:val="both"/>
    </w:pPr>
    <w:rPr>
      <w:rFonts w:ascii="Times New Roman CYR" w:hAnsi="Times New Roman CYR" w:cs="Times New Roman CYR"/>
      <w:sz w:val="24"/>
      <w:szCs w:val="24"/>
    </w:rPr>
  </w:style>
  <w:style w:type="character" w:styleId="925" w:customStyle="1">
    <w:name w:val="Обычный (веб) Знак1"/>
    <w:qFormat/>
    <w:rPr>
      <w:sz w:val="24"/>
      <w:szCs w:val="24"/>
      <w:lang w:val="ru-RU" w:eastAsia="ru-RU" w:bidi="ar-SA"/>
    </w:rPr>
  </w:style>
  <w:style w:type="character" w:styleId="926" w:customStyle="1">
    <w:name w:val="Абзац списка Знак"/>
    <w:link w:val="875"/>
    <w:uiPriority w:val="34"/>
    <w:rPr>
      <w:rFonts w:ascii="Arial" w:hAnsi="Arial" w:eastAsia="Times New Roman" w:cs="Arial"/>
      <w:sz w:val="18"/>
      <w:szCs w:val="18"/>
    </w:rPr>
  </w:style>
  <w:style w:type="paragraph" w:styleId="927">
    <w:name w:val="No Spacing"/>
    <w:uiPriority w:val="1"/>
    <w:qFormat/>
    <w:rPr>
      <w:sz w:val="22"/>
      <w:szCs w:val="22"/>
      <w:lang w:eastAsia="en-US"/>
    </w:rPr>
  </w:style>
  <w:style w:type="paragraph" w:styleId="928" w:customStyle="1">
    <w:name w:val="Абзац списка1"/>
    <w:basedOn w:val="857"/>
    <w:link w:val="877"/>
    <w:qFormat/>
    <w:p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Основной текст 2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C377-C147-4253-A7F6-6E6C061C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Ya Blondinko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ksuser</dc:creator>
  <cp:lastModifiedBy>administrator</cp:lastModifiedBy>
  <cp:revision>11</cp:revision>
  <dcterms:created xsi:type="dcterms:W3CDTF">2025-09-16T03:12:00Z</dcterms:created>
  <dcterms:modified xsi:type="dcterms:W3CDTF">2026-06-26T04:37:40Z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D523A5FE6A1A41A287BCF84E081D8B3D</vt:lpwstr>
  </property>
  <property fmtid="{D5CDD505-2E9C-101B-9397-08002B2CF9AE}" pid="3" name="KSOProductBuildVer">
    <vt:lpwstr>1049-12.2.0.13489</vt:lpwstr>
  </property>
</Properties>
</file>