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FirstPage.xml" ContentType="application/vnd.openxmlformats-officedocument.wordprocessingml.header+xml"/>
  <Override PartName="/word/footerFirstPage.xml" ContentType="application/vnd.openxmlformats-officedocument.wordprocessingml.footer+xml"/>
  <Override PartName="/word/headerEvenPages.xml" ContentType="application/vnd.openxmlformats-officedocument.wordprocessingml.header+xml"/>
  <Override PartName="/word/footerEvenPages.xml" ContentType="application/vnd.openxmlformats-officedocument.wordprocessingml.footer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>
  <w:body>
    <w:p>
      <w:pPr>
        <w:jc w:val="center"/>
      </w:pPr>
      <w:r>
        <w:rPr>
          <w:b/>
        </w:rPr>
        <w:t>ОКПД2: 71.20.13.000 - Услуги в области испытаний, исследований и анализа целостных механических и электрических систем</w:t>
      </w:r>
    </w:p>
    <w:p>
      <w:pPr>
        <w:rPr>
          <w:b/>
        </w:rPr>
      </w:pPr>
      <w:r>
        <w:rPr>
          <w:b/>
        </w:rPr>
        <w:t/>
      </w:r>
    </w:p>
    <w:p>
      <w:pPr>
        <w:jc w:val="center"/>
      </w:pPr>
      <w:r>
        <w:rPr>
          <w:b/>
        </w:rPr>
        <w:t>ТЕХНИЧЕСКОЕ ЗАДАНИЕ</w:t>
      </w:r>
    </w:p>
    <w:p>
      <w:pPr>
        <w:jc w:val="center"/>
        <w:rPr>
          <w:b/>
        </w:rPr>
      </w:pPr>
      <w:r>
        <w:rPr>
          <w:b/>
        </w:rPr>
        <w:t/>
      </w:r>
    </w:p>
    <w:p>
      <w:pPr>
        <w:jc w:val="center"/>
      </w:pPr>
      <w:r>
        <w:rPr>
          <w:b/>
        </w:rPr>
        <w:t xml:space="preserve">Наименование объекта закупки: </w:t>
      </w:r>
    </w:p>
    <w:p>
      <w:pPr>
        <w:jc w:val="center"/>
      </w:pPr>
      <w:r>
        <w:rPr>
          <w:b/>
        </w:rPr>
        <w:t>Оказание услуг по электроизмерительным работам сопротивления изоляции силовой и осветительной электропроводки в зданиях ФГБУ ННПЦ МСЭ и РИ Минтруда России (Клинический корпус, Административный корпус, Физиотерапевтический корпус, Котельная, Гараж)</w:t>
      </w:r>
    </w:p>
    <w:p>
      <w:pPr>
        <w:jc w:val="center"/>
        <w:rPr>
          <w:b/>
        </w:rPr>
      </w:pPr>
      <w:r>
        <w:rPr>
          <w:b/>
        </w:rPr>
        <w:t/>
      </w:r>
    </w:p>
    <w:tbl>
      <w:tblPr>
        <w:tblW w:w="9075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Ind w:w="285" w:type="dxa"/>
      </w:tblPr>
      <w:tblGrid>
        <w:gridCol w:w="585"/>
        <w:gridCol w:w="5715"/>
        <w:gridCol w:w="1350"/>
        <w:gridCol w:w="1410"/>
      </w:tblGrid>
      <w:tr>
        <w:trPr>
          <w:trHeight w:val="330" w:hRule="atLeast"/>
        </w:trPr>
        <w:tc>
          <w:tcPr>
            <w:tcW w:w="585" w:type="dxa"/>
            <w:tcBorders>
              <w:left w:val="single" w:sz="6" w:color="auto"/>
              <w:top w:val="single" w:sz="6" w:color="auto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5715" w:type="dxa"/>
            <w:tcBorders>
              <w:left w:val="single" w:sz="6" w:color="auto"/>
              <w:top w:val="single" w:sz="6" w:color="auto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rPr>
                <w:b/>
              </w:rPr>
              <w:t>Наименование услуг</w:t>
            </w:r>
          </w:p>
        </w:tc>
        <w:tc>
          <w:tcPr>
            <w:tcW w:w="1350" w:type="dxa"/>
            <w:tcBorders>
              <w:left w:val="single" w:sz="6" w:color="auto"/>
              <w:top w:val="single" w:sz="6" w:color="auto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rPr>
                <w:b/>
              </w:rPr>
              <w:t>Кол-во</w:t>
            </w:r>
          </w:p>
        </w:tc>
        <w:tc>
          <w:tcPr>
            <w:tcW w:w="1410" w:type="dxa"/>
            <w:tcBorders>
              <w:left w:val="single" w:sz="6" w:color="auto"/>
              <w:top w:val="single" w:sz="6" w:color="auto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rPr>
                <w:b/>
              </w:rPr>
              <w:t>Ед. изм.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left w:val="single" w:sz="6" w:color="auto"/>
              <w:top w:val="single" w:sz="6" w:color="auto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1.</w:t>
            </w:r>
          </w:p>
        </w:tc>
        <w:tc>
          <w:tcPr>
            <w:tcW w:w="5715" w:type="dxa"/>
            <w:tcBorders>
              <w:left w:val="single" w:sz="6" w:color="auto"/>
              <w:top w:val="single" w:sz="6" w:color="auto"/>
              <w:right w:val="single" w:sz="6" w:color="auto"/>
              <w:bottom w:val="single" w:sz="6" w:color="auto"/>
            </w:tcBorders>
          </w:tcPr>
          <w:p>
            <w:r>
              <w:t>Оказание услуг по электроизмерительным работам сопротивления изоляции силовой и осветительной электропроводки в зданиях</w:t>
            </w:r>
          </w:p>
        </w:tc>
        <w:tc>
          <w:tcPr>
            <w:tcW w:w="1350" w:type="dxa"/>
            <w:tcBorders>
              <w:left w:val="single" w:sz="6" w:color="auto"/>
              <w:top w:val="single" w:sz="6" w:color="auto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1</w:t>
            </w:r>
          </w:p>
        </w:tc>
        <w:tc>
          <w:tcPr>
            <w:tcW w:w="1410" w:type="dxa"/>
            <w:tcBorders>
              <w:left w:val="single" w:sz="6" w:color="auto"/>
              <w:top w:val="single" w:sz="6" w:color="auto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Условная единица</w:t>
            </w:r>
          </w:p>
        </w:tc>
      </w:tr>
    </w:tbl>
    <w:p>
      <w:pPr>
        <w:jc w:val="center"/>
        <w:rPr>
          <w:b/>
        </w:rPr>
      </w:pPr>
      <w:r>
        <w:rPr>
          <w:b/>
        </w:rPr>
        <w:t/>
      </w:r>
    </w:p>
    <w:p>
      <w:pPr>
        <w:ind w:right="225"/>
      </w:pPr>
      <w:r>
        <w:rPr>
          <w:b/>
          <w:i/>
        </w:rPr>
        <w:t>1.1 Требования к качеству, характеристикам, результату оказанных услуг</w:t>
      </w:r>
    </w:p>
    <w:p>
      <w:pPr>
        <w:jc w:val="both"/>
        <w:ind w:right="225"/>
        <w:tabs>
          <w:tab w:val="left" w:pos="225"/>
        </w:tabs>
      </w:pPr>
      <w:r>
        <w:t>1.1.1. Все услуги выполняются силами и средствами Исполнителя  (из его материалов, оборудования и его инструментами) в соответствии со СНиПами, ГОСТами и</w:t>
      </w:r>
      <w:r>
        <w:br/>
      </w:r>
      <w:r>
        <w:t>настоящим техническим заданием, с соблюдением норм и требований</w:t>
      </w:r>
      <w:r>
        <w:br/>
      </w:r>
      <w:r>
        <w:t>охраны труда, промышленной и пожарной безопасности, охраны окружающей среды, письменными указаниями Заказчика.</w:t>
      </w:r>
    </w:p>
    <w:p>
      <w:pPr>
        <w:ind w:right="225" w:firstLine="285"/>
        <w:tabs>
          <w:tab w:val="left" w:pos="1845"/>
          <w:tab w:val="left" w:pos="1980"/>
        </w:tabs>
      </w:pPr>
      <w:r>
        <w:t>При оказании услуг необходимо руководствоваться следующей нормативно-технической документацией:</w:t>
      </w:r>
    </w:p>
    <w:p>
      <w:pPr>
        <w:ind w:right="225" w:firstLine="285"/>
        <w:tabs>
          <w:tab w:val="left" w:pos="1140"/>
        </w:tabs>
      </w:pPr>
      <w:r>
        <w:t>1. Постановление Правительства Российской Федерации от 25 апреля 2012 г. N 390 Правила противопожарного режима в Российской Федерации.</w:t>
      </w:r>
    </w:p>
    <w:p>
      <w:pPr>
        <w:ind w:right="225" w:firstLine="285"/>
        <w:tabs>
          <w:tab w:val="left" w:pos="705"/>
        </w:tabs>
      </w:pPr>
      <w:r>
        <w:t>2. Исполнитель должен оказать услуги, обеспечив их надлежащее качество, в соответствии с     СТО 34.01-23.1-001-2017, ГОСТ Р50571.16-2019, ПУЭ 7е издание, ПРИКАЗ Минэнерго 12 Августа 2022 № 811 в установленные контрактом сроки. Работы выполняются квалифицированными специалистами, аккредитованными в Федеральной Службе по Аккредитации испытательной лаборатории, в соответствии с 412-ФЗ.</w:t>
      </w:r>
    </w:p>
    <w:p>
      <w:pPr>
        <w:jc w:val="both"/>
        <w:ind w:right="225"/>
        <w:tabs>
          <w:tab w:val="left" w:pos="225"/>
        </w:tabs>
      </w:pPr>
      <w:r>
        <w:t>1.1.2. Персонал Исполнителя должен иметь необходимые допуски на выполнение</w:t>
      </w:r>
      <w:r>
        <w:br/>
      </w:r>
      <w:r>
        <w:t>соответствующих работ в соответствии с действующим законодательством.</w:t>
      </w:r>
    </w:p>
    <w:p>
      <w:pPr>
        <w:jc w:val="both"/>
        <w:ind w:right="225"/>
        <w:tabs>
          <w:tab w:val="left" w:pos="225"/>
        </w:tabs>
      </w:pPr>
      <w:r>
        <w:t>1.1.3. Услуга должна быть выполнены с использованием сертифицированных материалов, соответствующих требованиям Заказчика и нормативных документов: СниП, ГОСТ, ТУ, СанПиН, СП, НП, ОСТ, ППБ.</w:t>
      </w:r>
      <w:r>
        <w:rPr>
          <w:color w:val="000000"/>
        </w:rPr>
        <w:t xml:space="preserve"> </w:t>
      </w:r>
      <w:r>
        <w:rPr>
          <w:b/>
        </w:rPr>
        <w:t>Следует учитывать дополнения, поправки и изменения при условии их утверждения к данным нормам и правилам.</w:t>
      </w:r>
    </w:p>
    <w:p>
      <w:pPr>
        <w:jc w:val="both"/>
        <w:ind w:right="225"/>
        <w:spacing w:lineRule="exact" w:line="210"/>
      </w:pPr>
      <w:r>
        <w:rPr>
          <w:b/>
          <w:i/>
        </w:rPr>
        <w:t>1.2. Требования к охране труда, промышленной, пожарной и экологической безопасности.</w:t>
      </w:r>
    </w:p>
    <w:p>
      <w:pPr>
        <w:jc w:val="both"/>
        <w:ind w:right="225" w:firstLine="360"/>
      </w:pPr>
      <w:r>
        <w:t>За состояние охраны труда, промышленной, пожарной и экологической безопасности при производстве работ отвечает Исполнитель.</w:t>
      </w:r>
    </w:p>
    <w:p>
      <w:pPr>
        <w:jc w:val="both"/>
        <w:ind w:right="225" w:firstLine="420"/>
      </w:pPr>
      <w:r>
        <w:t>Исполнитель своим Приказом назначает ответственное лицо за соблюдение требований</w:t>
      </w:r>
      <w:r>
        <w:br/>
      </w:r>
      <w:r>
        <w:t>охраны труда, промышленной, пожарной и экологической безопасности при оказании услуг на объекте Заказчика, а также проведение инструктажа.</w:t>
      </w:r>
    </w:p>
    <w:p>
      <w:pPr>
        <w:jc w:val="both"/>
        <w:ind w:right="225" w:firstLine="360"/>
      </w:pPr>
      <w:r>
        <w:t>Исполнитель представляет Заказчику список лиц, имеющих доступ на территорию и объект Заказчика для оказания услуг.</w:t>
      </w:r>
    </w:p>
    <w:p>
      <w:pPr>
        <w:jc w:val="both"/>
        <w:ind w:right="225" w:firstLine="360"/>
      </w:pPr>
      <w:r>
        <w:t>Исполнитель осуществляет оказание услуг в соответствии с требованиями законодательства Российской Федерации по охраны труда, промышленной, пожарной и экологической безопасности.</w:t>
      </w:r>
    </w:p>
    <w:p>
      <w:pPr>
        <w:jc w:val="both"/>
        <w:ind w:right="225" w:firstLine="360"/>
      </w:pPr>
      <w:r>
        <w:t>Услуга выполняются с использованием материалов Исполнителя. Исполнитель обязан</w:t>
      </w:r>
      <w:r>
        <w:br/>
      </w:r>
      <w:r>
        <w:t>применять при оказании услуг по Контракту материалы, сертифицированные для применения на территории Российской Федерации в соответствии с действующим законодательством, требованиями СЭС, ОГППС МЧС России и иными нормативными документами, а также соответствующие требованиям Заказчика.</w:t>
      </w:r>
    </w:p>
    <w:p>
      <w:pPr>
        <w:jc w:val="both"/>
        <w:ind w:right="225"/>
        <w:spacing w:lineRule="exact" w:line="210"/>
      </w:pPr>
      <w:r>
        <w:rPr>
          <w:b/>
          <w:i/>
        </w:rPr>
        <w:t>1.3. Требования к гарантии качества оказанных услуг  и применяемых материалов.</w:t>
      </w:r>
    </w:p>
    <w:p>
      <w:pPr>
        <w:jc w:val="both"/>
        <w:ind w:right="225" w:firstLine="570"/>
        <w:tabs>
          <w:tab w:val="left" w:pos="540"/>
        </w:tabs>
      </w:pPr>
      <w:r>
        <w:t>Качество оказанных услуг  должно соответствовать требованиям, установленным СНиП, СанПиН, ГОСТ, ТУ действующими на момент проведения работ на территории РФ, с учетом условий настоящего Контракта</w:t>
      </w:r>
    </w:p>
    <w:p>
      <w:pPr>
        <w:jc w:val="both"/>
        <w:ind w:right="225" w:firstLine="570"/>
        <w:tabs>
          <w:tab w:val="left" w:pos="540"/>
        </w:tabs>
      </w:pPr>
      <w:r>
        <w:rPr>
          <w:b/>
          <w:i/>
        </w:rPr>
        <w:t>Исполнитель гарантирует:</w:t>
      </w:r>
    </w:p>
    <w:p>
      <w:pPr>
        <w:jc w:val="both"/>
        <w:ind w:right="225" w:firstLine="570"/>
        <w:tabs>
          <w:tab w:val="left" w:pos="915"/>
          <w:tab w:val="left" w:pos="1830"/>
          <w:tab w:val="left" w:pos="2745"/>
          <w:tab w:val="left" w:pos="3660"/>
          <w:tab w:val="left" w:pos="4575"/>
          <w:tab w:val="left" w:pos="5490"/>
          <w:tab w:val="left" w:pos="6405"/>
          <w:tab w:val="left" w:pos="7335"/>
          <w:tab w:val="left" w:pos="8250"/>
          <w:tab w:val="left" w:pos="9165"/>
          <w:tab w:val="left" w:pos="10080"/>
          <w:tab w:val="left" w:pos="10995"/>
          <w:tab w:val="left" w:pos="11910"/>
          <w:tab w:val="left" w:pos="12825"/>
          <w:tab w:val="left" w:pos="13740"/>
          <w:tab w:val="left" w:pos="14655"/>
        </w:tabs>
      </w:pPr>
      <w:r>
        <w:t>Гарантии качества распространяются на все элементы и услуги, выполненные Исполнителем по Контракту. Оказание всех видов услуг должно осуществляться в объеме, установленным Техническим заданием.</w:t>
      </w:r>
    </w:p>
    <w:p>
      <w:pPr>
        <w:jc w:val="both"/>
        <w:ind w:right="225"/>
        <w:spacing w:lineRule="exact" w:line="210"/>
      </w:pPr>
      <w:r>
        <w:rPr>
          <w:b/>
          <w:i/>
        </w:rPr>
        <w:t xml:space="preserve">1.4. Требования к оказанию услуг </w:t>
      </w:r>
    </w:p>
    <w:p>
      <w:pPr>
        <w:jc w:val="both"/>
        <w:ind w:right="225"/>
        <w:spacing w:lineRule="exact" w:line="210"/>
      </w:pPr>
      <w:r>
        <w:rPr>
          <w:i/>
        </w:rPr>
        <w:t>Исполнитель должен предоставить:</w:t>
      </w:r>
    </w:p>
    <w:p>
      <w:pPr>
        <w:jc w:val="both"/>
        <w:ind w:right="225"/>
        <w:spacing w:lineRule="exact" w:line="210"/>
      </w:pPr>
      <w:r>
        <w:rPr>
          <w:i/>
        </w:rPr>
        <w:t>- Свидетельство о регистрации электролаборатории;</w:t>
      </w:r>
    </w:p>
    <w:p>
      <w:pPr>
        <w:jc w:val="both"/>
        <w:ind w:right="225"/>
        <w:spacing w:lineRule="exact" w:line="210"/>
      </w:pPr>
      <w:r>
        <w:rPr>
          <w:i/>
        </w:rPr>
        <w:t>- Удостоверений о проверке знаний норм и правил работы в электроустановках сотрудников, которые будут непосредственно оказывать услуги;</w:t>
      </w:r>
    </w:p>
    <w:p>
      <w:pPr>
        <w:jc w:val="both"/>
        <w:ind w:right="225"/>
        <w:spacing w:lineRule="exact" w:line="210"/>
      </w:pPr>
      <w:r>
        <w:rPr>
          <w:i/>
        </w:rPr>
        <w:t>- Журнала учета проверки знаний норм и правил работы в электроустановках</w:t>
      </w:r>
    </w:p>
    <w:p>
      <w:pPr>
        <w:jc w:val="both"/>
        <w:ind w:right="225"/>
        <w:spacing w:lineRule="exact" w:line="210"/>
      </w:pPr>
      <w:r>
        <w:rPr>
          <w:i/>
        </w:rPr>
        <w:t>- Свидетельств о поверке средств измерения, которыми будут проводиться все замеры.</w:t>
      </w:r>
    </w:p>
    <w:p>
      <w:pPr>
        <w:jc w:val="both"/>
        <w:ind w:right="225"/>
        <w:spacing w:lineRule="exact" w:line="210"/>
      </w:pPr>
      <w:r>
        <w:rPr>
          <w:i/>
        </w:rPr>
        <w:t>Электроизмерительная лаборатория при оказании услуг по измерениям и испытаниям электрооборудования и электроустановок потребителей несет всю полноту ответственности за:</w:t>
      </w:r>
    </w:p>
    <w:p>
      <w:pPr>
        <w:jc w:val="both"/>
        <w:ind w:right="225"/>
        <w:spacing w:lineRule="exact" w:line="210"/>
      </w:pPr>
      <w:r>
        <w:rPr>
          <w:i/>
        </w:rPr>
        <w:t>- правильную идентификацию элементов электроустановки в проекте однолинейной расчетной схемы;</w:t>
      </w:r>
    </w:p>
    <w:p>
      <w:pPr>
        <w:jc w:val="both"/>
        <w:ind w:right="225"/>
        <w:spacing w:lineRule="exact" w:line="210"/>
      </w:pPr>
      <w:r>
        <w:rPr>
          <w:i/>
        </w:rPr>
        <w:t>- полноту оказанных услуг;</w:t>
      </w:r>
    </w:p>
    <w:p>
      <w:pPr>
        <w:jc w:val="both"/>
        <w:ind w:right="225"/>
        <w:spacing w:lineRule="exact" w:line="210"/>
      </w:pPr>
      <w:r>
        <w:rPr>
          <w:i/>
        </w:rPr>
        <w:t>- достоверности полученных результатов;</w:t>
      </w:r>
    </w:p>
    <w:p>
      <w:pPr>
        <w:jc w:val="both"/>
        <w:ind w:right="225"/>
        <w:spacing w:lineRule="exact" w:line="210"/>
      </w:pPr>
      <w:r>
        <w:rPr>
          <w:i/>
        </w:rPr>
        <w:t>- соответствие отраженных в ведомости и наличествующих дефектов в электросети</w:t>
      </w:r>
    </w:p>
    <w:p>
      <w:pPr>
        <w:jc w:val="both"/>
        <w:ind w:right="225" w:firstLine="360"/>
      </w:pPr>
      <w:r>
        <w:t>Организация должна иметь всё необходимое технологическое оборудование, оснастку и инвентарь, требующиеся для оказания услуг</w:t>
      </w:r>
    </w:p>
    <w:p>
      <w:pPr>
        <w:jc w:val="both"/>
        <w:ind w:right="225" w:firstLine="360"/>
      </w:pPr>
      <w:r>
        <w:t xml:space="preserve">Время оказания услуг с 8-00 до 17-00 в рабочие дни кроме выходных и праздничных. </w:t>
      </w:r>
    </w:p>
    <w:p>
      <w:pPr>
        <w:jc w:val="both"/>
        <w:ind w:right="225" w:firstLine="495"/>
      </w:pPr>
      <w:r>
        <w:t>Сотрудники Исполнителя должны строго соблюдать миграционный режим по месту</w:t>
      </w:r>
      <w:r>
        <w:br/>
      </w:r>
      <w:r>
        <w:t>пребывания иностранных граждан в установленном законодательством порядке.</w:t>
      </w:r>
    </w:p>
    <w:p>
      <w:pPr>
        <w:jc w:val="both"/>
        <w:ind w:right="225" w:firstLine="360"/>
      </w:pPr>
      <w:r>
        <w:t>Услуги должны быть выполнены сертифицированными специалистами в случае, если это требование установлено законодательством.</w:t>
      </w:r>
    </w:p>
    <w:p>
      <w:pPr>
        <w:jc w:val="both"/>
        <w:ind w:right="225" w:firstLine="360"/>
      </w:pPr>
      <w:r>
        <w:t>Проживание сотрудников Исполнителя на территории Заказчика категорически запрещено, общежитие Заказчиком не предоставляется.</w:t>
      </w:r>
    </w:p>
    <w:p>
      <w:pPr>
        <w:jc w:val="both"/>
        <w:ind w:right="225" w:firstLine="360"/>
      </w:pPr>
      <w:r>
        <w:t>Сотрудники организации обязаны находиться на территории объекта в чистой спецодежде. Запрещается распитие алкогольных напитков, нахождение в нетрезвом состоянии на объекте. Курить в помещениях и на территории Заказчика строго запрещено.</w:t>
      </w:r>
    </w:p>
    <w:p>
      <w:pPr>
        <w:jc w:val="both"/>
        <w:ind w:left="375" w:right="225"/>
      </w:pPr>
      <w:r>
        <w:t>При оказании услуг НЕ ДОПУСКАЕТСЯ:</w:t>
      </w:r>
    </w:p>
    <w:p>
      <w:pPr>
        <w:jc w:val="both"/>
        <w:ind w:right="225"/>
        <w:tabs>
          <w:tab w:val="left" w:pos="885"/>
        </w:tabs>
        <w:numPr>
          <w:ilvl w:val="0"/>
          <w:numId w:val="1"/>
        </w:numPr>
      </w:pPr>
      <w:r>
        <w:t>мероприятия и способы их реализации, нарушающие требования санитарно-гигиенических, эксплуатационно-технических, противопожарных нормативных документов;</w:t>
      </w:r>
    </w:p>
    <w:p>
      <w:pPr>
        <w:jc w:val="both"/>
        <w:ind w:right="225"/>
        <w:tabs>
          <w:tab w:val="left" w:pos="885"/>
        </w:tabs>
        <w:numPr>
          <w:ilvl w:val="0"/>
          <w:numId w:val="1"/>
        </w:numPr>
      </w:pPr>
      <w:r>
        <w:t>применение оборудования и инструментов, вызывающих превышение</w:t>
      </w:r>
      <w:r>
        <w:br/>
      </w:r>
      <w:r>
        <w:t>нормативно допустимого шума и вибрации;</w:t>
      </w:r>
    </w:p>
    <w:p>
      <w:pPr>
        <w:jc w:val="both"/>
        <w:ind w:right="225"/>
        <w:tabs>
          <w:tab w:val="left" w:pos="885"/>
        </w:tabs>
        <w:numPr>
          <w:ilvl w:val="0"/>
          <w:numId w:val="1"/>
        </w:numPr>
      </w:pPr>
      <w:r>
        <w:t>загромождение и загрязнение материалами и отходами эвакуационных путей и мест общего пользования;</w:t>
      </w:r>
    </w:p>
    <w:p>
      <w:pPr>
        <w:jc w:val="both"/>
        <w:ind w:right="225"/>
        <w:tabs>
          <w:tab w:val="left" w:pos="885"/>
        </w:tabs>
        <w:numPr>
          <w:ilvl w:val="0"/>
          <w:numId w:val="1"/>
        </w:numPr>
      </w:pPr>
      <w:r>
        <w:t>хранение газовых баллонов и легковоспламеняющихся жидкостей.</w:t>
      </w:r>
    </w:p>
    <w:p>
      <w:pPr>
        <w:jc w:val="both"/>
        <w:ind w:right="225" w:firstLine="645"/>
      </w:pPr>
      <w:r>
        <w:rPr>
          <w:b/>
        </w:rPr>
        <w:t>Работники фирмы Исполнителя должны иметь документы о профессиональной подготовке и разрешения на работу на территории РФ (для иностранных рабочих) от ФМС.</w:t>
      </w:r>
      <w:r>
        <w:tab/>
      </w:r>
    </w:p>
    <w:p>
      <w:pPr>
        <w:jc w:val="both"/>
        <w:ind w:right="225" w:firstLine="645"/>
      </w:pPr>
      <w:r>
        <w:t/>
      </w:r>
    </w:p>
    <w:p>
      <w:pPr>
        <w:jc w:val="center"/>
        <w:ind w:left="60" w:right="90"/>
      </w:pPr>
      <w:r>
        <w:rPr>
          <w:b/>
        </w:rPr>
        <w:t>1.5. Наименование, характеристики и объем выполняемых работ.</w:t>
      </w:r>
    </w:p>
    <w:p>
      <w:pPr>
        <w:jc w:val="center"/>
        <w:ind w:left="60" w:right="90"/>
      </w:pPr>
      <w:r>
        <w:t/>
      </w:r>
    </w:p>
    <w:p>
      <w:pPr>
        <w:jc w:val="center"/>
      </w:pPr>
      <w:r>
        <w:rPr>
          <w:b/>
        </w:rPr>
        <w:t>Здание административного корпуса, здание клиники</w:t>
      </w:r>
    </w:p>
    <w:p>
      <w:pPr>
        <w:jc w:val="center"/>
        <w:rPr>
          <w:b/>
        </w:rPr>
      </w:pPr>
      <w:r>
        <w:rPr>
          <w:b/>
        </w:rPr>
        <w:t/>
      </w:r>
    </w:p>
    <w:tbl>
      <w:tblPr>
        <w:tblW w:w="9225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Ind w:w="30" w:type="dxa"/>
      </w:tblPr>
      <w:tblGrid>
        <w:gridCol w:w="735"/>
        <w:gridCol w:w="5145"/>
        <w:gridCol w:w="1830"/>
        <w:gridCol w:w="1425"/>
      </w:tblGrid>
      <w:tr>
        <w:trPr>
          <w:trHeight w:val="600" w:hRule="atLeast"/>
        </w:trPr>
        <w:tc>
          <w:tcPr>
            <w:tcW w:w="735" w:type="dxa"/>
            <w:tcBorders>
              <w:left w:val="single" w:sz="6" w:color="auto"/>
              <w:top w:val="single" w:sz="6" w:color="auto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№ пп</w:t>
            </w:r>
          </w:p>
        </w:tc>
        <w:tc>
          <w:tcPr>
            <w:tcW w:w="5145" w:type="dxa"/>
            <w:tcBorders>
              <w:left w:val="nil"/>
              <w:top w:val="single" w:sz="6" w:color="auto"/>
              <w:right w:val="single" w:sz="6" w:color="auto"/>
              <w:bottom w:val="nil"/>
            </w:tcBorders>
            <w:vAlign w:val="center"/>
          </w:tcPr>
          <w:p>
            <w:pPr>
              <w:jc w:val="center"/>
              <w:ind w:right="1020"/>
            </w:pPr>
            <w:r>
              <w:t xml:space="preserve">           Наименование</w:t>
            </w:r>
          </w:p>
        </w:tc>
        <w:tc>
          <w:tcPr>
            <w:tcW w:w="1830" w:type="dxa"/>
            <w:tcBorders>
              <w:left w:val="nil"/>
              <w:top w:val="single" w:sz="6" w:color="auto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Ед. изм.</w:t>
            </w:r>
          </w:p>
        </w:tc>
        <w:tc>
          <w:tcPr>
            <w:tcW w:w="1425" w:type="dxa"/>
            <w:tcBorders>
              <w:left w:val="nil"/>
              <w:top w:val="single" w:sz="6" w:color="auto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Кол. измерений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left w:val="single" w:sz="6" w:color="auto"/>
              <w:top w:val="nil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145" w:type="dxa"/>
            <w:tcBorders>
              <w:left w:val="nil"/>
              <w:top w:val="single" w:sz="6" w:color="auto"/>
              <w:right w:val="single" w:sz="6" w:color="auto"/>
              <w:bottom w:val="nil"/>
            </w:tcBorders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83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42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4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left w:val="single" w:sz="6" w:color="auto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1</w:t>
            </w:r>
          </w:p>
        </w:tc>
        <w:tc>
          <w:tcPr>
            <w:tcW w:w="5145" w:type="dxa"/>
            <w:tcBorders>
              <w:left w:val="nil"/>
              <w:top w:val="single" w:sz="6" w:color="auto"/>
              <w:right w:val="single" w:sz="6" w:color="auto"/>
              <w:bottom w:val="single" w:sz="6" w:color="auto"/>
            </w:tcBorders>
          </w:tcPr>
          <w:p>
            <w:r>
              <w:t>Измерение сопротивления изоляции мегомметром кабельных линий напряжением до 1 кВ, предназначенных для передачи электроэнергии к распределительным устройствам, щитам, шкафам, коммутационным аппаратам и электропотребителям</w:t>
            </w:r>
          </w:p>
        </w:tc>
        <w:tc>
          <w:tcPr>
            <w:tcW w:w="183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1 линия</w:t>
            </w:r>
          </w:p>
        </w:tc>
        <w:tc>
          <w:tcPr>
            <w:tcW w:w="142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right"/>
            </w:pPr>
            <w:r>
              <w:t>538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left w:val="single" w:sz="6" w:color="auto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2</w:t>
            </w:r>
          </w:p>
        </w:tc>
        <w:tc>
          <w:tcPr>
            <w:tcW w:w="514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r>
              <w:t>Измерение сопротивления изоляции мегомметром машин и аппаратов, лифтов в здании</w:t>
            </w:r>
          </w:p>
        </w:tc>
        <w:tc>
          <w:tcPr>
            <w:tcW w:w="183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 xml:space="preserve">1 измерение </w:t>
            </w:r>
          </w:p>
        </w:tc>
        <w:tc>
          <w:tcPr>
            <w:tcW w:w="142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right"/>
            </w:pPr>
            <w:r>
              <w:t>81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left w:val="single" w:sz="6" w:color="auto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3</w:t>
            </w:r>
          </w:p>
        </w:tc>
        <w:tc>
          <w:tcPr>
            <w:tcW w:w="514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r>
              <w:t>Проверка наличия цепи между заземлителями и заземленными элементами</w:t>
            </w:r>
          </w:p>
        </w:tc>
        <w:tc>
          <w:tcPr>
            <w:tcW w:w="183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100 точек</w:t>
            </w:r>
          </w:p>
        </w:tc>
        <w:tc>
          <w:tcPr>
            <w:tcW w:w="142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right"/>
            </w:pPr>
            <w:r>
              <w:t>193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left w:val="single" w:sz="6" w:color="auto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4</w:t>
            </w:r>
          </w:p>
        </w:tc>
        <w:tc>
          <w:tcPr>
            <w:tcW w:w="514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r>
              <w:t>Замер полного сопротивления цепи "фаза-ноль"</w:t>
            </w:r>
          </w:p>
        </w:tc>
        <w:tc>
          <w:tcPr>
            <w:tcW w:w="183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1 токоприемник</w:t>
            </w:r>
          </w:p>
        </w:tc>
        <w:tc>
          <w:tcPr>
            <w:tcW w:w="142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right"/>
            </w:pPr>
            <w:r>
              <w:t>538</w:t>
            </w:r>
          </w:p>
        </w:tc>
      </w:tr>
    </w:tbl>
    <w:p>
      <w:pPr>
        <w:jc w:val="center"/>
        <w:rPr>
          <w:b/>
        </w:rPr>
      </w:pPr>
      <w:r>
        <w:rPr>
          <w:b/>
        </w:rPr>
        <w:t/>
      </w:r>
    </w:p>
    <w:p>
      <w:pPr>
        <w:jc w:val="center"/>
        <w:ind w:firstLine="420"/>
      </w:pPr>
      <w:r>
        <w:rPr>
          <w:b/>
        </w:rPr>
        <w:t>Здание физиотерапевтического корпуса, котельной, гараж</w:t>
      </w:r>
    </w:p>
    <w:p>
      <w:pPr>
        <w:jc w:val="both"/>
        <w:ind w:firstLine="420"/>
        <w:rPr>
          <w:b/>
        </w:rPr>
      </w:pPr>
      <w:r>
        <w:rPr>
          <w:b/>
        </w:rPr>
        <w:t/>
      </w:r>
    </w:p>
    <w:tbl>
      <w:tblPr>
        <w:tblW w:w="9300" w:type="dxa"/>
        <w:tblLayout w:type="fixed"/>
        <w:tblCellMar>
          <w:top w:w="0" w:type="dxa"/>
          <w:left w:w="105" w:type="dxa"/>
          <w:bottom w:w="0" w:type="dxa"/>
          <w:right w:w="105" w:type="dxa"/>
        </w:tblCellMar>
        <w:tblInd w:w="30" w:type="dxa"/>
      </w:tblPr>
      <w:tblGrid>
        <w:gridCol w:w="735"/>
        <w:gridCol w:w="5160"/>
        <w:gridCol w:w="1680"/>
        <w:gridCol w:w="1635"/>
      </w:tblGrid>
      <w:tr>
        <w:trPr>
          <w:trHeight w:val="600" w:hRule="atLeast"/>
        </w:trPr>
        <w:tc>
          <w:tcPr>
            <w:tcW w:w="735" w:type="dxa"/>
            <w:tcBorders>
              <w:left w:val="single" w:sz="6" w:color="auto"/>
              <w:top w:val="single" w:sz="6" w:color="auto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№ пп</w:t>
            </w:r>
          </w:p>
        </w:tc>
        <w:tc>
          <w:tcPr>
            <w:tcW w:w="5160" w:type="dxa"/>
            <w:tcBorders>
              <w:left w:val="nil"/>
              <w:top w:val="single" w:sz="6" w:color="auto"/>
              <w:right w:val="single" w:sz="6" w:color="auto"/>
              <w:bottom w:val="nil"/>
            </w:tcBorders>
            <w:vAlign w:val="center"/>
          </w:tcPr>
          <w:p>
            <w:pPr>
              <w:jc w:val="center"/>
              <w:ind w:right="1020"/>
            </w:pPr>
            <w:r>
              <w:t xml:space="preserve">           Наименование</w:t>
            </w:r>
          </w:p>
        </w:tc>
        <w:tc>
          <w:tcPr>
            <w:tcW w:w="1680" w:type="dxa"/>
            <w:tcBorders>
              <w:left w:val="nil"/>
              <w:top w:val="single" w:sz="6" w:color="auto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Ед. изм.</w:t>
            </w:r>
          </w:p>
        </w:tc>
        <w:tc>
          <w:tcPr>
            <w:tcW w:w="1635" w:type="dxa"/>
            <w:tcBorders>
              <w:left w:val="nil"/>
              <w:top w:val="single" w:sz="6" w:color="auto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Кол. измерений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left w:val="single" w:sz="6" w:color="auto"/>
              <w:top w:val="nil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160" w:type="dxa"/>
            <w:tcBorders>
              <w:left w:val="nil"/>
              <w:top w:val="single" w:sz="6" w:color="auto"/>
              <w:right w:val="single" w:sz="6" w:color="auto"/>
              <w:bottom w:val="nil"/>
            </w:tcBorders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68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63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  <w:vAlign w:val="center"/>
          </w:tcPr>
          <w:p>
            <w:pPr>
              <w:jc w:val="center"/>
            </w:pPr>
            <w:r>
              <w:t>4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left w:val="single" w:sz="6" w:color="auto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1</w:t>
            </w:r>
          </w:p>
        </w:tc>
        <w:tc>
          <w:tcPr>
            <w:tcW w:w="5160" w:type="dxa"/>
            <w:tcBorders>
              <w:left w:val="nil"/>
              <w:top w:val="single" w:sz="6" w:color="auto"/>
              <w:right w:val="single" w:sz="6" w:color="auto"/>
              <w:bottom w:val="single" w:sz="6" w:color="auto"/>
            </w:tcBorders>
          </w:tcPr>
          <w:p>
            <w:r>
              <w:t>Измерение сопротивления изоляции мегомметром кабельных линий напряжением до 1 кВ, предназначенных для передачи электроэнергии к распределительным устройствам, щитам, шкафам, коммутационным аппаратам и электропотребителям</w:t>
            </w:r>
          </w:p>
        </w:tc>
        <w:tc>
          <w:tcPr>
            <w:tcW w:w="168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1 линия</w:t>
            </w:r>
          </w:p>
        </w:tc>
        <w:tc>
          <w:tcPr>
            <w:tcW w:w="163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right"/>
            </w:pPr>
            <w:r>
              <w:t>345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left w:val="single" w:sz="6" w:color="auto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2</w:t>
            </w:r>
          </w:p>
        </w:tc>
        <w:tc>
          <w:tcPr>
            <w:tcW w:w="516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r>
              <w:t>Измерение сопротивления изоляции мегомметром машин и аппаратов, лифтов в здании</w:t>
            </w:r>
          </w:p>
        </w:tc>
        <w:tc>
          <w:tcPr>
            <w:tcW w:w="168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 xml:space="preserve">1 измерение </w:t>
            </w:r>
          </w:p>
        </w:tc>
        <w:tc>
          <w:tcPr>
            <w:tcW w:w="163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right"/>
            </w:pPr>
            <w:r>
              <w:t>36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left w:val="single" w:sz="6" w:color="auto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3</w:t>
            </w:r>
          </w:p>
        </w:tc>
        <w:tc>
          <w:tcPr>
            <w:tcW w:w="516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r>
              <w:t>Проверка наличия цепи между заземлителями и заземленными элементами</w:t>
            </w:r>
          </w:p>
        </w:tc>
        <w:tc>
          <w:tcPr>
            <w:tcW w:w="168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100 точек</w:t>
            </w:r>
          </w:p>
        </w:tc>
        <w:tc>
          <w:tcPr>
            <w:tcW w:w="163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right"/>
            </w:pPr>
            <w:r>
              <w:t>127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left w:val="single" w:sz="6" w:color="auto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4</w:t>
            </w:r>
          </w:p>
        </w:tc>
        <w:tc>
          <w:tcPr>
            <w:tcW w:w="516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r>
              <w:t>Замер полного сопротивления цепи "фаза-ноль"</w:t>
            </w:r>
          </w:p>
        </w:tc>
        <w:tc>
          <w:tcPr>
            <w:tcW w:w="168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1 токоприемник</w:t>
            </w:r>
          </w:p>
        </w:tc>
        <w:tc>
          <w:tcPr>
            <w:tcW w:w="163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right"/>
            </w:pPr>
            <w:r>
              <w:t>339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left w:val="single" w:sz="6" w:color="auto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5</w:t>
            </w:r>
          </w:p>
        </w:tc>
        <w:tc>
          <w:tcPr>
            <w:tcW w:w="516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r>
              <w:t>Сопротивление заземляющего устройства</w:t>
            </w:r>
          </w:p>
        </w:tc>
        <w:tc>
          <w:tcPr>
            <w:tcW w:w="1680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center"/>
            </w:pPr>
            <w:r>
              <w:t>1 контур</w:t>
            </w:r>
          </w:p>
        </w:tc>
        <w:tc>
          <w:tcPr>
            <w:tcW w:w="1635" w:type="dxa"/>
            <w:tcBorders>
              <w:left w:val="nil"/>
              <w:top w:val="nil"/>
              <w:right w:val="single" w:sz="6" w:color="auto"/>
              <w:bottom w:val="single" w:sz="6" w:color="auto"/>
            </w:tcBorders>
          </w:tcPr>
          <w:p>
            <w:pPr>
              <w:jc w:val="right"/>
            </w:pPr>
            <w:r>
              <w:t>17</w:t>
            </w:r>
          </w:p>
        </w:tc>
      </w:tr>
    </w:tbl>
    <w:p>
      <w:pPr>
        <w:jc w:val="center"/>
        <w:rPr>
          <w:b/>
        </w:rPr>
      </w:pPr>
      <w:r>
        <w:rPr>
          <w:b/>
        </w:rPr>
        <w:t/>
      </w:r>
    </w:p>
    <w:p>
      <w:pPr>
        <w:jc w:val="both"/>
        <w:ind w:firstLine="420"/>
      </w:pPr>
      <w:r>
        <w:rPr>
          <w:b/>
        </w:rPr>
        <w:t>Место оказания Услуг</w:t>
      </w:r>
      <w:r>
        <w:t>: 654055, Россия, Кемеровская область, г. Новокузнецк, ул. Малая, д.7.</w:t>
      </w:r>
    </w:p>
    <w:p>
      <w:pPr>
        <w:jc w:val="both"/>
        <w:ind w:firstLine="420"/>
      </w:pPr>
      <w:r>
        <w:rPr>
          <w:b/>
        </w:rPr>
        <w:t>Срок оказания Услуг</w:t>
      </w:r>
      <w:r>
        <w:t>: по заявке заказчика в течение 30 (тридцати) календарных дней.</w:t>
      </w:r>
    </w:p>
    <w:p>
      <w:pPr>
        <w:jc w:val="both"/>
        <w:ind w:firstLine="420"/>
      </w:pPr>
      <w:r>
        <w:rPr>
          <w:b/>
        </w:rPr>
        <w:t>Условия оказания Услуг</w:t>
      </w:r>
      <w:r>
        <w:t xml:space="preserve">: Услуги оказываются силами и средствами Исполнителя (оборудования и его инструментами) в соответствии со СНиПами, ГОСТами и техническим заданием, с соблюдением норм и требований охраны труда, промышленной и пожарной безопасности, охраны окружающей среды, письменными указаниями Заказчика. </w:t>
      </w:r>
    </w:p>
    <w:p>
      <w:pPr>
        <w:jc w:val="both"/>
        <w:ind w:firstLine="420"/>
      </w:pPr>
      <w:r>
        <w:t>Персонал Исполнителя имеет необходимые допуски в соответствии с действующим законодательством. Услуга осуществляются в условиях действующего учреждения. Оказание услуг проводится в рабочие дни с8-00 до 17-00 и не должно препятствовать или создавать неудобства в работе учреждения или представлять угрозу для сотрудников Заказчика. Соблюдение правил действующего внутреннего распорядка, внутренних положений и инструкций учреждения.</w:t>
      </w:r>
    </w:p>
    <w:p>
      <w:pPr>
        <w:jc w:val="both"/>
      </w:pPr>
      <w:r>
        <w:t>После оказания услуг Исполнитель предоставляет Заказчику Технический отчет с протоколами проверок, работ по проведению испытания электроустановок зданий.</w:t>
      </w:r>
    </w:p>
    <w:p>
      <w:pPr>
        <w:jc w:val="both"/>
      </w:pPr>
      <w:r>
        <w:t/>
      </w:r>
    </w:p>
    <w:sectPr>
      <w:headerReference w:type="default" r:id="rIdHF0"/>
      <w:footerReference w:type="default" r:id="rIdHF1"/>
      <w:headerReference w:type="first" r:id="rIdHF2"/>
      <w:footerReference w:type="first" r:id="rIdHF3"/>
      <w:headerReference w:type="even" r:id="rIdHF4"/>
      <w:footerReference w:type="even" r:id="rIdHF5"/>
      <w:pgSz w:w="11906" w:h="16838"/>
      <w:pgMar w:top="1440" w:right="1800" w:bottom="1440" w:left="1800" w:header="720" w:footer="720" w:gutter="0"/>
      <w:footnotePr>
        <w:numRestart w:val="eachPage"/>
      </w:footnotePr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1"/>
  </w:font>
  <w:font w:name="Arial">
    <w:charset w:val="01"/>
  </w:font>
  <w:font w:name="Times New Roman">
    <w:charset w:val="CC"/>
  </w:font>
</w:fonts>
</file>

<file path=word/footer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footerEvenPages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footerFirstPage.xml><?xml version="1.0" encoding="utf-8"?>
<w:ft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EvenPages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headerFirstPage.xml><?xml version="1.0" encoding="utf-8"?>
<w:hdr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14="http://schemas.microsoft.com/office/word/2010/wordprocessingDrawing" xmlns:w14="http://schemas.microsoft.com/office/word/2010/wordml" xmlns:wne="http://schemas.microsoft.com/office/word/2006/wordml" xmlns:wps="http://schemas.microsoft.com/office/word/2010/wordprocessingShape" xmlns:mc="http://schemas.openxmlformats.org/markup-compatibility/2006" mc:Ignorable="wp14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singleLevel"/>
    <w:lvl w:ilvl="0">
      <w:numFmt w:val="bullet"/>
      <w:lvlText w:val="-"/>
      <w:lvlJc w:val="left"/>
      <w:pPr>
        <w:ind w:left="0" w:firstLine="0"/>
        <w:tab w:val="num" w:pos="0"/>
      </w:pPr>
      <w:rPr>
        <w:rFonts w:ascii="Times New Roman" w:hAnsi="Times New Roman" w:cs="Times New Roman" w:eastAsia="Times New Roman"/>
        <w:b w:val="0"/>
        <w:i w:val="0"/>
        <w:strike w:val="0"/>
        <w:sz w:val="20"/>
        <w:color w:val="auto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>
  <w:zoom w:percent="200"/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>
        <w:spacing w:after="0" w:before="0" w:line="240" w:lineRule="auto"/>
        <w:widowControl w:val="0"/>
      </w:pPr>
    </w:pPrDefault>
    <w:rPrDefault>
      <w:rPr>
        <w:rFonts w:ascii="Arial" w:hAnsi="Arial" w:cs="Arial" w:eastAsia="Arial"/>
        <w:sz w:val="20"/>
      </w:rPr>
    </w:rPrDefault>
  </w:docDefaults>
  <w:style w:type="paragraph" w:default="1" w:styleId="0">
    <w:name w:val="Normal"/>
    <w:qFormat/>
    <w:rPr>
      <w:rFonts w:ascii="Times New Roman" w:hAnsi="Times New Roman" w:cs="Times New Roman" w:eastAsia="Times New Roman"/>
      <w:sz w:val="20"/>
    </w:rPr>
  </w:style>
  <w:style w:type="character" w:default="1" w:styleId="def">
    <w:name w:val="Default Paragraph Font"/>
    <w:uiPriority w:val="1"/>
    <w:semiHidden/>
    <w:unhideWhenUsed/>
  </w:style>
  <w:style w:type="paragraph" w:styleId="1">
    <w:name w:val="heading 1"/>
    <w:qFormat/>
    <w:basedOn w:val="0"/>
    <w:next w:val="0"/>
    <w:link w:val="c1"/>
    <w:pPr>
      <w:outlineLvl w:val="0"/>
      <w:keepNext/>
      <w:spacing w:before="240" w:after="60"/>
    </w:pPr>
    <w:rPr>
      <w:b/>
      <w:sz w:val="32"/>
    </w:rPr>
  </w:style>
  <w:style w:type="character" w:styleId="c1">
    <w:name w:val="heading 1 Text"/>
    <w:qFormat/>
    <w:basedOn w:val="def"/>
    <w:link w:val="1"/>
    <w:rPr>
      <w:b/>
      <w:sz w:val="32"/>
    </w:rPr>
  </w:style>
  <w:style w:type="paragraph" w:styleId="2">
    <w:name w:val="heading 2"/>
    <w:qFormat/>
    <w:basedOn w:val="0"/>
    <w:next w:val="0"/>
    <w:link w:val="c2"/>
    <w:pPr>
      <w:outlineLvl w:val="1"/>
      <w:keepNext/>
      <w:spacing w:before="240" w:after="60"/>
    </w:pPr>
    <w:rPr>
      <w:b/>
      <w:i/>
      <w:sz w:val="28"/>
    </w:rPr>
  </w:style>
  <w:style w:type="character" w:styleId="c2">
    <w:name w:val="heading 2 Text"/>
    <w:qFormat/>
    <w:basedOn w:val="def"/>
    <w:link w:val="2"/>
    <w:rPr>
      <w:b/>
      <w:i/>
      <w:sz w:val="28"/>
    </w:rPr>
  </w:style>
  <w:style w:type="paragraph" w:styleId="3">
    <w:name w:val="heading 3"/>
    <w:qFormat/>
    <w:basedOn w:val="0"/>
    <w:next w:val="0"/>
    <w:link w:val="c3"/>
    <w:pPr>
      <w:outlineLvl w:val="2"/>
      <w:keepNext/>
      <w:spacing w:before="240" w:after="60"/>
    </w:pPr>
    <w:rPr>
      <w:b/>
      <w:sz w:val="26"/>
    </w:rPr>
  </w:style>
  <w:style w:type="character" w:styleId="c3">
    <w:name w:val="heading 3 Text"/>
    <w:qFormat/>
    <w:basedOn w:val="def"/>
    <w:link w:val="3"/>
    <w:rPr>
      <w:b/>
      <w:sz w:val="26"/>
    </w:rPr>
  </w:style>
  <w:style w:type="character" w:styleId="c4">
    <w:name w:val="Hyperlink"/>
    <w:basedOn w:val="def"/>
    <w:rPr>
      <w:u w:val="single"/>
      <w:color w:val="0000FF"/>
    </w:rPr>
  </w:style>
  <w:style w:type="paragraph" w:styleId="5">
    <w:name w:val="header"/>
    <w:basedOn w:val="0"/>
    <w:link w:val="c5"/>
  </w:style>
  <w:style w:type="character" w:styleId="c5">
    <w:name w:val="header Text"/>
    <w:basedOn w:val="def"/>
    <w:link w:val="5"/>
  </w:style>
  <w:style w:type="paragraph" w:styleId="6">
    <w:name w:val="footer"/>
    <w:basedOn w:val="0"/>
    <w:link w:val="c6"/>
  </w:style>
  <w:style w:type="character" w:styleId="c6">
    <w:name w:val="footer Text"/>
    <w:basedOn w:val="def"/>
    <w:link w:val="6"/>
  </w:style>
  <w:style w:type="character" w:styleId="c7">
    <w:name w:val="footnote reference"/>
    <w:basedOn w:val="def"/>
    <w:rPr>
      <w:vertAlign w:val="superscript"/>
    </w:rPr>
  </w:style>
  <w:style w:type="character" w:styleId="c8">
    <w:name w:val="endnote reference"/>
    <w:basedOn w:val="def"/>
    <w:rPr>
      <w:vertAlign w:val="superscript"/>
    </w:rPr>
  </w:style>
  <w:style w:type="paragraph" w:styleId="9">
    <w:name w:val="footnote text"/>
    <w:basedOn w:val="0"/>
    <w:link w:val="c9"/>
  </w:style>
  <w:style w:type="character" w:styleId="c9">
    <w:name w:val="footnote text Text"/>
    <w:basedOn w:val="def"/>
    <w:link w:val="9"/>
  </w:style>
  <w:style w:type="paragraph" w:styleId="10">
    <w:name w:val="endnote text"/>
    <w:basedOn w:val="0"/>
    <w:link w:val="c10"/>
  </w:style>
  <w:style w:type="character" w:styleId="c10">
    <w:name w:val="endnote text Text"/>
    <w:basedOn w:val="def"/>
    <w:link w:val="10"/>
  </w:style>
  <w:style w:type="paragraph" w:styleId="11">
    <w:name w:val="caption"/>
    <w:basedOn w:val="0"/>
    <w:next w:val="0"/>
    <w:rPr>
      <w:b/>
      <w:sz w:val="18"/>
    </w:rPr>
  </w:style>
  <w:style w:type="paragraph" w:styleId="12">
    <w:name w:val="Защищенный текст"/>
    <w:qFormat/>
    <w:basedOn w:val="0"/>
    <w:next w:val="0"/>
    <w:link w:val="c12"/>
    <w:rPr>
      <w:rFonts w:ascii="Arial" w:hAnsi="Arial" w:cs="Arial" w:eastAsia="Arial"/>
      <w:sz w:val="20"/>
    </w:rPr>
  </w:style>
  <w:style w:type="character" w:styleId="c12">
    <w:name w:val="Защищенный текст Text"/>
    <w:qFormat/>
    <w:basedOn w:val="def"/>
    <w:link w:val="12"/>
    <w:rPr>
      <w:rFonts w:ascii="Arial" w:hAnsi="Arial" w:cs="Arial" w:eastAsia="Arial"/>
      <w:sz w:val="20"/>
    </w:rPr>
  </w:style>
</w:styles>
</file>

<file path=word/_rels/document.xml.rels><?xml version="1.0" encoding="UTF-8" standalone="yes"?>
<Relationships xmlns="http://schemas.openxmlformats.org/package/2006/relationships"><Relationship Id="rIdFT" Type="http://schemas.openxmlformats.org/officeDocument/2006/relationships/fontTable" Target="fontTable.xml"/><Relationship Id="rIdSt" Type="http://schemas.openxmlformats.org/officeDocument/2006/relationships/styles" Target="styles.xml"/><Relationship Id="rIdHF0" Type="http://schemas.openxmlformats.org/officeDocument/2006/relationships/header" Target="header.xml"/><Relationship Id="rIdHF1" Type="http://schemas.openxmlformats.org/officeDocument/2006/relationships/footer" Target="footer.xml"/><Relationship Id="rIdHF2" Type="http://schemas.openxmlformats.org/officeDocument/2006/relationships/header" Target="headerFirstPage.xml"/><Relationship Id="rIdHF3" Type="http://schemas.openxmlformats.org/officeDocument/2006/relationships/footer" Target="footerFirstPage.xml"/><Relationship Id="rIdHF4" Type="http://schemas.openxmlformats.org/officeDocument/2006/relationships/header" Target="headerEvenPages.xml"/><Relationship Id="rIdHF5" Type="http://schemas.openxmlformats.org/officeDocument/2006/relationships/footer" Target="footerEvenPages.xml"/><Relationship Id="rIdNm" Type="http://schemas.openxmlformats.org/officeDocument/2006/relationships/numbering" Target="numbering.xml"/><Relationship Id="rIdSet" Type="http://schemas.openxmlformats.org/officeDocument/2006/relationships/settings" Target="settings.xml"/></Relationships>
</file>