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6BE62">
      <w:pPr>
        <w:jc w:val="center"/>
        <w:rPr>
          <w:rFonts w:ascii="XO Thames" w:hAnsi="XO Thames" w:cs="Times New Roman"/>
          <w:sz w:val="26"/>
          <w:szCs w:val="26"/>
        </w:rPr>
      </w:pPr>
      <w:r>
        <w:rPr>
          <w:rFonts w:ascii="XO Thames" w:hAnsi="XO Thames" w:cs="Times New Roman"/>
          <w:sz w:val="26"/>
          <w:szCs w:val="26"/>
        </w:rPr>
        <w:t>Обоснование начальной (максимальной) цены контракта</w:t>
      </w:r>
    </w:p>
    <w:p w14:paraId="2072749E">
      <w:pPr>
        <w:spacing w:after="0" w:line="240" w:lineRule="auto"/>
        <w:ind w:firstLine="851"/>
        <w:jc w:val="both"/>
        <w:rPr>
          <w:rFonts w:ascii="XO Thames" w:hAnsi="XO Thames" w:cs="Times New Roman"/>
          <w:sz w:val="26"/>
          <w:szCs w:val="26"/>
        </w:rPr>
      </w:pPr>
      <w:r>
        <w:rPr>
          <w:rFonts w:ascii="XO Thames" w:hAnsi="XO Thames" w:cs="Times New Roman"/>
          <w:sz w:val="26"/>
          <w:szCs w:val="26"/>
        </w:rPr>
        <w:t xml:space="preserve">В соответствии с требованиями ч.6 ст.22 Федерального закона </w:t>
      </w:r>
      <w:r>
        <w:rPr>
          <w:rFonts w:ascii="XO Thames" w:hAnsi="XO Thames" w:cs="Times New Roman"/>
          <w:sz w:val="26"/>
          <w:szCs w:val="26"/>
        </w:rPr>
        <w:br w:type="textWrapping"/>
      </w:r>
      <w:r>
        <w:rPr>
          <w:rFonts w:ascii="XO Thames" w:hAnsi="XO Thames" w:cs="Times New Roman"/>
          <w:sz w:val="26"/>
          <w:szCs w:val="26"/>
        </w:rPr>
        <w:t xml:space="preserve">РФ от 05.04.2013 № 44-ФЗ проведены маркетинговые исследования определения НМЦК предоставление типографской продукции строгой отчетности. Потребность </w:t>
      </w:r>
      <w:r>
        <w:rPr>
          <w:rFonts w:ascii="XO Thames" w:hAnsi="XO Thames" w:cs="Times New Roman"/>
          <w:sz w:val="26"/>
          <w:szCs w:val="26"/>
        </w:rPr>
        <w:br w:type="textWrapping"/>
      </w:r>
      <w:r>
        <w:rPr>
          <w:rFonts w:ascii="XO Thames" w:hAnsi="XO Thames" w:cs="Times New Roman"/>
          <w:sz w:val="26"/>
          <w:szCs w:val="26"/>
        </w:rPr>
        <w:t>в бланочной продукции установлена нормами Приказа ФСИН России от 11.01.2009 № 001.</w:t>
      </w:r>
    </w:p>
    <w:p w14:paraId="61F0A206">
      <w:pPr>
        <w:spacing w:after="0" w:line="240" w:lineRule="auto"/>
        <w:ind w:firstLine="851"/>
        <w:jc w:val="both"/>
        <w:rPr>
          <w:rFonts w:ascii="XO Thames" w:hAnsi="XO Thames" w:cs="Times New Roman"/>
          <w:sz w:val="26"/>
          <w:szCs w:val="26"/>
        </w:rPr>
      </w:pPr>
      <w:r>
        <w:rPr>
          <w:rFonts w:ascii="XO Thames" w:hAnsi="XO Thames" w:cs="Times New Roman"/>
          <w:sz w:val="26"/>
          <w:szCs w:val="26"/>
        </w:rPr>
        <w:t xml:space="preserve">В коммерческих предложениях потенциальных участников закупки, цена услуги, отвечающей всем требованиям, установленным Государственным заказчиком, включает в себя стоимость услуг, налоги, сборы, другие обязательные платежи, расходы на транспортировку, взимаемые с Исполнителя в связи </w:t>
      </w:r>
      <w:r>
        <w:rPr>
          <w:rFonts w:ascii="XO Thames" w:hAnsi="XO Thames" w:cs="Times New Roman"/>
          <w:sz w:val="26"/>
          <w:szCs w:val="26"/>
        </w:rPr>
        <w:br w:type="textWrapping"/>
      </w:r>
      <w:r>
        <w:rPr>
          <w:rFonts w:ascii="XO Thames" w:hAnsi="XO Thames" w:cs="Times New Roman"/>
          <w:sz w:val="26"/>
          <w:szCs w:val="26"/>
        </w:rPr>
        <w:t>с исполнением обязательств по контракту.</w:t>
      </w:r>
    </w:p>
    <w:p w14:paraId="67849BBD">
      <w:pPr>
        <w:spacing w:after="0" w:line="240" w:lineRule="auto"/>
        <w:rPr>
          <w:rFonts w:ascii="XO Thames" w:hAnsi="XO Thames" w:cs="Times New Roman"/>
          <w:sz w:val="26"/>
          <w:szCs w:val="26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1562"/>
        <w:gridCol w:w="1647"/>
        <w:gridCol w:w="1564"/>
        <w:gridCol w:w="1886"/>
      </w:tblGrid>
      <w:tr w14:paraId="3C0E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vAlign w:val="center"/>
          </w:tcPr>
          <w:p w14:paraId="6557A083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559" w:type="dxa"/>
            <w:vAlign w:val="center"/>
          </w:tcPr>
          <w:p w14:paraId="6DB5AF48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Исполнитель</w:t>
            </w:r>
          </w:p>
          <w:p w14:paraId="6E125A5C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№ 1</w:t>
            </w:r>
          </w:p>
        </w:tc>
        <w:tc>
          <w:tcPr>
            <w:tcW w:w="1647" w:type="dxa"/>
            <w:vAlign w:val="center"/>
          </w:tcPr>
          <w:p w14:paraId="51216957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Исполнитель</w:t>
            </w:r>
          </w:p>
          <w:p w14:paraId="09D31A6E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№ 2</w:t>
            </w:r>
          </w:p>
        </w:tc>
        <w:tc>
          <w:tcPr>
            <w:tcW w:w="1564" w:type="dxa"/>
            <w:vAlign w:val="center"/>
          </w:tcPr>
          <w:p w14:paraId="02A9B00D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Исполнитель</w:t>
            </w:r>
          </w:p>
          <w:p w14:paraId="42D39E24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№ 3</w:t>
            </w:r>
          </w:p>
        </w:tc>
        <w:tc>
          <w:tcPr>
            <w:tcW w:w="1886" w:type="dxa"/>
            <w:vAlign w:val="center"/>
          </w:tcPr>
          <w:p w14:paraId="4B66A67E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Средняя арифметическая величина цены единицы услуги (руб.)</w:t>
            </w:r>
          </w:p>
        </w:tc>
      </w:tr>
      <w:tr w14:paraId="4F5C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 w14:paraId="02BBB064">
            <w:pPr>
              <w:spacing w:after="0" w:line="240" w:lineRule="auto"/>
              <w:ind w:left="-120" w:right="-114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ascii="XO Thames" w:hAnsi="XO Thames" w:cs="Times New Roman"/>
                <w:sz w:val="24"/>
                <w:szCs w:val="24"/>
              </w:rPr>
              <w:t>Оказание услуг по предоставлению бланков строгой отчетности</w:t>
            </w:r>
          </w:p>
        </w:tc>
        <w:tc>
          <w:tcPr>
            <w:tcW w:w="1559" w:type="dxa"/>
            <w:vAlign w:val="center"/>
          </w:tcPr>
          <w:p w14:paraId="756A9CE1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hint="default" w:ascii="XO Thames" w:hAnsi="XO Thames" w:cs="Times New Roman"/>
                <w:sz w:val="24"/>
                <w:szCs w:val="24"/>
                <w:lang w:val="en-US"/>
              </w:rPr>
              <w:t>144 30</w:t>
            </w:r>
            <w:r>
              <w:rPr>
                <w:rFonts w:ascii="XO Thames" w:hAnsi="XO Thames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vAlign w:val="center"/>
          </w:tcPr>
          <w:p w14:paraId="1611588F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hint="default" w:ascii="XO Thames" w:hAnsi="XO Thames" w:cs="Times New Roman"/>
                <w:sz w:val="24"/>
                <w:szCs w:val="24"/>
                <w:lang w:val="en-US"/>
              </w:rPr>
              <w:t>148</w:t>
            </w:r>
            <w:r>
              <w:rPr>
                <w:rFonts w:ascii="XO Thames" w:hAnsi="XO Thames" w:cs="Times New Roman"/>
                <w:sz w:val="24"/>
                <w:szCs w:val="24"/>
              </w:rPr>
              <w:t> </w:t>
            </w:r>
            <w:r>
              <w:rPr>
                <w:rFonts w:hint="default" w:ascii="XO Thames" w:hAnsi="XO Thames" w:cs="Times New Roman"/>
                <w:sz w:val="24"/>
                <w:szCs w:val="24"/>
                <w:lang w:val="en-US"/>
              </w:rPr>
              <w:t>480</w:t>
            </w:r>
            <w:r>
              <w:rPr>
                <w:rFonts w:ascii="XO Thames" w:hAnsi="XO Thames" w:cs="Times New Roman"/>
                <w:sz w:val="24"/>
                <w:szCs w:val="24"/>
              </w:rPr>
              <w:t>,00</w:t>
            </w:r>
          </w:p>
        </w:tc>
        <w:tc>
          <w:tcPr>
            <w:tcW w:w="1564" w:type="dxa"/>
            <w:vAlign w:val="center"/>
          </w:tcPr>
          <w:p w14:paraId="327F10E2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hint="default" w:ascii="XO Thames" w:hAnsi="XO Thames" w:cs="Times New Roman"/>
                <w:sz w:val="24"/>
                <w:szCs w:val="24"/>
                <w:lang w:val="en-US"/>
              </w:rPr>
              <w:t>148</w:t>
            </w:r>
            <w:r>
              <w:rPr>
                <w:rFonts w:ascii="XO Thames" w:hAnsi="XO Thames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XO Thames" w:hAnsi="XO Thames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XO Thames" w:hAnsi="XO Thames" w:cs="Times New Roman"/>
                <w:sz w:val="24"/>
                <w:szCs w:val="24"/>
              </w:rPr>
              <w:t>00,00</w:t>
            </w:r>
          </w:p>
        </w:tc>
        <w:tc>
          <w:tcPr>
            <w:tcW w:w="1886" w:type="dxa"/>
            <w:vAlign w:val="center"/>
          </w:tcPr>
          <w:p w14:paraId="4FB78B03">
            <w:pPr>
              <w:spacing w:after="0" w:line="240" w:lineRule="auto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hint="default" w:ascii="XO Thames" w:hAnsi="XO Thames" w:cs="Times New Roman"/>
                <w:sz w:val="24"/>
                <w:szCs w:val="24"/>
                <w:lang w:val="en-US"/>
              </w:rPr>
              <w:t>147 226</w:t>
            </w:r>
            <w:r>
              <w:rPr>
                <w:rFonts w:ascii="XO Thames" w:hAnsi="XO Thames" w:cs="Times New Roman"/>
                <w:sz w:val="24"/>
                <w:szCs w:val="24"/>
              </w:rPr>
              <w:t>,67</w:t>
            </w:r>
          </w:p>
        </w:tc>
      </w:tr>
    </w:tbl>
    <w:p w14:paraId="44A5D7D7">
      <w:pPr>
        <w:numPr>
          <w:ilvl w:val="0"/>
          <w:numId w:val="1"/>
        </w:numPr>
        <w:tabs>
          <w:tab w:val="left" w:pos="567"/>
          <w:tab w:val="clear" w:pos="432"/>
        </w:tabs>
        <w:spacing w:before="120" w:after="0" w:line="240" w:lineRule="auto"/>
        <w:ind w:left="0" w:firstLine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Средняя арифметическая величина цены единицы товара </w:t>
      </w:r>
    </w:p>
    <w:p w14:paraId="29563D95">
      <w:pPr>
        <w:spacing w:before="120" w:after="0" w:line="240" w:lineRule="auto"/>
        <w:jc w:val="center"/>
        <w:rPr>
          <w:rFonts w:ascii="XO Thames" w:hAnsi="XO Thames"/>
          <w:sz w:val="24"/>
          <w:szCs w:val="24"/>
        </w:rPr>
      </w:pPr>
      <m:oMathPara>
        <m:oMathParaPr>
          <m:jc m:val="center"/>
        </m:oMathParaPr>
        <m:oMath>
          <m:r>
            <m:rPr/>
            <w:rPr>
              <w:rFonts w:ascii="Cambria Math" w:hAnsi="Cambria Math"/>
              <w:sz w:val="24"/>
              <w:szCs w:val="24"/>
            </w:rPr>
            <m:t>ц≻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/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m:rPr>
                  <m:sty m:val="p"/>
                </m:rPr>
                <w:rPr>
                  <w:rFonts w:hint="default" w:ascii="Cambria Math" w:hAnsi="Cambria Math"/>
                  <w:sz w:val="24"/>
                  <w:szCs w:val="24"/>
                  <w:u w:val="single"/>
                  <w:lang w:val="en-US"/>
                </w:rPr>
                <m:t>144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u w:val="single"/>
                </w:rPr>
                <m:t xml:space="preserve"> </m:t>
              </m:r>
              <m:r>
                <m:rPr>
                  <m:sty m:val="p"/>
                </m:rPr>
                <w:rPr>
                  <w:rFonts w:hint="default" w:ascii="Cambria Math" w:hAnsi="Cambria Math"/>
                  <w:sz w:val="24"/>
                  <w:szCs w:val="24"/>
                  <w:u w:val="single"/>
                  <w:lang w:val="en-US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u w:val="single"/>
                </w:rPr>
                <m:t xml:space="preserve">00,00 </m:t>
              </m:r>
              <m:r>
                <m:rPr/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m:rPr/>
                <w:rPr>
                  <w:rFonts w:hint="default" w:ascii="Cambria Math" w:hAnsi="Cambria Math"/>
                  <w:sz w:val="24"/>
                  <w:szCs w:val="24"/>
                  <w:lang w:val="en-US"/>
                </w:rPr>
                <m:t>148 48</m:t>
              </m:r>
              <m:r>
                <m:rPr/>
                <w:rPr>
                  <w:rFonts w:ascii="Cambria Math" w:hAnsi="Cambria Math"/>
                  <w:sz w:val="24"/>
                  <w:szCs w:val="24"/>
                </w:rPr>
                <m:t>0,</m:t>
              </m:r>
              <m:r>
                <m:rPr/>
                <w:rPr>
                  <w:rFonts w:ascii="Cambria Math" w:hAnsi="Cambria Math"/>
                  <w:sz w:val="24"/>
                  <w:szCs w:val="24"/>
                  <w:u w:val="single"/>
                </w:rPr>
                <m:t>00</m:t>
              </m:r>
              <m:r>
                <m:rPr/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m:rPr/>
                <w:rPr>
                  <w:rFonts w:hint="default" w:ascii="Cambria Math" w:hAnsi="Cambria Math"/>
                  <w:sz w:val="24"/>
                  <w:szCs w:val="24"/>
                  <w:lang w:val="en-US"/>
                </w:rPr>
                <m:t>148</m:t>
              </m:r>
              <m:r>
                <m:rPr/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/>
                <w:rPr>
                  <w:rFonts w:hint="default" w:ascii="Cambria Math" w:hAnsi="Cambria Math"/>
                  <w:sz w:val="24"/>
                  <w:szCs w:val="24"/>
                  <w:lang w:val="en-US"/>
                </w:rPr>
                <m:t>9</m:t>
              </m:r>
              <m:r>
                <m:rPr/>
                <w:rPr>
                  <w:rFonts w:ascii="Cambria Math" w:hAnsi="Cambria Math"/>
                  <w:sz w:val="24"/>
                  <w:szCs w:val="24"/>
                </w:rPr>
                <m:t>00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u w:val="single"/>
                </w:rPr>
                <m:t>,00</m:t>
              </m:r>
              <m:r>
                <m:rPr/>
                <w:rPr>
                  <w:rFonts w:ascii="Cambria Math" w:hAnsi="Cambria Math"/>
                  <w:sz w:val="24"/>
                  <w:szCs w:val="24"/>
                </w:rPr>
                <m:t>)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/>
                  <w:sz w:val="24"/>
                  <w:szCs w:val="24"/>
                </w:rPr>
                <m:t>3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>
              <m:sty m:val="p"/>
            </m:rPr>
            <w:rPr>
              <w:rFonts w:hint="default" w:ascii="Cambria Math" w:hAnsi="Cambria Math"/>
              <w:sz w:val="24"/>
              <w:szCs w:val="24"/>
              <w:lang w:val="en-US"/>
            </w:rPr>
            <m:t>1</m:t>
          </m:r>
          <m:r>
            <m:rPr>
              <m:sty m:val="p"/>
            </m:rPr>
            <w:rPr>
              <w:rFonts w:hint="default" w:ascii="Cambria Math" w:hAnsi="Cambria Math"/>
              <w:sz w:val="24"/>
              <w:szCs w:val="24"/>
              <w:lang w:val="en-US"/>
            </w:rPr>
            <m:t>47</m:t>
          </m:r>
          <m:r>
            <m:rPr>
              <m:nor/>
              <m:sty m:val="p"/>
            </m:rPr>
            <w:rPr>
              <w:rFonts w:ascii="XO Thames" w:hAnsi="XO Thames"/>
              <w:sz w:val="24"/>
              <w:szCs w:val="24"/>
            </w:rPr>
            <m:t> </m:t>
          </m:r>
          <m:r>
            <m:rPr>
              <m:nor/>
              <m:sty m:val="p"/>
            </m:rPr>
            <w:rPr>
              <w:rFonts w:hint="default" w:ascii="Cambria Math" w:hAnsi="Cambria Math"/>
              <w:sz w:val="24"/>
              <w:szCs w:val="24"/>
              <w:lang w:val="en-US"/>
            </w:rPr>
            <m:t>22</m:t>
          </m:r>
          <m:r>
            <m:rPr>
              <m:nor/>
              <m:sty m:val="p"/>
            </m:rPr>
            <w:rPr>
              <w:rFonts w:ascii="XO Thames" w:hAnsi="XO Thames"/>
              <w:sz w:val="24"/>
              <w:szCs w:val="24"/>
            </w:rPr>
            <m:t>6,67</m:t>
          </m:r>
        </m:oMath>
      </m:oMathPara>
    </w:p>
    <w:p w14:paraId="6C8534E0">
      <w:pPr>
        <w:numPr>
          <w:ilvl w:val="0"/>
          <w:numId w:val="1"/>
        </w:numPr>
        <w:tabs>
          <w:tab w:val="left" w:pos="567"/>
          <w:tab w:val="clear" w:pos="432"/>
        </w:tabs>
        <w:spacing w:before="120" w:after="0" w:line="240" w:lineRule="auto"/>
        <w:ind w:left="0" w:firstLine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Среднее квадратичное отклонение</w:t>
      </w:r>
    </w:p>
    <w:p w14:paraId="7FFC66A7">
      <w:pPr>
        <w:spacing w:before="120" w:after="0" w:line="240" w:lineRule="auto"/>
        <w:jc w:val="both"/>
        <w:rPr>
          <w:rFonts w:hint="default" w:ascii="XO Thames" w:hAnsi="XO Thames"/>
          <w:sz w:val="20"/>
          <w:szCs w:val="20"/>
          <w:lang w:val="en-US"/>
        </w:rPr>
      </w:pPr>
      <m:oMathPara>
        <m:oMathParaPr>
          <m:jc m:val="center"/>
        </m:oMathParaPr>
        <m:oMath>
          <m:r>
            <m:rPr/>
            <w:rPr>
              <w:rFonts w:ascii="Cambria Math" w:hAnsi="Cambria Math"/>
              <w:sz w:val="20"/>
              <w:szCs w:val="20"/>
            </w:rPr>
            <m:t>σ=</m:t>
          </m:r>
          <m:rad>
            <m:radPr>
              <m:degHide m:val="1"/>
              <m:ctrlPr>
                <w:rPr>
                  <w:rFonts w:ascii="Cambria Math" w:hAnsi="Cambria Math"/>
                  <w:sz w:val="20"/>
                  <w:szCs w:val="20"/>
                </w:rPr>
              </m:ctrlPr>
            </m:radPr>
            <m:deg>
              <m:ctrlPr>
                <w:rPr>
                  <w:rFonts w:ascii="Cambria Math" w:hAnsi="Cambria Math"/>
                  <w:sz w:val="20"/>
                  <w:szCs w:val="20"/>
                </w:rPr>
              </m:ctrlPr>
            </m:deg>
            <m:e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subHide m:val="1"/>
                      <m:supHide m:val="1"/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ub>
                    <m:sup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sup>
                    <m:e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/>
                          <w:sz w:val="20"/>
                          <w:szCs w:val="20"/>
                          <w:u w:val="single"/>
                          <w:lang w:val="en-US"/>
                        </w:rPr>
                        <m:t>1443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u w:val="single"/>
                        </w:rPr>
                        <m:t xml:space="preserve">00,00 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</w:rPr>
                        <m:t>–</m:t>
                      </m:r>
                      <m:r>
                        <m:rPr>
                          <m:nor/>
                          <m:sty m:val="p"/>
                        </m:rPr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14722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  <w:lang w:val="en-US"/>
                        </w:rPr>
                        <m:t>6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</w:rPr>
                        <m:t>,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  <w:lang w:val="en-US"/>
                        </w:rPr>
                        <m:t>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)</m:t>
                          </m: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up>
                      </m:sSup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+(</m:t>
                      </m:r>
                      <m:r>
                        <m:rPr/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14848</m:t>
                      </m:r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0,</m:t>
                      </m:r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  <w:u w:val="single"/>
                        </w:rPr>
                        <m:t>00</m:t>
                      </m:r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−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4722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  <w:lang w:val="en-US"/>
                        </w:rPr>
                        <m:t>6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</w:rPr>
                        <m:t>,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  <w:lang w:val="en-US"/>
                        </w:rPr>
                        <m:t>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)</m:t>
                          </m: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up>
                      </m:sSup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+(</m:t>
                      </m:r>
                      <m:r>
                        <m:rPr/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1489</m:t>
                      </m:r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00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  <w:u w:val="single"/>
                        </w:rPr>
                        <m:t>,00</m:t>
                      </m:r>
                      <m:r>
                        <m:rPr/>
                        <w:rPr>
                          <w:rFonts w:ascii="Cambria Math" w:hAnsi="Cambria Math"/>
                          <w:sz w:val="20"/>
                          <w:szCs w:val="20"/>
                        </w:rPr>
                        <m:t>−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/>
                          <w:sz w:val="20"/>
                          <w:szCs w:val="20"/>
                          <w:lang w:val="en-US"/>
                        </w:rPr>
                        <m:t>4722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  <w:lang w:val="en-US"/>
                        </w:rPr>
                        <m:t>6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</w:rPr>
                        <m:t>,</m:t>
                      </m:r>
                      <m:r>
                        <m:rPr>
                          <m:nor/>
                          <m:sty m:val="p"/>
                        </m:rPr>
                        <w:rPr>
                          <w:rFonts w:ascii="XO Thames" w:hAnsi="XO Thames"/>
                          <w:sz w:val="20"/>
                          <w:szCs w:val="20"/>
                          <w:lang w:val="en-US"/>
                        </w:rPr>
                        <m:t>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)</m:t>
                          </m: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</m:ctrlPr>
                        </m:sup>
                      </m:sSup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e>
                  </m:nary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0"/>
                      <w:szCs w:val="20"/>
                    </w:rPr>
                    <m:t>3−1</m:t>
                  </m: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en>
              </m:f>
              <m:ctrlPr>
                <w:rPr>
                  <w:rFonts w:ascii="Cambria Math" w:hAnsi="Cambria Math"/>
                  <w:sz w:val="20"/>
                  <w:szCs w:val="20"/>
                </w:rPr>
              </m:ctrlPr>
            </m:e>
          </m:rad>
          <m:r>
            <m:rPr/>
            <w:rPr>
              <w:rFonts w:ascii="Cambria Math" w:hAnsi="Cambria Math"/>
              <w:sz w:val="20"/>
              <w:szCs w:val="20"/>
            </w:rPr>
            <m:t>=</m:t>
          </m:r>
          <m:r>
            <m:rPr/>
            <w:rPr>
              <w:rFonts w:hint="default" w:ascii="Cambria Math" w:hAnsi="Cambria Math"/>
              <w:sz w:val="20"/>
              <w:szCs w:val="20"/>
              <w:lang w:val="en-US"/>
            </w:rPr>
            <m:t>2543</m:t>
          </m:r>
          <m:r>
            <m:rPr/>
            <w:rPr>
              <w:rFonts w:hint="default" w:ascii="Cambria Math" w:hAnsi="Cambria Math"/>
              <w:sz w:val="20"/>
              <w:szCs w:val="20"/>
              <w:lang w:val="ru-RU"/>
            </w:rPr>
            <m:t>,</m:t>
          </m:r>
          <m:r>
            <m:rPr/>
            <w:rPr>
              <w:rFonts w:hint="default" w:ascii="Cambria Math" w:hAnsi="Cambria Math"/>
              <w:sz w:val="20"/>
              <w:szCs w:val="20"/>
              <w:lang w:val="en-US"/>
            </w:rPr>
            <m:t>26</m:t>
          </m:r>
        </m:oMath>
      </m:oMathPara>
    </w:p>
    <w:p w14:paraId="1282020F">
      <w:pPr>
        <w:numPr>
          <w:ilvl w:val="0"/>
          <w:numId w:val="1"/>
        </w:numPr>
        <w:tabs>
          <w:tab w:val="left" w:pos="567"/>
          <w:tab w:val="clear" w:pos="432"/>
        </w:tabs>
        <w:spacing w:before="120" w:after="0" w:line="240" w:lineRule="auto"/>
        <w:ind w:left="0" w:firstLine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Коэффициент вариации (%)</w:t>
      </w:r>
    </w:p>
    <w:p w14:paraId="2095B82B">
      <w:pPr>
        <w:spacing w:before="120" w:after="0" w:line="240" w:lineRule="auto"/>
        <w:ind w:left="567"/>
        <w:jc w:val="center"/>
        <w:rPr>
          <w:rFonts w:hint="default" w:ascii="XO Thames" w:hAnsi="XO Thames"/>
          <w:sz w:val="24"/>
          <w:szCs w:val="24"/>
          <w:lang w:val="ru-RU"/>
        </w:rPr>
      </w:pPr>
      <m:oMathPara>
        <m:oMathParaPr>
          <m:jc m:val="center"/>
        </m:oMathParaPr>
        <m:oMath>
          <m:r>
            <m:rPr/>
            <w:rPr>
              <w:rFonts w:ascii="Cambria Math" w:hAnsi="Cambria Math"/>
              <w:sz w:val="24"/>
              <w:szCs w:val="24"/>
            </w:rPr>
            <m:t>V=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/>
                  <w:sz w:val="24"/>
                  <w:szCs w:val="24"/>
                  <w:lang w:val="en-US"/>
                </w:rPr>
                <m:t>2543</m:t>
              </m:r>
              <m:r>
                <m:rPr>
                  <m:sty m:val="p"/>
                </m:rPr>
                <w:rPr>
                  <w:rFonts w:hint="default" w:ascii="Cambria Math" w:hAnsi="Cambria Math"/>
                  <w:sz w:val="24"/>
                  <w:szCs w:val="24"/>
                  <w:lang w:val="ru-RU"/>
                </w:rPr>
                <m:t>,</m:t>
              </m:r>
              <m:r>
                <m:rPr>
                  <m:sty m:val="p"/>
                </m:rPr>
                <w:rPr>
                  <w:rFonts w:hint="default" w:ascii="Cambria Math" w:hAnsi="Cambria Math"/>
                  <w:sz w:val="24"/>
                  <w:szCs w:val="24"/>
                  <w:lang w:val="en-US"/>
                </w:rPr>
                <m:t>26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num>
            <m:den>
              <m:r>
                <m:rPr>
                  <m:nor/>
                  <m:sty m:val="p"/>
                </m:rPr>
                <w:rPr>
                  <w:rFonts w:hint="default" w:ascii="Cambria Math" w:hAnsi="Cambria Math"/>
                  <w:sz w:val="24"/>
                  <w:szCs w:val="24"/>
                  <w:lang w:val="en-US"/>
                </w:rPr>
                <m:t>147 226</m:t>
              </m:r>
              <m:r>
                <m:rPr>
                  <m:nor/>
                  <m:sty m:val="p"/>
                </m:rPr>
                <w:rPr>
                  <w:rFonts w:ascii="XO Thames" w:hAnsi="XO Thames"/>
                  <w:sz w:val="24"/>
                  <w:szCs w:val="24"/>
                </w:rPr>
                <m:t>,67</m:t>
              </m:r>
              <m:ctrlPr>
                <w:rPr>
                  <w:rFonts w:ascii="Cambria Math" w:hAnsi="Cambria Math"/>
                  <w:sz w:val="24"/>
                  <w:szCs w:val="24"/>
                </w:rPr>
              </m:ctrlPr>
            </m:den>
          </m:f>
          <m:r>
            <m:rPr/>
            <w:rPr>
              <w:rFonts w:ascii="Cambria Math" w:hAnsi="Cambria Math"/>
              <w:sz w:val="24"/>
              <w:szCs w:val="24"/>
            </w:rPr>
            <m:t>∗</m:t>
          </m:r>
          <m:r>
            <m:rPr>
              <m:nor/>
              <m:sty m:val="p"/>
            </m:rPr>
            <w:rPr>
              <w:rFonts w:ascii="XO Thames" w:hAnsi="XO Thames"/>
              <w:sz w:val="24"/>
              <w:szCs w:val="24"/>
            </w:rPr>
            <m:t>100</m:t>
          </m:r>
          <m:r>
            <m:rPr/>
            <w:rPr>
              <w:rFonts w:ascii="Cambria Math" w:hAnsi="Cambria Math"/>
              <w:sz w:val="24"/>
              <w:szCs w:val="24"/>
            </w:rPr>
            <m:t>=</m:t>
          </m:r>
          <m:r>
            <m:rPr/>
            <w:rPr>
              <w:rFonts w:hint="default" w:ascii="Cambria Math" w:hAnsi="Cambria Math"/>
              <w:sz w:val="24"/>
              <w:szCs w:val="24"/>
              <w:lang w:val="ru-RU"/>
            </w:rPr>
            <m:t>1,73</m:t>
          </m:r>
        </m:oMath>
      </m:oMathPara>
    </w:p>
    <w:p w14:paraId="2F19578F">
      <w:pPr>
        <w:numPr>
          <w:ilvl w:val="0"/>
          <w:numId w:val="1"/>
        </w:numPr>
        <w:tabs>
          <w:tab w:val="left" w:pos="567"/>
          <w:tab w:val="clear" w:pos="432"/>
        </w:tabs>
        <w:spacing w:before="120" w:after="0" w:line="240" w:lineRule="auto"/>
        <w:ind w:left="0" w:firstLine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НМЦК = </w:t>
      </w:r>
      <w:r>
        <w:rPr>
          <w:rFonts w:ascii="XO Thames" w:hAnsi="XO Thames"/>
          <w:sz w:val="24"/>
          <w:szCs w:val="24"/>
        </w:rPr>
        <w:t>258 966,67</w:t>
      </w:r>
    </w:p>
    <w:p w14:paraId="7A40C2A4">
      <w:pPr>
        <w:spacing w:before="120"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Таким образом, значение коэффициента вариаци</w:t>
      </w:r>
      <w:bookmarkStart w:id="0" w:name="_GoBack"/>
      <w:bookmarkEnd w:id="0"/>
      <w:r>
        <w:rPr>
          <w:rFonts w:ascii="XO Thames" w:hAnsi="XO Thames"/>
          <w:sz w:val="26"/>
          <w:szCs w:val="26"/>
        </w:rPr>
        <w:t xml:space="preserve">и составляет </w:t>
      </w:r>
      <w:r>
        <w:rPr>
          <w:rFonts w:hint="default" w:ascii="XO Thames" w:hAnsi="XO Thames"/>
          <w:sz w:val="26"/>
          <w:szCs w:val="26"/>
          <w:lang w:val="ru-RU"/>
        </w:rPr>
        <w:t>1,73</w:t>
      </w:r>
      <w:r>
        <w:rPr>
          <w:rFonts w:ascii="XO Thames" w:hAnsi="XO Thames"/>
          <w:sz w:val="26"/>
          <w:szCs w:val="26"/>
        </w:rPr>
        <w:t xml:space="preserve"> %, что не превышает 33%, совокупность значений, используемых в расчете, при определении НМЦК является однородной, дополнительного исследования рынка не требуется. </w:t>
      </w:r>
    </w:p>
    <w:p w14:paraId="14A5A3C2">
      <w:pPr>
        <w:spacing w:after="0" w:line="240" w:lineRule="auto"/>
        <w:ind w:firstLine="851"/>
        <w:jc w:val="both"/>
        <w:rPr>
          <w:rFonts w:ascii="XO Thames" w:hAnsi="XO Thames" w:cs="Times New Roman"/>
          <w:sz w:val="26"/>
          <w:szCs w:val="26"/>
        </w:rPr>
      </w:pPr>
      <w:r>
        <w:rPr>
          <w:rFonts w:ascii="XO Thames" w:hAnsi="XO Thames" w:cs="Times New Roman"/>
          <w:sz w:val="26"/>
          <w:szCs w:val="26"/>
        </w:rPr>
        <w:t>На основании вышеизложенного,</w:t>
      </w:r>
      <w:r>
        <w:rPr>
          <w:rFonts w:ascii="XO Thames" w:hAnsi="XO Thames" w:eastAsia="Calibri" w:cs="Times New Roman"/>
          <w:sz w:val="26"/>
          <w:szCs w:val="26"/>
        </w:rPr>
        <w:t xml:space="preserve"> </w:t>
      </w:r>
      <w:r>
        <w:rPr>
          <w:rFonts w:ascii="XO Thames" w:hAnsi="XO Thames" w:cs="Times New Roman"/>
          <w:sz w:val="26"/>
          <w:szCs w:val="26"/>
        </w:rPr>
        <w:t xml:space="preserve">учитывая строгие рамки выделенного финансирования на оплату услуг по изготовлению типографской продукции </w:t>
      </w:r>
      <w:r>
        <w:rPr>
          <w:rFonts w:ascii="XO Thames" w:hAnsi="XO Thames" w:cs="Times New Roman"/>
          <w:sz w:val="26"/>
          <w:szCs w:val="26"/>
        </w:rPr>
        <w:br w:type="textWrapping"/>
      </w:r>
      <w:r>
        <w:rPr>
          <w:rFonts w:hint="default" w:ascii="XO Thames" w:hAnsi="XO Thames" w:cs="Times New Roman"/>
          <w:sz w:val="26"/>
          <w:szCs w:val="26"/>
          <w:lang w:val="en-US"/>
        </w:rPr>
        <w:t>144 3</w:t>
      </w:r>
      <w:r>
        <w:rPr>
          <w:rFonts w:ascii="XO Thames" w:hAnsi="XO Thames" w:cs="Times New Roman"/>
          <w:sz w:val="26"/>
          <w:szCs w:val="26"/>
        </w:rPr>
        <w:t xml:space="preserve">00,00 рублей, установить начальную (максимальную) цену Государственного контракта – </w:t>
      </w:r>
      <w:r>
        <w:rPr>
          <w:rFonts w:hint="default" w:ascii="XO Thames" w:hAnsi="XO Thames" w:cs="Times New Roman"/>
          <w:sz w:val="26"/>
          <w:szCs w:val="26"/>
          <w:lang w:val="en-US"/>
        </w:rPr>
        <w:t>144 3</w:t>
      </w:r>
      <w:r>
        <w:rPr>
          <w:rFonts w:ascii="XO Thames" w:hAnsi="XO Thames" w:cs="Times New Roman"/>
          <w:sz w:val="26"/>
          <w:szCs w:val="26"/>
        </w:rPr>
        <w:t>00,00 руб.</w:t>
      </w:r>
    </w:p>
    <w:p w14:paraId="25D3039F">
      <w:pPr>
        <w:spacing w:after="0" w:line="240" w:lineRule="auto"/>
        <w:ind w:firstLine="851"/>
        <w:jc w:val="both"/>
        <w:rPr>
          <w:rFonts w:ascii="XO Thames" w:hAnsi="XO Thames" w:cs="Times New Roman"/>
          <w:sz w:val="26"/>
          <w:szCs w:val="26"/>
        </w:rPr>
      </w:pPr>
    </w:p>
    <w:p w14:paraId="2B3EBF95">
      <w:pPr>
        <w:spacing w:after="0" w:line="240" w:lineRule="auto"/>
        <w:rPr>
          <w:rFonts w:ascii="XO Thames" w:hAnsi="XO Thames" w:cs="Times New Roman"/>
          <w:sz w:val="26"/>
          <w:szCs w:val="26"/>
        </w:rPr>
      </w:pPr>
    </w:p>
    <w:p w14:paraId="75BAE51C">
      <w:pPr>
        <w:spacing w:after="0" w:line="240" w:lineRule="auto"/>
        <w:rPr>
          <w:rFonts w:ascii="XO Thames" w:hAnsi="XO Thames" w:cs="Times New Roman"/>
          <w:sz w:val="26"/>
          <w:szCs w:val="26"/>
        </w:rPr>
      </w:pPr>
    </w:p>
    <w:p w14:paraId="1DF46506">
      <w:pPr>
        <w:spacing w:after="0" w:line="240" w:lineRule="auto"/>
        <w:rPr>
          <w:rFonts w:ascii="XO Thames" w:hAnsi="XO Thames" w:cs="Times New Roman"/>
          <w:sz w:val="26"/>
          <w:szCs w:val="26"/>
        </w:rPr>
      </w:pPr>
      <w:r>
        <w:rPr>
          <w:rFonts w:ascii="XO Thames" w:hAnsi="XO Thames" w:cs="Times New Roman"/>
          <w:sz w:val="26"/>
          <w:szCs w:val="26"/>
        </w:rPr>
        <w:t>Начальник оперативного управления</w:t>
      </w:r>
    </w:p>
    <w:p w14:paraId="43D468C7">
      <w:pPr>
        <w:spacing w:after="0" w:line="240" w:lineRule="auto"/>
        <w:rPr>
          <w:rFonts w:ascii="XO Thames" w:hAnsi="XO Thames" w:cs="Times New Roman"/>
          <w:sz w:val="26"/>
          <w:szCs w:val="26"/>
        </w:rPr>
      </w:pPr>
      <w:r>
        <w:rPr>
          <w:rFonts w:ascii="XO Thames" w:hAnsi="XO Thames" w:cs="Times New Roman"/>
          <w:sz w:val="26"/>
          <w:szCs w:val="26"/>
        </w:rPr>
        <w:t>ГУФСИН России по Красноярскому краю</w:t>
      </w:r>
    </w:p>
    <w:p w14:paraId="46C46CB7">
      <w:pPr>
        <w:spacing w:after="0" w:line="240" w:lineRule="auto"/>
        <w:jc w:val="both"/>
        <w:rPr>
          <w:rFonts w:ascii="XO Thames" w:hAnsi="XO Thames" w:cs="Times New Roman"/>
          <w:sz w:val="26"/>
          <w:szCs w:val="26"/>
          <w:u w:val="single"/>
        </w:rPr>
      </w:pPr>
      <w:r>
        <w:rPr>
          <w:rFonts w:ascii="XO Thames" w:hAnsi="XO Thames" w:cs="Times New Roman"/>
          <w:sz w:val="26"/>
          <w:szCs w:val="26"/>
        </w:rPr>
        <w:t>полковник внутренней службы                     ________________             А.Л. Денисюк</w:t>
      </w:r>
    </w:p>
    <w:p w14:paraId="788B7AD3">
      <w:pPr>
        <w:spacing w:after="0" w:line="240" w:lineRule="auto"/>
        <w:jc w:val="center"/>
        <w:rPr>
          <w:rFonts w:ascii="XO Thames" w:hAnsi="XO Thames" w:cs="Times New Roman"/>
          <w:sz w:val="26"/>
          <w:szCs w:val="26"/>
          <w:vertAlign w:val="superscript"/>
        </w:rPr>
      </w:pPr>
      <w:r>
        <w:rPr>
          <w:rFonts w:ascii="XO Thames" w:hAnsi="XO Thames" w:cs="Times New Roman"/>
          <w:sz w:val="26"/>
          <w:szCs w:val="26"/>
          <w:vertAlign w:val="superscript"/>
        </w:rPr>
        <w:t xml:space="preserve">                                                            (подпись)      </w:t>
      </w: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XO Thames">
    <w:panose1 w:val="02020603050405020304"/>
    <w:charset w:val="CC"/>
    <w:family w:val="roman"/>
    <w:pitch w:val="default"/>
    <w:sig w:usb0="800002FF" w:usb1="0000084A" w:usb2="00000000" w:usb3="00000000" w:csb0="00000015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340BB2"/>
    <w:multiLevelType w:val="multilevel"/>
    <w:tmpl w:val="76340BB2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color w:val="auto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227"/>
        </w:tabs>
        <w:ind w:left="0" w:firstLine="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BB1"/>
    <w:rsid w:val="000C0685"/>
    <w:rsid w:val="000C1E57"/>
    <w:rsid w:val="00160BB1"/>
    <w:rsid w:val="002E2797"/>
    <w:rsid w:val="002F1163"/>
    <w:rsid w:val="003513BF"/>
    <w:rsid w:val="00386A1A"/>
    <w:rsid w:val="003B36CB"/>
    <w:rsid w:val="003E0918"/>
    <w:rsid w:val="004A3187"/>
    <w:rsid w:val="004C2477"/>
    <w:rsid w:val="00562EA5"/>
    <w:rsid w:val="00595F22"/>
    <w:rsid w:val="005D37A2"/>
    <w:rsid w:val="006B0ED4"/>
    <w:rsid w:val="006B6CC4"/>
    <w:rsid w:val="00782ED1"/>
    <w:rsid w:val="00785A31"/>
    <w:rsid w:val="0083024F"/>
    <w:rsid w:val="00850604"/>
    <w:rsid w:val="008A5326"/>
    <w:rsid w:val="009C2A3E"/>
    <w:rsid w:val="00B259EB"/>
    <w:rsid w:val="00BF4EE0"/>
    <w:rsid w:val="00C454FE"/>
    <w:rsid w:val="00CC3736"/>
    <w:rsid w:val="00CC3A6F"/>
    <w:rsid w:val="00CC64EE"/>
    <w:rsid w:val="00CE7B07"/>
    <w:rsid w:val="00D1757A"/>
    <w:rsid w:val="00DB3F74"/>
    <w:rsid w:val="00E551E4"/>
    <w:rsid w:val="00E80A3A"/>
    <w:rsid w:val="00E97CE1"/>
    <w:rsid w:val="00EC5555"/>
    <w:rsid w:val="00ED43BA"/>
    <w:rsid w:val="00FF4BC4"/>
    <w:rsid w:val="503843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1580</Characters>
  <Lines>13</Lines>
  <Paragraphs>3</Paragraphs>
  <TotalTime>49</TotalTime>
  <ScaleCrop>false</ScaleCrop>
  <LinksUpToDate>false</LinksUpToDate>
  <CharactersWithSpaces>1858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2026-03-20T06:15:00Z</dcterms:created>
  <dc:creator>Asus</dc:creator>
  <cp:lastModifiedBy>cheri</cp:lastModifiedBy>
  <cp:lastPrinted>2026-03-20T06:20:00Z</cp:lastPrinted>
  <dcterms:modified xsi:type="dcterms:W3CDTF">2026-09-17T05:38:47Z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eyJoZGlkIjoiOGI2ZTY3MzlhZTRhZTg0NGFjZjNkMjlkYTVhMWI2ZDUifQ==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81C6920D8A4A4AD4A7EF5DFF4E52833E_13</vt:lpwstr>
  </property>
</Properties>
</file>