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pacing w:val="-6"/>
          <w:sz w:val="22"/>
          <w:szCs w:val="22"/>
        </w:rPr>
        <w:t xml:space="preserve">Приложение закупочной сессии</w:t>
      </w:r>
      <w:r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Par688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ИКЗ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261773301215177330100100270000000244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1a1a1a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</w:p>
    <w:p>
      <w:pPr>
        <w:jc w:val="both"/>
        <w:widowControl w:val="off"/>
        <w:tabs>
          <w:tab w:val="left" w:pos="284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Предмет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закупки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1" w:name="Par690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1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обязуется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поставить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центрифужный высокосепарационный колокол предназначена для сбора плазмы.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алее –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овар)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 обязуется принять и оплатить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порядке и на условиях,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электронным контрактом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Наименование, количество и иные характеристики поставляемого Товара указаны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Техническом задании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 электронном контракте.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1.3.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2" w:name="Par692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2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Цена и порядок расчетов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Цена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установлена в электронно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м контракте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в российских рублях и остается неизменной на весь срок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Цена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49"/>
        <w:ind w:firstLine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Цена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может быть снижена по соглашению Сторон без изменения, предусмотренного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 количества товаров и иных условий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2.3.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Сумма, подлежащая уплате заказчиком в соответствии с п.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Оплата за поставленный товар осуществляется Заказчиком в течение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 (семи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рабочих дней с момента подписания Заказчиком товар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ной накладной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на основании выставленного Поставщиком счёта на оплату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2.5.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Обязанности Заказчика по оплате считаются исполненными после списания денежных средств с расчетного счета Заказчика.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2.7. В случае ненадлежащего исполнения Поставщиком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ом, в том числе нарушения срока поставки Товара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 (этапу), Заказчик вправе произвести оплату поставленного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 (этапу) Товара с учетом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вычета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рассчитанного в установленном законодательством Российской Федерации порядке размера неустойки (пени, штрафа).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Сроки и порядок поставки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 осуществляет поставку товара с даты заключения Контракта в срок по 30 сентября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2026 года включительно. Поставка осуществляется партиями по заявке Заказчика в течение 7 (семи) рабочих дней с даты получения Поставщиком Заявки на поставку товара, в которой Заказчик указывает наименование, количество поставляемого товара и адрес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доставки. Заявка оформляется Заказчиком в зависимости от его потребности в товаре и передается по электронной почте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3.2.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Поставка товара осуществляется в рабочие дни (по предварительной договоренности) с 09:00 до 15:00 часов по 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дресу: г. Москва, Волоколамское шоссе, д. 80, стр. 1 (далее – место доставки).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3.3. Поставка Товара осуществляется путем передачи Поставщиком Товара и следующих документов: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Счета;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счет-фактуры в соответствии с налоговым законодательством Российской Федерации;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товарной накладной либо универсального передаточного документа (УПД);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сертификат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соответствия или деклараци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 соответствии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(при наличии).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.4. Упаковка товара и грузовая тара должны обеспечивать сохранность товара при транспортировке к конечному месту эксплуатации и хранения, а также при осуществлении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погрузочно-разгрузочных работ.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14:ligatures w14:val="standardContextual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  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.5.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  <w:t xml:space="preserve">Упаковка и маркировка товара должны соответствовать требованиям ГОСТ 17527-2020 «Упаковка»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14:ligatures w14:val="standardContextual"/>
        </w:rPr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14:ligatures w14:val="standardContextual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Термины и опре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деления»,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3.6. Право собственности и риск случайной гибели или порчи Товара переходит от Поставщика к Заказчику с момента приемки Товара Заказчиком.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3.7. Доставка,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сборка,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погрузочно-разгрузочные работы на склад Заказчика и вывоз мусора (коробки, упаковки, тара) производится за счет Поставщика.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3.9. Наименование и технические характеристики поставляемого товара приведены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Техническом задании (Приложение 1)</w:t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</w:p>
    <w:p>
      <w:pPr>
        <w:jc w:val="both"/>
        <w:tabs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Качество товара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4.2. Поставщик гарантирует безопасность Товара в соответствии с требованиями, установленным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4.3.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 не должен представлять опасности для жизни и здоровья граждан.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4.4.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4.5.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 обязан за св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3 (трех) рабочих дней с момента уведомления Заказчиком Поставщика.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 если выявлено нарушение условий настоящего Контракта в части качества и безопасности Товара и (или)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. Товар должен быть упакован и замаркирован в соответствии с действующими стандартами. Поставщик поставляет Товар в 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3" w:name="P1546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3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4" w:name="P1547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5" w:name="P1548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4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5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6" w:name="Par162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6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. Товар поставляется в комплекте с технической документацией на русском языке (паспорт изготовителя, инструкция по эксплуатации и т.п.) при наличии.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Наименование и технические характеристики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поставляемого товара приведен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Техническом задании.</w:t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1a1a1a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Поставка товара производится за счет поставщика, любым видом транспорта, включая упаковку, тару, маркировку, все расходы по страхованию, доставке, включая погрузку-разгрузку, перегрузку, хранение, транспортировку, вывоз мусора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тары,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tabs>
          <w:tab w:val="num" w:pos="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Порядок приемки товара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5.1. В день отгрузки Товара Поставщик обязан передать Заказчику оригина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лы следующих документов: товарной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накладн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товарно-транспортной накладной,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УПД,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счета, счета-фактуры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(в соответствии с налоговым законодательством РФ)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сертификат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соответствия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5.1.1. Приемка Товара оформляется Актом приемки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УПД,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также по форме ОКУД 0510452 (Приказ Минфина от 15.04.2021 г.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№ 61н). При этом срок оплаты по настоящему договору исчисляется с даты приемки по Акту приемки по форме ОКУД 0510452. Заказчик вправе подписать Акт приемки по форме ОКУД 0510452 в одностороннем порядке, за исключением случаев выявления качественных или ко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личественных расхождений поставленного товара (оказанных услуг, выполненных работ) с условиями договора. В случае выявления качественных или количественных расхождений поставленного товара (оказанных услуг, выполненных работ) с условиями договора, приемка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осуществляется с участием представителя Поставщика (Подрядчика, Исполнителя), а при его отсутствии при приемке подписанный со стороны Заказчика Акт приемки по форме ОКУД 0510452 направляется Поставщику (Подрядчику, Исполнителю) на подписание.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Если Поставщик (Подрядчик, Исполнитель) в течение 3 дней не направит Заказчику подписанный Акт приемки по форме ОКУД 0510452 с качественными или количественными расхождениями, такой Акт приемки считается подписанным Поставщиком (Подрядчиком, Исполнителем).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5.1.2. В документе о приемке, к которому могут прилагаться документы, которые считаются 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неотъемлемой частью на упаковке, бирках, этикетках Поставщик указывает обозначения и сведения, идентифицирующие товар в системе "Честный знак" в случаях, предусмотренных законодательством, устанавливающим обязательную маркировку для данной товарной группы.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Если в ходе приемки товара при считывании кода маркировки в системе «Честный знак» будет указано на «Сомнительный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товар», отсутствие товарного знака, маркировки и иной информации или несоответствии кодов в случаях, предусмотренных законодательством, устанавливающим обязательную маркировку для данной товарной группы, Заказчик вправе отказаться от приемки такого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5.2. В случае если Поставщик некорректно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формил счет, товарную накладную или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5.3. Для проверки предоставленных Поставщиком результатов,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ом, в части их соответствия условиям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Заказчик проводит экспертизу. Экспертиза результатов,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5.3.1. Результаты экспертизы, проведённой без привлечения экспертов (собственными силами Заказчика), оформляются путём подписания ответственным за экспе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ртизу товара должностным лицом (работником) Заказчика товаросопроводительных документов, в том 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соответствующими условиям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и подписания приёма-передачи товара Заказчиком.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5.3.2. Результаты экспертизы, проведённой экспертами, экспертными организациями оформляются в виде заключения, которое должно быть объективным, обоснова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нным и соответствовать законодательству РФ. Такое заключение подписывается экспертом, уполномоченным представителем экспертной организации. Наличие в указанном экспертном заключении вывода о соответствии фактически поставленных товаров условиям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является основанием для признания товаров, поставка которых является предметом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соответствующими условиям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и подписания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товарной накладной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Заказчиком.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5.4. Проверка соответствия Товара требованиям, установленным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ом, осуществляется в следующем порядке: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проверка соответствия информации, указанно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й в товарной накладной,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или заявке;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проверка наличия и правильности оформления сопроводительных документов на Товар (п.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а);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проверка соблюдения Поставщиком требований к условиям транспортировки, установленных действующим законодательством;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проверка соответствия количества Товара, указанного в товарной накладной и фактически доставленного;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Одновреме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нно проверяется соответствие наименования, ассортимента и комплектности Товара, указанного в Спецификации или заявке,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5.5. Принятие и разгрузка товара осуществляется в соответствии с пунктом 2 статьи 484 и пунктом 1 статьи 513 Гражданского кодекса Российской Федерации. Осмотр и проверка Товара на соответствие условиям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по количеству, качеству, ассортименту и другим характеристикам производится в порядке, установленном пунктом 2 статьи 513 Гражданского кодекса Российской Федерации.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5.6. Поставщик обязан согласовать с Заказчиком точное время и дату поставки.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5.7. Поставщик поставляет Товар Заказ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5.8.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Уборка помещений и вывоз транспортировочной упаковки/тары (при ее наличии) производятся силами Поставщика и за его счет в течение не более 1 (одного) дня после дня поставки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5.9.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Заказчик в течение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 (десяти)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рабочих дней со дня получения от Поставщика документов, предусмотренных пунктом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3.3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направляет Поставщику подписанный экземпляр документа о приемке или мотивированный отказ от подписания, в котором указываются недостатки и сроки их устранения.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5.10.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Приемка Товара не производится до момента устранения причины отказа в приемке, при этом сторонами составляется соответствующий акт с указанием перечня недостатков, необходимых доработок и сроков их исправления.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5.11. В качестве подтвержд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ения фактов неисполнения и (или) ненадлежащего исполнения обязательств, Заказчик может предъявить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5.12.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5.13.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 недопоставки Товара Поставщик обязан допоставить Товар в соответствии с заявкой Заказчика в течение 3 (трех) рабочих дней с момента заявления Заказчиком такого требования.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5.14.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5.15.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 устранения Поставщиком замечаний, указанных в мотивированном отказе от подписания, Заказчик осуществляет приемку Товара и подписывает документ о приемке.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5.16.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случае, если Поставщик не согласен с предъявляемой Заказчиком претензией о некачественной поставке, Поставщик обя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зан самостоятельно подтвердить качество Товара экспертным заключением органа государственного надзора в соответствии с компетенцией. Оплата услуг экспертизы, а также всех расходов, в том числе связанных с транспортировкой Товара осуществляется Поставщиком.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5.17.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 в установленный в мотивированном отказе от подписания срок обязан уст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по соглашению сторон (и (или) принять решение об одностороннем отказе от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), в случае, если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устранение нарушений потребует больших временных затрат, в связи с чем Заказчик утрачивает интерес к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5.18.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Риск случайной гибели или повреждения Товара и право собственности на Товар переходит на Заказчика после подписания Сторонами товарной накладной.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Обязанности Сторон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 обязан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Согласовать с Заказчиком точное время и дату поставки.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.1.2. Поставить товар в соответствии с условиями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.1.3. Передать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аказчику документы на товар, предусмотренные пунктами 2.3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59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.1.4. Обеспечить качество поставленного товара в соответствии с требованиями нормативно-технической документации.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59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6.1.5. Передать товар с нанесенными кодами маркировки, соответствующими требованиям «Честного знака» в случаях, предусмотренных законодательством, устанавливающим обязательную маркировку для данной товарной группы.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По каждой позиции товара, поставляемого по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предоставить документы, удостоверяющие качество такого товара.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Уведомить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аказчика в течение двух дней в письменной форме об изменении места нахождения, почтового адреса.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а также к установленному настоящим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сроку обязан предоставить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аказчику результаты поставки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аказчиком в отсутствие представителя Поставщика, с учетом положений раздела 4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6.1.10. Осуществлять в процессе оказания услуг систематическую, а по завершению оказанных услуг, окончательную уборку от мусора. Уборка помещений и выво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 транспортировочной упаковки/тары (при ее наличии) производятся силами Исполнителя и за его счет в течение не более 1 (одного) дня после дня оказания услуг. Вывоз и уборка строительного мусора (при наличии) производятся также силами и за счет Исполнителя.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6.1.11.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Контракта, в соответствии со статьей 268.1 БК РФ.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 обязан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.2.1.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.2.2. Обеспечить проезд (доступ) транспортного средства Поставщика на территорию, указанную как место поставки для проведения разгрузочных работ.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Оплатить поставленный товар в соответствии с условиями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Ответственность Сторон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 В случае просрочки исполнения, неисполнения или ненадлежащего исполнения своих обязательств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Стороны несут ответственность в соответствии с действующим законодательством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.2. Сторона, не исполнившая или исполнившая ненадлежащим образом обязательства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 обязана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в полном объеме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возместить убытки, возникшие по ее вине.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.3. За каждый факт неисполнения или ненадлежащего исполнения 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Поставщиком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, размер штрафа устанавливается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следующем порядке: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 процентов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(этапа) в случае, если цена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(этапа) не превышает 3 млн. рублей;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.4.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 получает право требования уплаты штрафа в следующих случаях неисполнения (ненадлежащего исполнения)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а) если Поставщик не поставил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полностью или частично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товар, являющийся предметом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б) если Поставщик поставил товар, не соответствующий требования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и не осуществил в течение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дней замену такого товара на товар, соответствующий требованиям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Поставщиком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 обязательства, предусмотренного 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, которое не имеет стоимостного выражения, размер штрафа устанавливается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следующем порядке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1000 рублей, если цена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не превышает 3 млн. рублей;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За каждый факт неисполнения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аказчиком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, размер штрафа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определяе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тся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следующем порядке: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1000 рублей, если цена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не превышает 3 млн. рублей (включительно);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Общая сумма начисленн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 штрафов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за ненадлежащее исполнение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аказчиком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.8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  <w:lang w:eastAsia="zh-CN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 Уплата штрафных санкций не освобождает стороны от выполнения обязательств по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zh-CN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.1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В случае просрочки исполнения 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ом, 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.1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оставщиком (подрядчиком, исполнителем)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ом, Заказчик направляет 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оставщику (подрядчику, исполнителю) требование об уплате неустоек (штрафов, пеней).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Пеня начисляется за каждый день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просрочки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оставщиком (подрядчиком, исполнителем) обязательства, предусмотренного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 и фактически исполненных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shd w:val="clear" w:color="auto" w:fill="ffffff"/>
        </w:rPr>
        <w:t xml:space="preserve"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</w:r>
    </w:p>
    <w:p>
      <w:pPr>
        <w:ind w:firstLine="709"/>
        <w:jc w:val="both"/>
        <w:shd w:val="clear" w:color="auto" w:fill="ffffff"/>
        <w:tabs>
          <w:tab w:val="left" w:pos="70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Действие обстоятельств непреодолимой силы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42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последствий: землетрясение, наводнение, пожар, ураган, смерч, сильные снежные заносы,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Стороны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не могли предвидеть или предотвратить.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случае, когда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обстоятельства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42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4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7" w:name="Par825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7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Порядок урегулирования споров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или в связи с ним, были урегулированы путем переговоров.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.3. Любые споры, не урегулированные во внесудебном порядке, разрешаются Арбитражным судом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города Москвы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38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Прочие условия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Расторжение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допускается по соглашению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Сторон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 решению суда, в случае одностороннего отказа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Стороны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от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соответствии со статьей 450.1. ГК РФ, а также 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 Изменение существенных условий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 его исполнении допускается в следующих случаях: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1) при снижении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без изменения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количества товара, качества поставляемого товара и иных условий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2) если по предложению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аказчика предусмотренное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количество товара увеличивается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пропорционально дополнительному количеству товара исходя из установленной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цены единицы товара, но не более чем на десять процентов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При уменьшении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количества товара Стороны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обязаны уменьшить Цену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исходя из цены единицы товара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на предусмотренное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количество такого товара.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3) в случаях, предусмотренных пунктом 6 статьи 161 Бюджетного кодекса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при уменьшении ранее доведенных до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аказчика как получателя бюджетных средств лимитов бюджетных обязательств. При этом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 в ходе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обеспечивает согласование новых условий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в том числе цены и (или) сроков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 (или) количества товара, предусмотренного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; изменение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связи с уменьшением лимитов бюджетных обязательств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осуществляется исходя из соразмерности изменения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 количества товаров и сокращение количества товаров при уменьшении цены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осуществляется в соответствии с методикой, утвержденной постановлением Правительства РФ от 28.11.2013 № 1090 «Об утверждении методики сокращения количества товаров, объемов работ или услуг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 уменьшении цены контракта»;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4) если при исполнении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изменяется срок исполнения отдельного этапа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в рамках срока исполнения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предусмотренного при его заключении.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представляет по запросу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сроки, указанные в таком запросе, информацию о ходе исполнения обязательств по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10.5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Любые изменения и дополнения к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не противоречащие действующему законодательству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оформляются дополнительными соглашениями сторон в письменной форме.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Во всем, что не предусмотрено настоящим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стороны руководствуются действующим законодательством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Срок действия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устанавливается с момента его подписания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.202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г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10.8. Окончание срока действия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 влечет прекращение обязательств сторон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у, за исключением оплаты за поставленный товар и ответственности сторон за его нарушение.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                11. Порядок обмена документами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11.1. Все уведомления Сторон, связ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12 настоящего Договора, или с использованием электронной почты с последующим предоставлением оригинала.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11.1.1.В случае направления уведомлени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11.2. Сто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11.3. Стороны соглашаются с возможностью использования в ходе электронного документооборота усиленной квалифицированной электронной подписи.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11.4.   Стороны признают, что усиленная квалифицированная электронная подпись документа признается равнозначной собственноручной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11.5. 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11.6 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 – систему СБИС/Контур.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Диадок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11.7 При соблюдении условий, приведенных выше, электронный документ, содержание и порядок обмена которого соответствует треб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4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Контактная информация Заказчика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Юридический адрес: 125367, г. Москва, Волоколамское шоссе, д. 80,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Style w:val="1063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Заключение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+7(495)490-22-30 доб. 474</w:t>
      </w:r>
      <w:r>
        <w:rPr>
          <w:rStyle w:val="1063"/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Style w:val="1063"/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Согласование поставки: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Резуненко Наталья Сергеевна (495) 490-20-07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ab/>
        <w:t xml:space="preserve">доб. 578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Покидов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Сергей Юрьевич (495)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490-20-07 доб. 549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ГРН 1027739766812 от 16.04.1993 г.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ИНН 7733012151, КПП 773301001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ОКПО 01897653, ОКТМО 45368000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ОКОПФ 75103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Наименование получателя: УФК по г. Москве 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contextualSpacing/>
        <w:jc w:val="both"/>
        <w:spacing w:after="160" w:line="259" w:lineRule="auto"/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(ФГБНУ РЦНН л/с 20736У94110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r>
    </w:p>
    <w:p>
      <w:pPr>
        <w:contextualSpacing/>
        <w:jc w:val="both"/>
        <w:spacing w:after="160" w:line="259" w:lineRule="auto"/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en-US"/>
          <w14:ligatures w14:val="standardContextual"/>
        </w:rPr>
        <w:t xml:space="preserve">21736У94110, 22736У94110) 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standardContextual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Единый казначейский счет 40102810545370000003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р/с 03214643000000017300 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Банк получателя: ОКЦ № 1 ГУ БАНКА РОССИИ ПО ЦФО//УФК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ПО Г. МОСКВЕ г. Москва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КБК 00000000000000000130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БИК 004525988   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 Приложение №1 к Контракту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10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                                                                                           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Технические характеристики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1109"/>
        <w:ind w:left="0" w:right="0" w:firstLine="0"/>
        <w:jc w:val="both"/>
        <w:keepLines/>
        <w:keepNext/>
        <w:spacing w:before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REF 625HS-00 -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расходный материал(донорский) - центрифужный колокол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(HS)</w:t>
      </w:r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627"/>
        <w:gridCol w:w="4632"/>
      </w:tblGrid>
      <w:tr>
        <w:tblPrEx/>
        <w:trPr>
          <w:trHeight w:val="331" w:hRule="exact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Одноразового применения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2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Объем колокола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275 мл. с вторичной камерой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2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Метод стерилизации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Облучение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2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Упаковка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25 штук в коробке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53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Совместимость расходными материалами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33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00690-00, 00692-00, 00699-00,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SC690-00, SC692-00, PB1000SPV, PB1000LLV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2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Совместим с донорскими магистралями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00620-00,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0620E-00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56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Совместим с сопуствующим расходным материалом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00698-00, 03018-01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2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Антикоагулянт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Цитрат натрия 4%, (соотношение 1:16)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3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Совместимость с аппаратами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108"/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PCS2, MCS+, MCS3p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  <w:t xml:space="preserve">*Срок годности до 2030 года.</w:t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10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Описание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10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LN 625HS-00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- элемент разборного расходного материала, центрифужный высокосепарационный колокол предназначена для сбора плазмы.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разработала одноразовые расходные материалы для процедур сбора плазмы. Вместе эти материалы называются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расходными магистралями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или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расходным комплектом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30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Примечание: компания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предлагает широкий ассортимент расходных материалов для сбора плазмы, однако некоторые из них доступны не везде.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Колокол для сбора плазмы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PCS2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изготовлен методом выдувного формования. Процесс представляет собой инновационный метод сепарации для значительного снижения клеточных компонент и получения высококачественной лейкоредуцированной плазмы.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0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разработала высокосепарационный колокол для сбора высококачественной плазмы, при использовании которого значительно уменьшается количество остаточных клеток, минимизируется активация комплемента, максимально сохраняются белки.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300" w:line="240" w:lineRule="auto"/>
        <w:shd w:val="clear" w:color="auto" w:fill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Описание и принцип работы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Колокол состоит из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головки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корпуса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. Головка колокола содержит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входное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выходное отверстия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. В процессе работы головка остается неподвижной, а корпус вращается со скоростью примерно 7500 об/мин. При установке колокола входное отверстие должно быть направлено к левой стороне центрифуги. Выходное отверстие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асположено ниже входного; оно должно быть направлено к правой стороне центрифуги. Расходная магистраль донорской линии подключается к входному отверстию. К этому же отверстию подключается подающая магистраль, доставляющая кровь в рабочую камеру. Подающая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агистраль позволяет также выпускать из входного порта невыбранные компоненты крови в ходе цикла возврата к донору. Собранная плазма выходит из колокола через магистраль оттока продукта (из расходного комплекта), подключаемую к выходному отверстию колокола.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0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Внимание!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Головной щиток закрывает вращающееся уплотнение между головкой и корпусом колокола. При установке колокола уплотнение слегка сжимается. Это уплотнение между головкой и корпусом колокола важно для нормальной работы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PCS2.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Функциональные характеристики вращающегося уплотнения могут изменяться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, если давление в колоколе становится избыточным; в этом случае уплотнение может приподниматься, как клапан давления. Оператор должен контролировать состояние колокола, чтобы избежать создания препятствий для воздуха или жидкостей в тракте оттока продукта.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br w:type="page" w:clear="all"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8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4424680</wp:posOffset>
                </wp:positionH>
                <wp:positionV relativeFrom="paragraph">
                  <wp:posOffset>12700</wp:posOffset>
                </wp:positionV>
                <wp:extent cx="1969135" cy="25723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169255" name="Picture box 2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25829378;o:allowoverlap:true;o:allowincell:true;mso-position-horizontal-relative:page;margin-left:348.40pt;mso-position-horizontal:absolute;mso-position-vertical-relative:text;margin-top:1.00pt;mso-position-vertical:absolute;width:155.05pt;height:202.55pt;mso-wrap-distance-left:9.00pt;mso-wrap-distance-top:0.00pt;mso-wrap-distance-right:9.00pt;mso-wrap-distance-bottom:0.00pt;" stroked="false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Рис.1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Внешний виД пустого центрифужного высокосепарационного колокола для плазмафереза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Состоит из 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61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Входное отверстие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Выходное отверстие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Головной щиток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Вращающееся уплотнение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Рабочая камера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Сердечник колокола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Подающая магистраль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4"/>
        </w:numPr>
        <w:ind w:left="0" w:right="0" w:firstLine="0"/>
        <w:jc w:val="both"/>
        <w:keepLines w:val="0"/>
        <w:keepNext w:val="0"/>
        <w:spacing w:before="0" w:after="600" w:line="240" w:lineRule="auto"/>
        <w:shd w:val="clear" w:color="auto" w:fill="auto"/>
        <w:widowControl w:val="off"/>
        <w:tabs>
          <w:tab w:val="left" w:pos="28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533400</wp:posOffset>
                </wp:positionV>
                <wp:extent cx="2176145" cy="204470"/>
                <wp:effectExtent l="0" t="0" r="0" b="0"/>
                <wp:wrapTopAndBottom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110"/>
                              <w:ind w:left="0" w:right="0" w:firstLine="0"/>
                              <w:jc w:val="left"/>
                              <w:keepLines w:val="0"/>
                              <w:keepNext w:val="0"/>
                              <w:spacing w:before="0" w:after="0" w:line="240" w:lineRule="auto"/>
                              <w:shd w:val="clear" w:color="auto" w:fill="auto"/>
                              <w:widowControl w:val="off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Инструкция по применению</w:t>
                            </w:r>
                            <w:r/>
                          </w:p>
                        </w:txbxContent>
                      </wps:txbx>
                      <wps:bodyPr wrap="none"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25829379;o:allowoverlap:true;o:allowincell:true;mso-position-horizontal-relative:page;margin-left:69.55pt;mso-position-horizontal:absolute;mso-position-vertical-relative:text;margin-top:42.00pt;mso-position-vertical:absolute;width:171.35pt;height:16.10pt;mso-wrap-distance-left:9.00pt;mso-wrap-distance-top:0.00pt;mso-wrap-distance-right:9.00pt;mso-wrap-distance-bottom:0.00pt;visibility:visible;" filled="f">
                <w10:wrap type="topAndBottom"/>
                <v:textbox inset="0,0,0,0">
                  <w:txbxContent>
                    <w:p>
                      <w:pPr>
                        <w:pStyle w:val="1110"/>
                        <w:ind w:left="0" w:right="0" w:firstLine="0"/>
                        <w:jc w:val="left"/>
                        <w:keepLines w:val="0"/>
                        <w:keepNext w:val="0"/>
                        <w:spacing w:before="0" w:after="0" w:line="240" w:lineRule="auto"/>
                        <w:shd w:val="clear" w:color="auto" w:fill="auto"/>
                        <w:widowControl w:val="off"/>
                      </w:pPr>
                      <w:r>
                        <w:rPr>
                          <w:color w:val="000000"/>
                          <w:spacing w:val="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Инструкция по применению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Корпус колокола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740" w:right="0" w:hanging="360"/>
        <w:jc w:val="both"/>
        <w:keepLines w:val="0"/>
        <w:keepNext w:val="0"/>
        <w:spacing w:before="300" w:after="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Извлечь расходный материал из упаковки, соблюдая правила асептики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0" w:right="0" w:firstLine="38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Открыть центрифугу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0" w:right="0" w:firstLine="38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Вставить колокол в колодец центрифуги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0" w:right="0" w:firstLine="38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Закрыть центрифугу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0" w:right="0" w:firstLine="38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Подсоединить выходную магистраль соответствующего расходного материала к выходному отверстию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74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колокола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5"/>
        </w:numPr>
        <w:ind w:left="740" w:right="0" w:hanging="360"/>
        <w:jc w:val="both"/>
        <w:keepLines w:val="0"/>
        <w:keepNext w:val="0"/>
        <w:spacing w:before="0" w:after="480" w:line="240" w:lineRule="auto"/>
        <w:shd w:val="clear" w:color="auto" w:fill="auto"/>
        <w:widowControl w:val="off"/>
        <w:tabs>
          <w:tab w:val="left" w:pos="74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Подсоединить входную магистраль соответствующего расходного материала к входному отверстию колокола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1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Работа центрифужного колокола.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180" w:line="262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Ознакомиться с принципом работы центрифужного колокола можно в официальном руководстве по эксплуатации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104664-RU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Сбор плазмы с использованием системы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PCS®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2”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предоставляет гарантию на свои изделия только при условии их правильной экс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плуатации, осуществляемой квалифицированным оператором. Любое отклонение от процедур, указанных в руководстве пользователя, может привести к нарушению работы оборудования, а также создать опасность причинения вреда оператору, пациенту или донору. 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 несет ответственности за ситуации, возникшие в результате несоблюдения требований компании.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Любое изменение, рассматриваемое потребителем как необходимое, должно быть проверено клиническим специалистом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Для безопасного пользования материалами и оборудованием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от оператора требуется умение правильно обращаться с материалами, загрязненными кровью, и утилизировать такие материалы.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Оператор, работающий с любым оборудованием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должен знать и соблюдать действующие правила и стандартные процедуры обращения с материалами, загрязненными кровью, а также с продуктами крови.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Потребитель несет полную ответственность за оценку и обеспечение безопасности всех продуктов, полученных в результате применения предписанных компанией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процедур; оценка и меры по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обеспечению безопасности таких продуктов должны осуществляться до их использования. 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 несет ответственности за решения, принимаемые потребителем в отношении использования основных и второстепенных продуктов, получаемых с помощью оборудования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1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Кроме того, организация, осуществляющая процедуры афереза с использованием оборудования и материалов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обязана предупредить донора о рисках, связанных с любой процедурой афереза. Прежде чем приступать к какой-либо процедуре, организация, осуществляющая аферез, должна убедиться, что донор понимает эти риски и согласен на предлагаемую процедуру.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Проверка расходных материалов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Оператор должен проверить расходные материалы как до, так и во время их установки на аппарат в соответствии со следующими указаниями: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6"/>
        </w:numPr>
        <w:ind w:left="0" w:right="0" w:firstLine="38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Проверьте соответствие расходного комплекта протоколу.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6"/>
        </w:numPr>
        <w:ind w:left="780" w:right="0" w:hanging="400"/>
        <w:jc w:val="both"/>
        <w:keepLines w:val="0"/>
        <w:keepNext w:val="0"/>
        <w:spacing w:before="0" w:after="220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Во время установки осмотрите все трубки и убедитесь в отсутствии закупорки, которая может препятствовать потоку через расходный комплект.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Установка расходных комплектов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PCS2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различных типов может выполняться по-разному в зависимости от материала, выбранного организацией, осуществляющей плазмаферез. 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рекомендует устанавливать расходные элементы в следующем порядке: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0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колокол центрифуги;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0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выходные магистрали;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0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входные магистрали.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Если используются элементы расходного комплекта, которые не были соединены заранее, необходимо строгое соблюдение правил асептики при снятии колпачков соединителей и при подключении секций магистралей.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12"/>
        <w:ind w:left="0" w:right="0" w:firstLine="0"/>
        <w:jc w:val="both"/>
        <w:keepLines w:val="0"/>
        <w:keepNext w:val="0"/>
        <w:spacing w:before="0" w:after="46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Если оператор пользуется комплектом с заранее подключенным расходным колоколом центрифуги, то некоторые из указанных ниже действий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потребуются. Такие действия обозначены специальным символом «подключено заранее».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Обращение с материалами, загрязненными кровью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8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случае утечки или пролива крови необходимо немедленно выполнит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ь чистку. При этом оператор должен соблюдать действующие правила, устанавливающие порядок такой чистки, а также средства, используемые для дезинфекции загрязненных кровью материалов. Если требуется вернуть какие-либо загрязненные кровью материалы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.Haemonetics®.,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оператору следует воспользоваться системой возврата изделий.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Система возврата изделий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Компания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стреми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тся поставлять оборудование, соответствующее высшим стандартам качества конструкции и изготовления. Если по каким-либо причинам требуется возврат купленного оборудования на предприятие компании, покупателю следует воспользоваться системой возврата изделий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(Returned Goods Authorization, RGA),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чтобы обеспечить надлежащее обращение с возвращаемыми изделиями и их анализ.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Для возврата изделия покупателю следует обратиться в территориальное представительство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(или в отдел технического обслуживания компании) и предоставить следующую информацию: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номер изделия (по перечню), номер партии, дата выпуска;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количество возвращаемых изделий;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описание дефекта;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tabs>
          <w:tab w:val="left" w:pos="742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количество упаковок.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Может также потребоваться сообщить дополнительные подробности в зависимости от характера проблемы. Потребитель должен быть готов предоставить подробное описание возникшей проблемы, а также вышеуказанную информацию об изделии.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Если требуется (через курьерскую службу) вернуть загрязненный одноразовый комплект, то представительства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могут предоставить дополнительные указания по подготовке изделий,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загрязненных кровью, к транспортировке. В дополнение к указаниям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потребитель должен строго соблюдать действующие местные правила транспортировки материалов, загрязненных кровью, чтобы свести к минимуму риск для здоровья.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некоторых случаях после информирования представительства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 возникшей проблеме требуется утилизировать загрязненные изделия. Это необходимо делать в соответствии с действующими правилами утилизации биологически загрязненных материалов.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ВНИМАНИЕ! Прежде чем возвращать изделия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необходимо надлежащим образом очистить и упаковать их. Потребитель должен обеспечить снижение потенциальной опасности для здоровья, которая может быть связана с транспортировкой, обработкой и проверкой таких изделий, так как ему известно о такой опасности.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Безопасная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и эффективная работа оборудования зависит, в частности, от регулярного правильного обращения с аппаратурой. Оператор должен знать о проблемах, к которым может привести неправильное хранение, установка или эксплуатация устройства или одноразовых материалов.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26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Хранение оборудования и одноразовых материалов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 допускается эксплуатация или хранение устройства в местах, где в воздухе присутствуют огнеопас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ные газы или пары. Комплекты одноразовых материалов следует хранить в сухом, хорошо вентилируемом месте, защищенном от химических паров. При работе с одноразовыми материалами руки оператора должны быть чистыми и сухими, или следует пользоваться перчатками.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Устройство и одноразовые материалы следует хранить при относительной влажности от 8% до 80% и при температуре 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20°C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+50°C.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Эксплуатировать аппаратуру рекомендуется при температуре 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18°C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27°C.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26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Проверка одноразовых материалов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Прежде чем устанавливать одноразовые материалы, оператор должен выполнить их осмотр и убедиться в отсутствии скрученных или изогнутых элементов. После установки однор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азового комплекта, прежде чем приступать к сбору плазмы, оператору необходимо убедиться, что отдельные элементы комплекта размещены правильно. Необходимо, чтобы трубки не имели скрученных или сжатых мест, способных создать препятствия для потока жидкостей.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Упаковочный мешок, в который помещен колокол, не обеспечивает стерильность данного изделия: его основная функция - предотвратить загрязнение колокола.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Стерильность изделия обеспечивается колпачками на портах колокола: данные требования указаны в инструкции по использованию и подтверждают, что жидкость проходит по стерильному и апирогенному контуру только при наличии защитных колпачков на портах колокола.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Процесс упаковки колокола допускает наличие щелей в местах спайки упаковочного мешка для того, чтобы воздух мог покидать упаковку с целью обеспечения компактного хранения: шов на упаковке не обеспечивает стерильности.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26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Меры по предотвращению нештатных ситуаций при эксплуатации оборудования.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26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Опасность гемолиза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Гемолиз включает разрушение мембран красных кровяны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х телец, сопровождаемое выходом свободного гемоглобина в плазму крови. Свободный гемоглобин не может переносить кислород и поэтому может создать серьезные проблемы. Остатки красных кровяных телец могут стимулировать образование тромбов и причинить вред сос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удистым структурам легких и почек. Это может привести к респираторным осложнениям и/или к почечной недостаточности. Гемолиз красных кровяных телец может возникнуть в ходе афереза в достаточно редких случаях под действием перегрева или чрезмерного давления.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ВНИМАНИЕ! Принудительная работа насоса при наличии значительных препятствий дл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я потока может привести к гемолизу, что, в свою очередь, приводит к высокому содержанию свободного гемоглобина в плазме. Оператор должен учитывать это при появлении сигналов, указывающих на высокое давление возврата, в ходе работы с оборудованием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Если есть основания подозревать, что произошел гемолиз, то возвращать донору содержимое чаши нельзя. Следует сообщить о возникшей проблеме в представительство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.Haemonetics®.,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чтобы получить соответствующие инструкции.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26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Предотвращение последствий ограничений потока.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режиме “Забора” ограничение потока в выходной магистрали могут создать давление в одноразовмо колоколе. Неустраненное давление может деформировать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вращающееся уплотнение одноразового колокола. Изменение характеристик вращающегося уплотнения приводит к усилению трения и к перегреву, в результате чего содержимое колокола может оказаться непригодным для возврата донору. В режиме “Возврата” ограничение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потока в выходной магистрали может привести к резкому падению давления в колоколе центрифуги, что, в свою очередь, может привести к гемолизу.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Чтобы устранить вышеуказанные проблемы, оператору следует: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8"/>
        </w:numPr>
        <w:ind w:left="0" w:right="0" w:firstLine="38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741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 допускать нежелательных зажимов трубки стока;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8"/>
        </w:numPr>
        <w:ind w:left="740" w:right="0" w:hanging="360"/>
        <w:jc w:val="both"/>
        <w:keepLines w:val="0"/>
        <w:keepNext w:val="0"/>
        <w:spacing w:before="0" w:after="0"/>
        <w:shd w:val="clear" w:color="auto" w:fill="auto"/>
        <w:widowControl w:val="off"/>
        <w:tabs>
          <w:tab w:val="left" w:pos="741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контролировать появление следующие изменений в потоке, так как эти изменения могут указывать на наличие ограничений потока: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tabs>
          <w:tab w:val="left" w:pos="741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снижение Донорского потока в режиме “Забора”;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numPr>
          <w:ilvl w:val="0"/>
          <w:numId w:val="47"/>
        </w:numPr>
        <w:ind w:left="0" w:right="0" w:firstLine="380"/>
        <w:jc w:val="both"/>
        <w:keepLines w:val="0"/>
        <w:keepNext w:val="0"/>
        <w:spacing w:before="0" w:after="420" w:line="293" w:lineRule="auto"/>
        <w:shd w:val="clear" w:color="auto" w:fill="auto"/>
        <w:widowControl w:val="off"/>
        <w:tabs>
          <w:tab w:val="left" w:pos="741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чрезмерное увеличение времени, необходимого Для возврата содержимого колокола Донору.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Предотвращение смещения колокола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Неправильно установленный одноразовый колокол может сместиться во время вращения. Это может привести к чрезмерному трению и к перегреву его содержимого. Поэтому при установке колокола оператор должен убедиться, что он установлен правильно.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ВНИМАНИЕ! Если правильная установка колокола в центрифугу оказывается невозможной, то использование такого колокола не допускается. Попытка его использования может приве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сти к перегреву, что, в свою очередь, приводит к гемолизу и делает обработанную кровь небезопасной для переливания. В случае появления каких-либо отклонений или необычных шумов, связанных с вращающимся колоколом, оператор должен остановить работу аппарата.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Предотвращение перегрева под действием механических факторов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Перегрев может быть также результатом механических факторов, например, дефекта подшипников или уплотнения в стакане центрифуги. В этом случае следует обратиться в представительство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и не пользоваться устройство, пока неисправность не будет устранена.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ВНИМАНИЕ! Если во время процедуры сбора плазмы какие-либо детали аппарата перегрелись, и в результате перегретой оказалась обрабатываемая кровь, то ее нельзя считать безопасной для переливания.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Контроль избытка эритроцитов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Под избытком эритроцитов понимается присутствие красных кровяных телец в выходной магистрали и/или в емкости для сбо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ра готового продукта ходе процедуры плазмафереза. Оператор должен контролировать внешний вид плазмы по мере ее сбора. Розовый или красноватый оттенок может указывать на попадание в плазму красных кровяных телец или на сбой в работе аппарата, в результате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оторого возник сильный гемолиз. Необходимо немедленно исследовать ситуацию. Если выяснить причину появления оттенка не удается, то необходимо немедленно прекратить процедуру. В этом случае компоненты крови, находящиеся в колоколе, нельзя возвращать донору.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after="32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Защита от инфекционных заболеваний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Несмотря на проведение тестов на ряд инфекционных заболеваний (гепатит, сифилис, ВИЧ), остается риск того, что обрабатываемая кровь может оказаться инфицированной. При обращении с продукт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ами крови, а также при утилизации загрязненных кровью материалов оператор обязан соблюдать меры предосторожности с целью обеспечения собственной безопасности, а также безопасности других лиц, которые могут оказаться в контакте с вышеуказанными материалами.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7"/>
        <w:ind w:left="0" w:right="0" w:firstLine="0"/>
        <w:jc w:val="both"/>
        <w:keepLines/>
        <w:keepNext/>
        <w:spacing w:before="0" w:line="240" w:lineRule="auto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Утилизация биологически загрязненных материалов</w:t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106"/>
        <w:ind w:left="0" w:right="0" w:firstLine="0"/>
        <w:jc w:val="both"/>
        <w:keepLines w:val="0"/>
        <w:keepNext w:val="0"/>
        <w:spacing w:before="0" w:after="220"/>
        <w:shd w:val="clear" w:color="auto" w:fill="auto"/>
        <w:widowControl w:val="o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Все одноразовые материалы, использованные с устройствами производства компании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Haemonetics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ходе процедуры афереза, считаются биологически загрязненными. Их утилизация должна осуществляться в соответствии с действующими местными правилами. Не допускается их смешивание с другими (биологически не загрязненными) отходами.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  <w:sectPr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5" w:h="16838" w:orient="portrait"/>
          <w:pgMar w:top="567" w:right="1134" w:bottom="709" w:left="1134" w:header="284" w:footer="130" w:gutter="0"/>
          <w:cols w:num="1" w:sep="0" w:space="720" w:equalWidth="1"/>
          <w:docGrid w:linePitch="360"/>
        </w:sect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Liberation Serif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4722361"/>
      <w:docPartObj>
        <w:docPartGallery w:val="Page Numbers (Bottom of Page)"/>
        <w:docPartUnique w:val="true"/>
      </w:docPartObj>
      <w:rPr/>
    </w:sdtPr>
    <w:sdtContent>
      <w:p>
        <w:pPr>
          <w:pStyle w:val="1044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p>
    </w:sdtContent>
  </w:sdt>
  <w:p>
    <w:pPr>
      <w:pStyle w:val="10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rPr>
        <w:rStyle w:val="1056"/>
      </w:rPr>
      <w:framePr w:wrap="around" w:vAnchor="text" w:hAnchor="margin" w:xAlign="right" w:y="1"/>
    </w:pPr>
    <w:r>
      <w:rPr>
        <w:rStyle w:val="1056"/>
      </w:rPr>
      <w:fldChar w:fldCharType="begin"/>
    </w:r>
    <w:r>
      <w:rPr>
        <w:rStyle w:val="1056"/>
      </w:rPr>
      <w:instrText xml:space="preserve">PAGE  </w:instrText>
    </w:r>
    <w:r>
      <w:rPr>
        <w:rStyle w:val="1056"/>
      </w:rPr>
      <w:fldChar w:fldCharType="end"/>
    </w:r>
    <w:r>
      <w:rPr>
        <w:rStyle w:val="1056"/>
      </w:rPr>
    </w:r>
    <w:r>
      <w:rPr>
        <w:rStyle w:val="1056"/>
      </w:rPr>
    </w:r>
  </w:p>
  <w:p>
    <w:pPr>
      <w:pStyle w:val="1044"/>
      <w:ind w:right="360"/>
    </w:pPr>
    <w:r/>
    <w:r/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81870593"/>
      <w:docPartObj>
        <w:docPartGallery w:val="Page Numbers (Bottom of Page)"/>
        <w:docPartUnique w:val="true"/>
      </w:docPartObj>
      <w:rPr/>
    </w:sdtPr>
    <w:sdtContent>
      <w:p>
        <w:pPr>
          <w:pStyle w:val="104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rPr>
        <w:rStyle w:val="1056"/>
      </w:rPr>
      <w:framePr w:wrap="around" w:vAnchor="text" w:hAnchor="margin" w:xAlign="center" w:y="1"/>
    </w:pPr>
    <w:r>
      <w:rPr>
        <w:rStyle w:val="1056"/>
      </w:rPr>
      <w:fldChar w:fldCharType="begin"/>
    </w:r>
    <w:r>
      <w:rPr>
        <w:rStyle w:val="1056"/>
      </w:rPr>
      <w:instrText xml:space="preserve">PAGE  </w:instrText>
    </w:r>
    <w:r>
      <w:rPr>
        <w:rStyle w:val="1056"/>
      </w:rPr>
      <w:fldChar w:fldCharType="separate"/>
    </w:r>
    <w:r>
      <w:rPr>
        <w:rStyle w:val="1056"/>
      </w:rPr>
      <w:t xml:space="preserve">1</w:t>
    </w:r>
    <w:r>
      <w:rPr>
        <w:rStyle w:val="1056"/>
      </w:rPr>
      <w:fldChar w:fldCharType="end"/>
    </w:r>
    <w:r>
      <w:rPr>
        <w:rStyle w:val="1056"/>
      </w:rPr>
    </w:r>
    <w:r>
      <w:rPr>
        <w:rStyle w:val="1056"/>
      </w:rPr>
    </w:r>
  </w:p>
  <w:p>
    <w:pPr>
      <w:pStyle w:val="1042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jc w:val="right"/>
      <w:rPr>
        <w:i/>
      </w:rPr>
    </w:pPr>
    <w:r>
      <w:rPr>
        <w:i/>
      </w:rPr>
      <w:t xml:space="preserve">Приложение Заказчика к объявлению закупочной сессии</w:t>
    </w:r>
    <w:r>
      <w:rPr>
        <w:i/>
      </w:rPr>
    </w:r>
    <w:r>
      <w:rPr>
        <w:i/>
      </w:rPr>
    </w:r>
  </w:p>
  <w:p>
    <w:pPr>
      <w:pStyle w:val="10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left"/>
      <w:pPr>
        <w:ind w:left="1800" w:hanging="720"/>
        <w:tabs>
          <w:tab w:val="num" w:pos="180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3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9">
    <w:multiLevelType w:val="hybridMultilevel"/>
    <w:styleLink w:val="1094"/>
    <w:lvl w:ilvl="0">
      <w:start w:val="1"/>
      <w:numFmt w:val="bullet"/>
      <w:pStyle w:val="1094"/>
      <w:isLgl w:val="false"/>
      <w:suff w:val="tab"/>
      <w:lvlText w:val="·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32"/>
  </w:num>
  <w:num w:numId="6">
    <w:abstractNumId w:val="22"/>
  </w:num>
  <w:num w:numId="7">
    <w:abstractNumId w:val="27"/>
  </w:num>
  <w:num w:numId="8">
    <w:abstractNumId w:val="14"/>
  </w:num>
  <w:num w:numId="9">
    <w:abstractNumId w:val="9"/>
  </w:num>
  <w:num w:numId="10">
    <w:abstractNumId w:val="5"/>
  </w:num>
  <w:num w:numId="11">
    <w:abstractNumId w:val="38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24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4"/>
  </w:num>
  <w:num w:numId="22">
    <w:abstractNumId w:val="40"/>
  </w:num>
  <w:num w:numId="23">
    <w:abstractNumId w:val="41"/>
  </w:num>
  <w:num w:numId="24">
    <w:abstractNumId w:val="37"/>
  </w:num>
  <w:num w:numId="25">
    <w:abstractNumId w:val="29"/>
  </w:num>
  <w:num w:numId="26">
    <w:abstractNumId w:val="10"/>
  </w:num>
  <w:num w:numId="27">
    <w:abstractNumId w:val="17"/>
  </w:num>
  <w:num w:numId="28">
    <w:abstractNumId w:val="19"/>
  </w:num>
  <w:num w:numId="29">
    <w:abstractNumId w:val="39"/>
  </w:num>
  <w:num w:numId="30">
    <w:abstractNumId w:val="7"/>
  </w:num>
  <w:num w:numId="31">
    <w:abstractNumId w:val="30"/>
  </w:num>
  <w:num w:numId="32">
    <w:abstractNumId w:val="23"/>
  </w:num>
  <w:num w:numId="33">
    <w:abstractNumId w:val="18"/>
  </w:num>
  <w:num w:numId="34">
    <w:abstractNumId w:val="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6"/>
  </w:num>
  <w:num w:numId="40">
    <w:abstractNumId w:val="31"/>
  </w:num>
  <w:num w:numId="41">
    <w:abstractNumId w:val="21"/>
  </w:num>
  <w:num w:numId="42">
    <w:abstractNumId w:val="33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2">
    <w:name w:val="Heading 1 Char"/>
    <w:basedOn w:val="1032"/>
    <w:link w:val="1030"/>
    <w:uiPriority w:val="9"/>
    <w:rPr>
      <w:rFonts w:ascii="Arial" w:hAnsi="Arial" w:eastAsia="Arial" w:cs="Arial"/>
      <w:sz w:val="40"/>
      <w:szCs w:val="40"/>
    </w:rPr>
  </w:style>
  <w:style w:type="paragraph" w:styleId="863">
    <w:name w:val="Heading 2"/>
    <w:basedOn w:val="1029"/>
    <w:next w:val="1029"/>
    <w:link w:val="8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4">
    <w:name w:val="Heading 2 Char"/>
    <w:basedOn w:val="1032"/>
    <w:link w:val="863"/>
    <w:uiPriority w:val="9"/>
    <w:rPr>
      <w:rFonts w:ascii="Arial" w:hAnsi="Arial" w:eastAsia="Arial" w:cs="Arial"/>
      <w:sz w:val="34"/>
    </w:rPr>
  </w:style>
  <w:style w:type="character" w:styleId="865">
    <w:name w:val="Heading 3 Char"/>
    <w:basedOn w:val="1032"/>
    <w:link w:val="1031"/>
    <w:uiPriority w:val="9"/>
    <w:rPr>
      <w:rFonts w:ascii="Arial" w:hAnsi="Arial" w:eastAsia="Arial" w:cs="Arial"/>
      <w:sz w:val="30"/>
      <w:szCs w:val="30"/>
    </w:rPr>
  </w:style>
  <w:style w:type="paragraph" w:styleId="866">
    <w:name w:val="Heading 4"/>
    <w:basedOn w:val="1029"/>
    <w:next w:val="1029"/>
    <w:link w:val="8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7">
    <w:name w:val="Heading 4 Char"/>
    <w:basedOn w:val="1032"/>
    <w:link w:val="866"/>
    <w:uiPriority w:val="9"/>
    <w:rPr>
      <w:rFonts w:ascii="Arial" w:hAnsi="Arial" w:eastAsia="Arial" w:cs="Arial"/>
      <w:b/>
      <w:bCs/>
      <w:sz w:val="26"/>
      <w:szCs w:val="26"/>
    </w:rPr>
  </w:style>
  <w:style w:type="paragraph" w:styleId="868">
    <w:name w:val="Heading 5"/>
    <w:basedOn w:val="1029"/>
    <w:next w:val="1029"/>
    <w:link w:val="8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9">
    <w:name w:val="Heading 5 Char"/>
    <w:basedOn w:val="1032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870">
    <w:name w:val="Heading 6"/>
    <w:basedOn w:val="1029"/>
    <w:next w:val="1029"/>
    <w:link w:val="8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1">
    <w:name w:val="Heading 6 Char"/>
    <w:basedOn w:val="1032"/>
    <w:link w:val="870"/>
    <w:uiPriority w:val="9"/>
    <w:rPr>
      <w:rFonts w:ascii="Arial" w:hAnsi="Arial" w:eastAsia="Arial" w:cs="Arial"/>
      <w:b/>
      <w:bCs/>
      <w:sz w:val="22"/>
      <w:szCs w:val="22"/>
    </w:rPr>
  </w:style>
  <w:style w:type="paragraph" w:styleId="872">
    <w:name w:val="Heading 7"/>
    <w:basedOn w:val="1029"/>
    <w:next w:val="1029"/>
    <w:link w:val="8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>
    <w:name w:val="Heading 7 Char"/>
    <w:basedOn w:val="1032"/>
    <w:link w:val="8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4">
    <w:name w:val="Heading 8"/>
    <w:basedOn w:val="1029"/>
    <w:next w:val="1029"/>
    <w:link w:val="8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5">
    <w:name w:val="Heading 8 Char"/>
    <w:basedOn w:val="1032"/>
    <w:link w:val="874"/>
    <w:uiPriority w:val="9"/>
    <w:rPr>
      <w:rFonts w:ascii="Arial" w:hAnsi="Arial" w:eastAsia="Arial" w:cs="Arial"/>
      <w:i/>
      <w:iCs/>
      <w:sz w:val="22"/>
      <w:szCs w:val="22"/>
    </w:rPr>
  </w:style>
  <w:style w:type="paragraph" w:styleId="876">
    <w:name w:val="Heading 9"/>
    <w:basedOn w:val="1029"/>
    <w:next w:val="1029"/>
    <w:link w:val="8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7">
    <w:name w:val="Heading 9 Char"/>
    <w:basedOn w:val="1032"/>
    <w:link w:val="876"/>
    <w:uiPriority w:val="9"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basedOn w:val="1032"/>
    <w:link w:val="1054"/>
    <w:uiPriority w:val="10"/>
    <w:rPr>
      <w:sz w:val="48"/>
      <w:szCs w:val="48"/>
    </w:rPr>
  </w:style>
  <w:style w:type="paragraph" w:styleId="879">
    <w:name w:val="Subtitle"/>
    <w:basedOn w:val="1029"/>
    <w:next w:val="1029"/>
    <w:link w:val="880"/>
    <w:uiPriority w:val="11"/>
    <w:qFormat/>
    <w:pPr>
      <w:spacing w:before="200" w:after="200"/>
    </w:pPr>
    <w:rPr>
      <w:sz w:val="24"/>
      <w:szCs w:val="24"/>
    </w:rPr>
  </w:style>
  <w:style w:type="character" w:styleId="880">
    <w:name w:val="Subtitle Char"/>
    <w:basedOn w:val="1032"/>
    <w:link w:val="879"/>
    <w:uiPriority w:val="11"/>
    <w:rPr>
      <w:sz w:val="24"/>
      <w:szCs w:val="24"/>
    </w:rPr>
  </w:style>
  <w:style w:type="paragraph" w:styleId="881">
    <w:name w:val="Quote"/>
    <w:basedOn w:val="1029"/>
    <w:next w:val="1029"/>
    <w:link w:val="882"/>
    <w:uiPriority w:val="29"/>
    <w:qFormat/>
    <w:pPr>
      <w:ind w:left="720" w:right="720"/>
    </w:pPr>
    <w:rPr>
      <w:i/>
    </w:rPr>
  </w:style>
  <w:style w:type="character" w:styleId="882">
    <w:name w:val="Quote Char"/>
    <w:link w:val="881"/>
    <w:uiPriority w:val="29"/>
    <w:rPr>
      <w:i/>
    </w:rPr>
  </w:style>
  <w:style w:type="paragraph" w:styleId="883">
    <w:name w:val="Intense Quote"/>
    <w:basedOn w:val="1029"/>
    <w:next w:val="1029"/>
    <w:link w:val="8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4">
    <w:name w:val="Intense Quote Char"/>
    <w:link w:val="883"/>
    <w:uiPriority w:val="30"/>
    <w:rPr>
      <w:i/>
    </w:rPr>
  </w:style>
  <w:style w:type="character" w:styleId="885">
    <w:name w:val="Header Char"/>
    <w:basedOn w:val="1032"/>
    <w:link w:val="1042"/>
    <w:uiPriority w:val="99"/>
  </w:style>
  <w:style w:type="character" w:styleId="886">
    <w:name w:val="Footer Char"/>
    <w:basedOn w:val="1032"/>
    <w:link w:val="1044"/>
    <w:uiPriority w:val="99"/>
  </w:style>
  <w:style w:type="paragraph" w:styleId="887">
    <w:name w:val="Caption"/>
    <w:basedOn w:val="1029"/>
    <w:next w:val="1029"/>
    <w:link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8">
    <w:name w:val="Caption Char"/>
    <w:basedOn w:val="1032"/>
    <w:link w:val="887"/>
    <w:uiPriority w:val="35"/>
    <w:rPr>
      <w:b/>
      <w:bCs/>
      <w:color w:val="4f81bd" w:themeColor="accent1"/>
      <w:sz w:val="18"/>
      <w:szCs w:val="18"/>
    </w:rPr>
  </w:style>
  <w:style w:type="table" w:styleId="889">
    <w:name w:val="Table Grid Light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Plain Table 1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2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2">
    <w:name w:val="Plain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3">
    <w:name w:val="Plain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Plain Table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5">
    <w:name w:val="Grid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Grid Table 4 - Accent 1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8">
    <w:name w:val="Grid Table 4 - Accent 2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Grid Table 4 - Accent 3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0">
    <w:name w:val="Grid Table 4 - Accent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Grid Table 4 - Accent 5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Grid Table 4 - Accent 6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Grid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4">
    <w:name w:val="Grid Table 5 Dark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6">
    <w:name w:val="Grid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7">
    <w:name w:val="Grid Table 5 Dark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0">
    <w:name w:val="Grid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1">
    <w:name w:val="Grid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2">
    <w:name w:val="Grid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3">
    <w:name w:val="Grid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4">
    <w:name w:val="Grid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5">
    <w:name w:val="Grid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7">
    <w:name w:val="Grid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2">
    <w:name w:val="List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3">
    <w:name w:val="List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4">
    <w:name w:val="List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5">
    <w:name w:val="List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6">
    <w:name w:val="List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7">
    <w:name w:val="List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8">
    <w:name w:val="List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0">
    <w:name w:val="List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1">
    <w:name w:val="List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2">
    <w:name w:val="List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3">
    <w:name w:val="List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4">
    <w:name w:val="List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5">
    <w:name w:val="List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6">
    <w:name w:val="List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7">
    <w:name w:val="List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8">
    <w:name w:val="List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9">
    <w:name w:val="List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0">
    <w:name w:val="List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1">
    <w:name w:val="List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92">
    <w:name w:val="List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3">
    <w:name w:val="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5">
    <w:name w:val="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6">
    <w:name w:val="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7">
    <w:name w:val="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8">
    <w:name w:val="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9">
    <w:name w:val="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0">
    <w:name w:val="Bordered &amp; 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1">
    <w:name w:val="Bordered &amp; 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2">
    <w:name w:val="Bordered &amp; 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3">
    <w:name w:val="Bordered &amp; 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4">
    <w:name w:val="Bordered &amp; 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5">
    <w:name w:val="Bordered &amp; 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6">
    <w:name w:val="Bordered &amp; 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7">
    <w:name w:val="Bordered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8">
    <w:name w:val="Bordered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9">
    <w:name w:val="Bordered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0">
    <w:name w:val="Bordered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1">
    <w:name w:val="Bordered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2">
    <w:name w:val="Bordered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3">
    <w:name w:val="Bordered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4">
    <w:name w:val="Footnote Text Char"/>
    <w:link w:val="1074"/>
    <w:uiPriority w:val="99"/>
    <w:rPr>
      <w:sz w:val="18"/>
    </w:rPr>
  </w:style>
  <w:style w:type="paragraph" w:styleId="1015">
    <w:name w:val="endnote text"/>
    <w:basedOn w:val="1029"/>
    <w:link w:val="1016"/>
    <w:uiPriority w:val="99"/>
    <w:semiHidden/>
    <w:unhideWhenUsed/>
    <w:pPr>
      <w:spacing w:after="0" w:line="240" w:lineRule="auto"/>
    </w:pPr>
    <w:rPr>
      <w:sz w:val="20"/>
    </w:rPr>
  </w:style>
  <w:style w:type="character" w:styleId="1016">
    <w:name w:val="Endnote Text Char"/>
    <w:link w:val="1015"/>
    <w:uiPriority w:val="99"/>
    <w:rPr>
      <w:sz w:val="20"/>
    </w:rPr>
  </w:style>
  <w:style w:type="character" w:styleId="1017">
    <w:name w:val="endnote reference"/>
    <w:basedOn w:val="1032"/>
    <w:uiPriority w:val="99"/>
    <w:semiHidden/>
    <w:unhideWhenUsed/>
    <w:rPr>
      <w:vertAlign w:val="superscript"/>
    </w:rPr>
  </w:style>
  <w:style w:type="paragraph" w:styleId="1018">
    <w:name w:val="toc 1"/>
    <w:basedOn w:val="1029"/>
    <w:next w:val="1029"/>
    <w:uiPriority w:val="39"/>
    <w:unhideWhenUsed/>
    <w:pPr>
      <w:ind w:left="0" w:right="0" w:firstLine="0"/>
      <w:spacing w:after="57"/>
    </w:pPr>
  </w:style>
  <w:style w:type="paragraph" w:styleId="1019">
    <w:name w:val="toc 2"/>
    <w:basedOn w:val="1029"/>
    <w:next w:val="1029"/>
    <w:uiPriority w:val="39"/>
    <w:unhideWhenUsed/>
    <w:pPr>
      <w:ind w:left="283" w:right="0" w:firstLine="0"/>
      <w:spacing w:after="57"/>
    </w:pPr>
  </w:style>
  <w:style w:type="paragraph" w:styleId="1020">
    <w:name w:val="toc 3"/>
    <w:basedOn w:val="1029"/>
    <w:next w:val="1029"/>
    <w:uiPriority w:val="39"/>
    <w:unhideWhenUsed/>
    <w:pPr>
      <w:ind w:left="567" w:right="0" w:firstLine="0"/>
      <w:spacing w:after="57"/>
    </w:pPr>
  </w:style>
  <w:style w:type="paragraph" w:styleId="1021">
    <w:name w:val="toc 4"/>
    <w:basedOn w:val="1029"/>
    <w:next w:val="1029"/>
    <w:uiPriority w:val="39"/>
    <w:unhideWhenUsed/>
    <w:pPr>
      <w:ind w:left="850" w:right="0" w:firstLine="0"/>
      <w:spacing w:after="57"/>
    </w:pPr>
  </w:style>
  <w:style w:type="paragraph" w:styleId="1022">
    <w:name w:val="toc 5"/>
    <w:basedOn w:val="1029"/>
    <w:next w:val="1029"/>
    <w:uiPriority w:val="39"/>
    <w:unhideWhenUsed/>
    <w:pPr>
      <w:ind w:left="1134" w:right="0" w:firstLine="0"/>
      <w:spacing w:after="57"/>
    </w:pPr>
  </w:style>
  <w:style w:type="paragraph" w:styleId="1023">
    <w:name w:val="toc 6"/>
    <w:basedOn w:val="1029"/>
    <w:next w:val="1029"/>
    <w:uiPriority w:val="39"/>
    <w:unhideWhenUsed/>
    <w:pPr>
      <w:ind w:left="1417" w:right="0" w:firstLine="0"/>
      <w:spacing w:after="57"/>
    </w:pPr>
  </w:style>
  <w:style w:type="paragraph" w:styleId="1024">
    <w:name w:val="toc 7"/>
    <w:basedOn w:val="1029"/>
    <w:next w:val="1029"/>
    <w:uiPriority w:val="39"/>
    <w:unhideWhenUsed/>
    <w:pPr>
      <w:ind w:left="1701" w:right="0" w:firstLine="0"/>
      <w:spacing w:after="57"/>
    </w:pPr>
  </w:style>
  <w:style w:type="paragraph" w:styleId="1025">
    <w:name w:val="toc 8"/>
    <w:basedOn w:val="1029"/>
    <w:next w:val="1029"/>
    <w:uiPriority w:val="39"/>
    <w:unhideWhenUsed/>
    <w:pPr>
      <w:ind w:left="1984" w:right="0" w:firstLine="0"/>
      <w:spacing w:after="57"/>
    </w:pPr>
  </w:style>
  <w:style w:type="paragraph" w:styleId="1026">
    <w:name w:val="toc 9"/>
    <w:basedOn w:val="1029"/>
    <w:next w:val="1029"/>
    <w:uiPriority w:val="39"/>
    <w:unhideWhenUsed/>
    <w:pPr>
      <w:ind w:left="2268" w:right="0" w:firstLine="0"/>
      <w:spacing w:after="57"/>
    </w:pPr>
  </w:style>
  <w:style w:type="paragraph" w:styleId="1027">
    <w:name w:val="TOC Heading"/>
    <w:uiPriority w:val="39"/>
    <w:unhideWhenUsed/>
  </w:style>
  <w:style w:type="paragraph" w:styleId="1028">
    <w:name w:val="table of figures"/>
    <w:basedOn w:val="1029"/>
    <w:next w:val="1029"/>
    <w:uiPriority w:val="99"/>
    <w:unhideWhenUsed/>
    <w:pPr>
      <w:spacing w:after="0" w:afterAutospacing="0"/>
    </w:pPr>
  </w:style>
  <w:style w:type="paragraph" w:styleId="1029" w:default="1">
    <w:name w:val="Normal"/>
    <w:qFormat/>
    <w:rPr>
      <w:sz w:val="24"/>
      <w:szCs w:val="24"/>
    </w:rPr>
  </w:style>
  <w:style w:type="paragraph" w:styleId="1030">
    <w:name w:val="Heading 1"/>
    <w:basedOn w:val="1029"/>
    <w:next w:val="1029"/>
    <w:link w:val="1078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31">
    <w:name w:val="Heading 3"/>
    <w:basedOn w:val="1029"/>
    <w:next w:val="1029"/>
    <w:link w:val="1047"/>
    <w:qFormat/>
    <w:pPr>
      <w:keepNext/>
      <w:spacing w:before="240" w:after="60"/>
      <w:outlineLvl w:val="2"/>
    </w:pPr>
    <w:rPr>
      <w:rFonts w:ascii="Arial" w:hAnsi="Arial" w:eastAsia="Arial Unicode MS"/>
      <w:b/>
      <w:bCs/>
      <w:sz w:val="26"/>
      <w:szCs w:val="26"/>
    </w:rPr>
  </w:style>
  <w:style w:type="character" w:styleId="1032" w:default="1">
    <w:name w:val="Default Paragraph Font"/>
    <w:uiPriority w:val="1"/>
    <w:semiHidden/>
    <w:unhideWhenUsed/>
  </w:style>
  <w:style w:type="table" w:styleId="10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4" w:default="1">
    <w:name w:val="No List"/>
    <w:uiPriority w:val="99"/>
    <w:semiHidden/>
    <w:unhideWhenUsed/>
  </w:style>
  <w:style w:type="paragraph" w:styleId="1035" w:customStyle="1">
    <w:name w:val="ConsPlusNonformat"/>
    <w:rPr>
      <w:rFonts w:ascii="Courier New" w:hAnsi="Courier New" w:cs="Courier New"/>
    </w:rPr>
  </w:style>
  <w:style w:type="paragraph" w:styleId="1036" w:customStyle="1">
    <w:name w:val="ConsPlusTitle"/>
    <w:uiPriority w:val="99"/>
    <w:rPr>
      <w:b/>
      <w:bCs/>
      <w:sz w:val="28"/>
      <w:szCs w:val="28"/>
    </w:rPr>
  </w:style>
  <w:style w:type="paragraph" w:styleId="1037" w:customStyle="1">
    <w:name w:val="ConsPlusCell"/>
    <w:uiPriority w:val="99"/>
    <w:rPr>
      <w:rFonts w:ascii="Courier New" w:hAnsi="Courier New" w:cs="Courier New"/>
    </w:rPr>
  </w:style>
  <w:style w:type="paragraph" w:styleId="1038" w:customStyle="1">
    <w:name w:val="ConsPlusNormal"/>
    <w:link w:val="1062"/>
    <w:pPr>
      <w:widowControl w:val="off"/>
    </w:pPr>
    <w:rPr>
      <w:sz w:val="24"/>
      <w:szCs w:val="24"/>
    </w:rPr>
  </w:style>
  <w:style w:type="paragraph" w:styleId="1039">
    <w:name w:val="Body Text 3"/>
    <w:basedOn w:val="1029"/>
    <w:link w:val="1040"/>
    <w:pPr>
      <w:jc w:val="both"/>
    </w:pPr>
    <w:rPr>
      <w:szCs w:val="20"/>
    </w:rPr>
  </w:style>
  <w:style w:type="character" w:styleId="1040" w:customStyle="1">
    <w:name w:val="Основной текст 3 Знак"/>
    <w:link w:val="1039"/>
    <w:rPr>
      <w:sz w:val="24"/>
      <w:lang w:val="ru-RU" w:eastAsia="ru-RU" w:bidi="ar-SA"/>
    </w:rPr>
  </w:style>
  <w:style w:type="paragraph" w:styleId="1041" w:customStyle="1">
    <w:name w:val="Готовый"/>
    <w:basedOn w:val="1029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1042">
    <w:name w:val="Header"/>
    <w:basedOn w:val="1029"/>
    <w:link w:val="1043"/>
    <w:uiPriority w:val="99"/>
    <w:pPr>
      <w:tabs>
        <w:tab w:val="center" w:pos="4677" w:leader="none"/>
        <w:tab w:val="right" w:pos="9355" w:leader="none"/>
      </w:tabs>
    </w:pPr>
  </w:style>
  <w:style w:type="character" w:styleId="1043" w:customStyle="1">
    <w:name w:val="Верхний колонтитул Знак"/>
    <w:link w:val="1042"/>
    <w:uiPriority w:val="99"/>
    <w:rPr>
      <w:sz w:val="24"/>
      <w:szCs w:val="24"/>
    </w:rPr>
  </w:style>
  <w:style w:type="paragraph" w:styleId="1044">
    <w:name w:val="Footer"/>
    <w:basedOn w:val="1029"/>
    <w:link w:val="1045"/>
    <w:uiPriority w:val="99"/>
    <w:pPr>
      <w:tabs>
        <w:tab w:val="center" w:pos="4677" w:leader="none"/>
        <w:tab w:val="right" w:pos="9355" w:leader="none"/>
      </w:tabs>
    </w:pPr>
  </w:style>
  <w:style w:type="character" w:styleId="1045" w:customStyle="1">
    <w:name w:val="Нижний колонтитул Знак"/>
    <w:link w:val="1044"/>
    <w:uiPriority w:val="99"/>
    <w:rPr>
      <w:sz w:val="24"/>
      <w:szCs w:val="24"/>
    </w:rPr>
  </w:style>
  <w:style w:type="paragraph" w:styleId="1046">
    <w:name w:val="Balloon Text"/>
    <w:basedOn w:val="1029"/>
    <w:semiHidden/>
    <w:rPr>
      <w:rFonts w:ascii="Tahoma" w:hAnsi="Tahoma" w:cs="Tahoma"/>
      <w:sz w:val="16"/>
      <w:szCs w:val="16"/>
    </w:rPr>
  </w:style>
  <w:style w:type="character" w:styleId="1047" w:customStyle="1">
    <w:name w:val="Заголовок 3 Знак"/>
    <w:link w:val="1031"/>
    <w:rPr>
      <w:rFonts w:ascii="Arial" w:hAnsi="Arial" w:eastAsia="Arial Unicode MS" w:cs="Arial"/>
      <w:b/>
      <w:bCs/>
      <w:sz w:val="26"/>
      <w:szCs w:val="26"/>
    </w:rPr>
  </w:style>
  <w:style w:type="paragraph" w:styleId="1048" w:customStyle="1">
    <w:name w:val="Table Paragraph"/>
    <w:basedOn w:val="1029"/>
    <w:uiPriority w:val="1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paragraph" w:styleId="1049">
    <w:name w:val="Plain Text"/>
    <w:basedOn w:val="1029"/>
    <w:link w:val="1051"/>
    <w:uiPriority w:val="99"/>
    <w:pPr>
      <w:jc w:val="both"/>
    </w:pPr>
    <w:rPr>
      <w:rFonts w:ascii="Courier New" w:hAnsi="Courier New"/>
      <w:sz w:val="20"/>
      <w:szCs w:val="20"/>
    </w:rPr>
  </w:style>
  <w:style w:type="character" w:styleId="1050" w:customStyle="1">
    <w:name w:val="Текст Знак"/>
    <w:rPr>
      <w:rFonts w:ascii="Courier New" w:hAnsi="Courier New" w:cs="Courier New"/>
    </w:rPr>
  </w:style>
  <w:style w:type="character" w:styleId="1051" w:customStyle="1">
    <w:name w:val="Текст Знак3"/>
    <w:link w:val="1049"/>
    <w:uiPriority w:val="99"/>
    <w:rPr>
      <w:rFonts w:ascii="Courier New" w:hAnsi="Courier New" w:cs="Courier New"/>
    </w:rPr>
  </w:style>
  <w:style w:type="paragraph" w:styleId="1052">
    <w:name w:val="Body Text Indent"/>
    <w:basedOn w:val="1029"/>
    <w:link w:val="1053"/>
    <w:pPr>
      <w:ind w:left="283"/>
      <w:spacing w:after="120"/>
    </w:pPr>
  </w:style>
  <w:style w:type="character" w:styleId="1053" w:customStyle="1">
    <w:name w:val="Основной текст с отступом Знак"/>
    <w:link w:val="1052"/>
    <w:rPr>
      <w:sz w:val="24"/>
      <w:szCs w:val="24"/>
    </w:rPr>
  </w:style>
  <w:style w:type="paragraph" w:styleId="1054">
    <w:name w:val="Title"/>
    <w:basedOn w:val="1029"/>
    <w:link w:val="1055"/>
    <w:qFormat/>
    <w:pPr>
      <w:jc w:val="center"/>
    </w:pPr>
    <w:rPr>
      <w:b/>
      <w:sz w:val="28"/>
      <w:szCs w:val="20"/>
    </w:rPr>
  </w:style>
  <w:style w:type="character" w:styleId="1055" w:customStyle="1">
    <w:name w:val="Заголовок Знак"/>
    <w:link w:val="1054"/>
    <w:rPr>
      <w:b/>
      <w:sz w:val="28"/>
    </w:rPr>
  </w:style>
  <w:style w:type="character" w:styleId="1056">
    <w:name w:val="page number"/>
  </w:style>
  <w:style w:type="table" w:styleId="1057">
    <w:name w:val="Table Grid"/>
    <w:basedOn w:val="103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8">
    <w:name w:val="List Paragraph"/>
    <w:basedOn w:val="102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59">
    <w:name w:val="Body Text Indent 2"/>
    <w:basedOn w:val="1029"/>
    <w:link w:val="1060"/>
    <w:pPr>
      <w:ind w:left="283"/>
      <w:jc w:val="both"/>
      <w:spacing w:after="120" w:line="480" w:lineRule="auto"/>
    </w:pPr>
  </w:style>
  <w:style w:type="character" w:styleId="1060" w:customStyle="1">
    <w:name w:val="Основной текст с отступом 2 Знак"/>
    <w:link w:val="1059"/>
    <w:rPr>
      <w:sz w:val="24"/>
      <w:szCs w:val="24"/>
    </w:rPr>
  </w:style>
  <w:style w:type="character" w:styleId="1061" w:customStyle="1">
    <w:name w:val="apple-converted-space"/>
  </w:style>
  <w:style w:type="character" w:styleId="1062" w:customStyle="1">
    <w:name w:val="ConsPlusNormal Знак"/>
    <w:link w:val="1038"/>
    <w:rPr>
      <w:sz w:val="24"/>
      <w:szCs w:val="24"/>
      <w:lang w:bidi="ar-SA"/>
    </w:rPr>
  </w:style>
  <w:style w:type="character" w:styleId="1063">
    <w:name w:val="Hyperlink"/>
    <w:unhideWhenUsed/>
    <w:rPr>
      <w:color w:val="0000ff"/>
      <w:u w:val="single"/>
    </w:rPr>
  </w:style>
  <w:style w:type="character" w:styleId="1064" w:customStyle="1">
    <w:name w:val="Font Style16"/>
    <w:rPr>
      <w:rFonts w:ascii="Times New Roman" w:hAnsi="Times New Roman" w:eastAsia="Times New Roman" w:cs="Times New Roman"/>
      <w:sz w:val="20"/>
      <w:szCs w:val="20"/>
    </w:rPr>
  </w:style>
  <w:style w:type="table" w:styleId="1065" w:customStyle="1">
    <w:name w:val="Сетка таблицы1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6" w:customStyle="1">
    <w:name w:val="OTR11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7" w:customStyle="1">
    <w:name w:val="OTR111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8">
    <w:name w:val="annotation reference"/>
    <w:rPr>
      <w:sz w:val="16"/>
      <w:szCs w:val="16"/>
    </w:rPr>
  </w:style>
  <w:style w:type="paragraph" w:styleId="1069">
    <w:name w:val="annotation text"/>
    <w:basedOn w:val="1029"/>
    <w:link w:val="1070"/>
    <w:rPr>
      <w:sz w:val="20"/>
      <w:szCs w:val="20"/>
    </w:rPr>
  </w:style>
  <w:style w:type="character" w:styleId="1070" w:customStyle="1">
    <w:name w:val="Текст примечания Знак"/>
    <w:basedOn w:val="1032"/>
    <w:link w:val="1069"/>
  </w:style>
  <w:style w:type="paragraph" w:styleId="1071">
    <w:name w:val="annotation subject"/>
    <w:basedOn w:val="1069"/>
    <w:next w:val="1069"/>
    <w:link w:val="1072"/>
    <w:rPr>
      <w:b/>
      <w:bCs/>
    </w:rPr>
  </w:style>
  <w:style w:type="character" w:styleId="1072" w:customStyle="1">
    <w:name w:val="Тема примечания Знак"/>
    <w:link w:val="1071"/>
    <w:rPr>
      <w:b/>
      <w:bCs/>
    </w:rPr>
  </w:style>
  <w:style w:type="paragraph" w:styleId="1073">
    <w:name w:val="Normal (Web)"/>
    <w:basedOn w:val="1029"/>
    <w:uiPriority w:val="99"/>
    <w:unhideWhenUsed/>
    <w:pPr>
      <w:spacing w:before="100" w:beforeAutospacing="1" w:after="100" w:afterAutospacing="1"/>
    </w:pPr>
  </w:style>
  <w:style w:type="paragraph" w:styleId="1074">
    <w:name w:val="footnote text"/>
    <w:basedOn w:val="1029"/>
    <w:link w:val="107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1075" w:customStyle="1">
    <w:name w:val="Текст сноски Знак"/>
    <w:link w:val="1074"/>
    <w:uiPriority w:val="99"/>
    <w:rPr>
      <w:rFonts w:ascii="Calibri" w:hAnsi="Calibri" w:eastAsia="Calibri"/>
      <w:lang w:eastAsia="en-US"/>
    </w:rPr>
  </w:style>
  <w:style w:type="character" w:styleId="1076">
    <w:name w:val="footnote reference"/>
    <w:uiPriority w:val="99"/>
    <w:unhideWhenUsed/>
    <w:rPr>
      <w:vertAlign w:val="superscript"/>
    </w:rPr>
  </w:style>
  <w:style w:type="paragraph" w:styleId="1077">
    <w:name w:val="Revision"/>
    <w:hidden/>
    <w:uiPriority w:val="99"/>
    <w:semiHidden/>
    <w:rPr>
      <w:sz w:val="24"/>
      <w:szCs w:val="24"/>
    </w:rPr>
  </w:style>
  <w:style w:type="character" w:styleId="1078" w:customStyle="1">
    <w:name w:val="Заголовок 1 Знак"/>
    <w:link w:val="103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79">
    <w:name w:val="Emphasis"/>
    <w:basedOn w:val="1032"/>
    <w:uiPriority w:val="20"/>
    <w:qFormat/>
    <w:rPr>
      <w:i/>
      <w:iCs/>
    </w:rPr>
  </w:style>
  <w:style w:type="character" w:styleId="1080" w:customStyle="1">
    <w:name w:val="wmi-callto"/>
    <w:basedOn w:val="1032"/>
  </w:style>
  <w:style w:type="paragraph" w:styleId="1081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table" w:styleId="1082" w:customStyle="1">
    <w:name w:val="Сетка таблицы2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3" w:customStyle="1">
    <w:name w:val="Сетка таблицы3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4" w:customStyle="1">
    <w:name w:val="Сетка таблицы4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5" w:customStyle="1">
    <w:name w:val="Сетка таблицы5"/>
    <w:basedOn w:val="1033"/>
    <w:next w:val="105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6" w:customStyle="1">
    <w:name w:val="Сетка таблицы6"/>
    <w:basedOn w:val="1033"/>
    <w:next w:val="105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7">
    <w:name w:val="Unresolved Mention"/>
    <w:basedOn w:val="1032"/>
    <w:uiPriority w:val="99"/>
    <w:semiHidden/>
    <w:unhideWhenUsed/>
    <w:rPr>
      <w:color w:val="605e5c"/>
      <w:shd w:val="clear" w:color="auto" w:fill="e1dfdd"/>
    </w:rPr>
  </w:style>
  <w:style w:type="table" w:styleId="1088" w:customStyle="1">
    <w:name w:val="Сетка таблицы7"/>
    <w:basedOn w:val="1033"/>
    <w:next w:val="105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9" w:customStyle="1">
    <w:name w:val="Сетка таблицы8"/>
    <w:basedOn w:val="1033"/>
    <w:next w:val="105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0">
    <w:name w:val="Body Text 2"/>
    <w:basedOn w:val="1029"/>
    <w:link w:val="1091"/>
    <w:uiPriority w:val="99"/>
    <w:pPr>
      <w:spacing w:after="120" w:line="480" w:lineRule="auto"/>
    </w:pPr>
    <w:rPr>
      <w:sz w:val="20"/>
      <w:szCs w:val="20"/>
    </w:rPr>
  </w:style>
  <w:style w:type="character" w:styleId="1091" w:customStyle="1">
    <w:name w:val="Основной текст 2 Знак"/>
    <w:basedOn w:val="1032"/>
    <w:link w:val="1090"/>
    <w:uiPriority w:val="99"/>
  </w:style>
  <w:style w:type="table" w:styleId="1092" w:customStyle="1">
    <w:name w:val="Сетка таблицы9"/>
    <w:basedOn w:val="1033"/>
    <w:next w:val="105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3" w:customStyle="1">
    <w:name w:val="Standard"/>
    <w:basedOn w:val="1029"/>
    <w:pPr>
      <w:widowControl w:val="off"/>
    </w:pPr>
    <w:rPr>
      <w:rFonts w:ascii="Liberation Serif" w:hAnsi="Liberation Serif" w:eastAsia="Liberation Serif" w:cs="Liberation Serif"/>
      <w:color w:val="000000"/>
      <w:szCs w:val="22"/>
    </w:rPr>
  </w:style>
  <w:style w:type="numbering" w:styleId="1094" w:customStyle="1">
    <w:name w:val="WWNum2"/>
    <w:basedOn w:val="1034"/>
    <w:pPr>
      <w:numPr>
        <w:ilvl w:val="0"/>
        <w:numId w:val="28"/>
      </w:numPr>
    </w:pPr>
  </w:style>
  <w:style w:type="character" w:styleId="1095">
    <w:name w:val="Strong"/>
    <w:basedOn w:val="1032"/>
    <w:uiPriority w:val="22"/>
    <w:qFormat/>
    <w:rPr>
      <w:b/>
      <w:bCs/>
    </w:rPr>
  </w:style>
  <w:style w:type="table" w:styleId="1096" w:customStyle="1">
    <w:name w:val="Сетка таблицы10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7" w:customStyle="1">
    <w:name w:val="Сетка таблицы11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8" w:customStyle="1">
    <w:name w:val="Сетка таблицы12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9" w:customStyle="1">
    <w:name w:val="Сетка таблицы13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0" w:customStyle="1">
    <w:name w:val="Сетка таблицы14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1" w:customStyle="1">
    <w:name w:val="Сетка таблицы15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2" w:customStyle="1">
    <w:name w:val="Сетка таблицы16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3" w:customStyle="1">
    <w:name w:val="Сетка таблицы17"/>
    <w:basedOn w:val="1033"/>
    <w:next w:val="1057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4" w:customStyle="1">
    <w:name w:val="Сетка таблицы18"/>
    <w:basedOn w:val="1033"/>
    <w:next w:val="1057"/>
    <w:qFormat/>
    <w:pPr>
      <w:jc w:val="both"/>
      <w:widowControl w:val="off"/>
    </w:pPr>
    <w:rPr>
      <w:rFonts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5" w:customStyle="1">
    <w:name w:val="Default"/>
    <w:rPr>
      <w:color w:val="000000"/>
      <w:sz w:val="24"/>
      <w:szCs w:val="24"/>
    </w:rPr>
  </w:style>
  <w:style w:type="paragraph" w:styleId="1106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10" w:afterAutospacing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8"/>
      <w:szCs w:val="18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07" w:customStyle="1">
    <w:name w:val="Заголовок №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8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Arial" w:hAnsi="Arial" w:eastAsia="Arial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08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10" w:afterAutospacing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8"/>
      <w:szCs w:val="18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09" w:customStyle="1">
    <w:name w:val="Заголовок №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c70c30"/>
      <w:spacing w:val="0"/>
      <w:position w:val="0"/>
      <w:sz w:val="28"/>
      <w:szCs w:val="28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10" w:customStyle="1">
    <w:name w:val="Основной текст (3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11" w:customStyle="1">
    <w:name w:val="Заголовок №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Arial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112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C61-D129-49C1-BAF3-313CE3A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ilyushina.a.yu</cp:lastModifiedBy>
  <cp:revision>90</cp:revision>
  <dcterms:created xsi:type="dcterms:W3CDTF">2024-06-27T15:20:00Z</dcterms:created>
  <dcterms:modified xsi:type="dcterms:W3CDTF">2026-07-02T17:00:29Z</dcterms:modified>
</cp:coreProperties>
</file>