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</w:r>
    </w:p>
    <w:p>
      <w:pPr>
        <w:pStyle w:val="Normal"/>
        <w:widowControl w:val="false"/>
        <w:jc w:val="center"/>
        <w:rPr>
          <w:rFonts w:ascii="PT Astra Serif;Times New Roman" w:hAnsi="PT Astra Serif;Times New Roman" w:cs="PT Astra Serif;Times New Roman"/>
        </w:rPr>
      </w:pPr>
      <w:r>
        <w:rPr>
          <w:rFonts w:cs="PT Astra Serif;Times New Roman" w:ascii="PT Astra Serif;Times New Roman" w:hAnsi="PT Astra Serif;Times New Roman"/>
        </w:rPr>
        <w:t>Описание объекта закупки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 w:val="false"/>
          <w:bCs w:val="false"/>
        </w:rPr>
        <w:t xml:space="preserve">1. Наименование объекта закупки: </w:t>
      </w:r>
      <w:r>
        <w:rPr>
          <w:rFonts w:cs="PT Astra Serif;Times New Roman" w:ascii="PT Astra Serif;Times New Roman" w:hAnsi="PT Astra Serif;Times New Roman"/>
          <w:b/>
          <w:bCs/>
        </w:rPr>
        <w:t>ВИЧ1/ВИЧ2 антигены/антитела ИВД, набор, иммунохроматографический анализ, экспресс-анализ</w:t>
      </w:r>
    </w:p>
    <w:p>
      <w:pPr>
        <w:pStyle w:val="Normal"/>
        <w:jc w:val="both"/>
        <w:rPr>
          <w:rFonts w:ascii="PT Astra Serif;Times New Roman" w:hAnsi="PT Astra Serif;Times New Roman" w:cs="PT Astra Serif;Times New Roman"/>
        </w:rPr>
      </w:pPr>
      <w:r>
        <w:rPr>
          <w:rFonts w:cs="PT Astra Serif;Times New Roman" w:ascii="PT Astra Serif;Times New Roman" w:hAnsi="PT Astra Serif;Times New Roman"/>
        </w:rPr>
        <w:t>2. Количество, код позиции,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14569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393"/>
        <w:gridCol w:w="1538"/>
        <w:gridCol w:w="1125"/>
        <w:gridCol w:w="4651"/>
        <w:gridCol w:w="6862"/>
      </w:tblGrid>
      <w:tr>
        <w:trPr/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rPr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Характеристика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6"/>
              <w:spacing w:before="0" w:after="0"/>
              <w:ind w:hanging="0" w:left="0" w:right="0"/>
              <w:rPr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Требуемое значение (или диапазон)</w:t>
            </w:r>
          </w:p>
        </w:tc>
      </w:tr>
      <w:tr>
        <w:trPr/>
        <w:tc>
          <w:tcPr>
            <w:tcW w:w="3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  <w:t>1</w:t>
            </w:r>
          </w:p>
        </w:tc>
        <w:tc>
          <w:tcPr>
            <w:tcW w:w="15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100" w:before="0" w:after="200"/>
              <w:jc w:val="both"/>
              <w:rPr>
                <w:b w:val="false"/>
                <w:bCs w:val="false"/>
              </w:rPr>
            </w:pPr>
            <w:r>
              <w:rPr>
                <w:rFonts w:cs="PT Astra Serif;Times New Roman" w:ascii="PT Astra Serif;Times New Roman" w:hAnsi="PT Astra Serif;Times New Roman"/>
                <w:b w:val="false"/>
                <w:bCs w:val="false"/>
              </w:rPr>
              <w:t>ВИЧ1/ВИЧ2 антигены/антитела ИВД, набор, иммунохроматографический анализ, экспресс-анализ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  <w:t>21.20.23.110-00010925</w:t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Назначение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Набор реагентов и сопутствующих материалов для качественного определения in vitro антител к вирусу иммунодефицита человека типов 1 и 2 (ВИЧ-1/ВИЧ-2) и антигена р24 ВИЧ-1 методом иммунохроматографического анализа. Предназначен для экспресс-диагностики в лабораториях или вблизи пациента.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Количество выполняемых тестов в упаковке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от ≥ 2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5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 xml:space="preserve"> до ≤ 30 штук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Применение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Для одноэтапного быстрого определения антител к ВИЧ-1, ВИЧ-2 и антигена р24 ВИЧ-1.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Биологический материал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Сыворотка, плазма или цельная (венозная или капиллярная) кровь человека.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Предел обнаружения антигена р24 ВИЧ-1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не более 2 МЕ/мл (или не более 2,5 МЕ/мл)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Диагностическая чувствительность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≥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99 %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Диагностическая специфика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≥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99 %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Время достижения результатов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от 15 до 30 минут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Количество исследуемого образца (крови/сыворотки)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не более 50 мкл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Состав набора (комплектация упаковки):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200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—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Тест-кассета (или тест-полоска)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Наличие, в количестве, соответствующем числу тестов в упаковке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—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Буферный раствор для анализа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Наличие, в объеме, достаточном для проведения заявленного количества тестов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—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Одноразовое устройство для отбора/переноса образца (пипетка или капилляр)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Наличие, в количестве, соответствующем числу тестов в упаковке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—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Скарификатор (ланцет)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Наличие, в количестве, соответствующем числу тестов в упаковке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strike w:val="false"/>
                <w:dstrike w:val="false"/>
                <w:u w:val="none"/>
                <w:effect w:val="none"/>
              </w:rPr>
            </w:pPr>
            <w:r>
              <w:rPr>
                <w:strike w:val="false"/>
                <w:dstrike w:val="false"/>
                <w:u w:val="none"/>
                <w:effect w:val="none"/>
              </w:rPr>
              <w:t xml:space="preserve">— </w:t>
            </w: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Дезинфицирующая салфетка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Наличие, в количестве, соответствующем числу тестов в упаковке</w:t>
            </w:r>
          </w:p>
        </w:tc>
      </w:tr>
      <w:tr>
        <w:trPr/>
        <w:tc>
          <w:tcPr>
            <w:tcW w:w="39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53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11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/>
            </w:r>
          </w:p>
        </w:tc>
        <w:tc>
          <w:tcPr>
            <w:tcW w:w="4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/>
            </w:pPr>
            <w:r>
              <w:rPr>
                <w:rStyle w:val="Strong"/>
                <w:rFonts w:ascii="Google Sans;Arial;sans-serif" w:hAnsi="Google Sans;Arial;sans-serif"/>
                <w:b/>
                <w:strike w:val="false"/>
                <w:dstrike w:val="false"/>
                <w:sz w:val="21"/>
                <w:u w:val="none"/>
                <w:effect w:val="none"/>
              </w:rPr>
              <w:t>Документация</w:t>
            </w:r>
          </w:p>
        </w:tc>
        <w:tc>
          <w:tcPr>
            <w:tcW w:w="6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spacing w:before="0" w:after="0"/>
              <w:ind w:hanging="0" w:left="0" w:right="0"/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</w:pPr>
            <w:r>
              <w:rPr>
                <w:rFonts w:ascii="Google Sans;Arial;sans-serif" w:hAnsi="Google Sans;Arial;sans-serif"/>
                <w:b w:val="false"/>
                <w:strike w:val="false"/>
                <w:dstrike w:val="false"/>
                <w:sz w:val="21"/>
                <w:u w:val="none"/>
                <w:effect w:val="none"/>
              </w:rPr>
              <w:t>Наличие действующего Регистрационного удостоверения Росздравнадзора РФ, инструкции по применению на русском языке.</w:t>
            </w:r>
          </w:p>
        </w:tc>
      </w:tr>
    </w:tbl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  <w:t>Требования к упаковке товара: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>Поставщик должен обеспечить упаковку Товар, способную предотвратить их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 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Товара. Вся упаковка должна иметь маркировку в соответствии с нормативной документацией на Товар. Упаковка и маркировка на упаковке, а также документация внутри и вне упаковки должны строго соответствовать специальным требованиям, установленным технической документацией на Товар.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  <w:t>Требования к отгрузке товара: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 xml:space="preserve">Доставка Товара до места доставки Товара производится силами и средствами Поставщика. 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/>
          <w:bCs/>
        </w:rPr>
      </w:pPr>
      <w:r>
        <w:rPr>
          <w:rFonts w:cs="PT Astra Serif;Times New Roman" w:ascii="PT Astra Serif;Times New Roman" w:hAnsi="PT Astra Serif;Times New Roman"/>
          <w:b/>
          <w:bCs/>
        </w:rPr>
        <w:t xml:space="preserve">Требования к качеству и безопасности товара: 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>Поставщик гарантирует качество и безопасность Товара в соответствии с действующими стандартами, утверждёнными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>Соответствие качества Товара должно быть подтверждено следующими документами в соответствии с законодательством Российской Федерации:</w:t>
      </w:r>
    </w:p>
    <w:p>
      <w:pPr>
        <w:pStyle w:val="Normal"/>
        <w:spacing w:lineRule="atLeast" w:line="100"/>
        <w:jc w:val="both"/>
        <w:rPr/>
      </w:pPr>
      <w:r>
        <w:rPr>
          <w:rFonts w:eastAsia="Calibri" w:cs="PT Astra Serif;Times New Roman" w:ascii="PT Astra Serif;Times New Roman" w:hAnsi="PT Astra Serif;Times New Roman"/>
          <w:color w:val="000000"/>
        </w:rPr>
        <w:t>–</w:t>
      </w:r>
      <w:r>
        <w:rPr>
          <w:rFonts w:eastAsia="PT Astra Serif;Times New Roman" w:cs="PT Astra Serif;Times New Roman" w:ascii="PT Astra Serif;Times New Roman" w:hAnsi="PT Astra Serif;Times New Roman"/>
          <w:color w:val="000000"/>
        </w:rPr>
        <w:t xml:space="preserve"> </w:t>
      </w:r>
      <w:r>
        <w:rPr>
          <w:rFonts w:eastAsia="Calibri" w:cs="PT Astra Serif;Times New Roman" w:ascii="PT Astra Serif;Times New Roman" w:hAnsi="PT Astra Serif;Times New Roman"/>
          <w:color w:val="000000"/>
        </w:rPr>
        <w:t>регистрационное удостоверение;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eastAsia="Calibri" w:cs="PT Astra Serif;Times New Roman"/>
          <w:color w:val="000000"/>
        </w:rPr>
      </w:pPr>
      <w:r>
        <w:rPr>
          <w:rFonts w:eastAsia="Calibri" w:cs="PT Astra Serif;Times New Roman" w:ascii="PT Astra Serif;Times New Roman" w:hAnsi="PT Astra Serif;Times New Roman"/>
          <w:color w:val="000000"/>
        </w:rPr>
        <w:t>- сертификат соответствия или декларация о соответствии.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>Все документы должны быть заверены надлежащим образом.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  <w:bCs/>
          <w:color w:val="000000"/>
        </w:rPr>
      </w:pPr>
      <w:r>
        <w:rPr>
          <w:rFonts w:cs="PT Astra Serif;Times New Roman" w:ascii="PT Astra Serif;Times New Roman" w:hAnsi="PT Astra Serif;Times New Roman"/>
          <w:bCs/>
          <w:color w:val="000000"/>
        </w:rPr>
        <w:t>Остаточный срок годности товара от общего срока его годности, установленного производителем, на момент его поставки должен составлять не менее 12 месяцев.</w:t>
      </w:r>
    </w:p>
    <w:p>
      <w:pPr>
        <w:pStyle w:val="Normal"/>
        <w:spacing w:lineRule="atLeast" w:line="100"/>
        <w:jc w:val="both"/>
        <w:rPr>
          <w:rFonts w:ascii="PT Astra Serif;Times New Roman" w:hAnsi="PT Astra Serif;Times New Roman" w:cs="PT Astra Serif;Times New Roman"/>
        </w:rPr>
      </w:pPr>
      <w:r>
        <w:rPr>
          <w:rFonts w:cs="PT Astra Serif;Times New Roman" w:ascii="PT Astra Serif;Times New Roman" w:hAnsi="PT Astra Serif;Times New Roman"/>
        </w:rPr>
        <w:t>Поставщик гарантирует возможность безопасного использования Товара по назначению в течение всего срока годности Товара.</w:t>
      </w:r>
    </w:p>
    <w:p>
      <w:pPr>
        <w:pStyle w:val="Normal"/>
        <w:spacing w:lineRule="atLeast" w:line="100" w:before="0" w:after="200"/>
        <w:jc w:val="both"/>
        <w:rPr>
          <w:rFonts w:ascii="PT Astra Serif;Times New Roman" w:hAnsi="PT Astra Serif;Times New Roman" w:cs="PT Astra Serif;Times New Roman"/>
          <w:color w:val="000000"/>
        </w:rPr>
      </w:pPr>
      <w:r>
        <w:rPr>
          <w:rFonts w:cs="PT Astra Serif;Times New Roman" w:ascii="PT Astra Serif;Times New Roman" w:hAnsi="PT Astra Serif;Times New Roman"/>
          <w:color w:val="000000"/>
        </w:rPr>
        <w:t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Все расходы, связанные с возвратом Товара ненадлежащего качества, осуществляются за счет Поставщика.</w:t>
      </w:r>
    </w:p>
    <w:sectPr>
      <w:type w:val="nextPage"/>
      <w:pgSz w:orient="landscape" w:w="16838" w:h="11906"/>
      <w:pgMar w:left="1134" w:right="1134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PT Astra Serif">
    <w:altName w:val="Times New Roman"/>
    <w:charset w:val="cc"/>
    <w:family w:val="roman"/>
    <w:pitch w:val="variable"/>
  </w:font>
  <w:font w:name="Google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3e0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basedOn w:val="user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484cb9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b220c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ru-RU" w:eastAsia="en-US" w:bidi="ar-SA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LibreOffice/25.2.7.2$Windows_X86_64 LibreOffice_project/5cbfd1ab6520636bb5f7b99185aa69bd7456825d</Application>
  <AppVersion>15.0000</AppVersion>
  <Pages>2</Pages>
  <Words>478</Words>
  <Characters>3485</Characters>
  <CharactersWithSpaces>3916</CharactersWithSpaces>
  <Paragraphs>55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2026-02-19T09:22:00Z</dcterms:created>
  <dc:creator/>
  <dc:description/>
  <dc:language>ru-RU</dc:language>
  <cp:lastModifiedBy/>
  <dcterms:modified xsi:type="dcterms:W3CDTF">2026-07-21T09:35:16Z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