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</w:t>
      </w:r>
      <w:r>
        <w:rPr>
          <w:rFonts w:ascii="Times New Roman" w:hAnsi="Times New Roman"/>
          <w:b w:val="1"/>
          <w:sz w:val="24"/>
        </w:rPr>
        <w:t xml:space="preserve">       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 xml:space="preserve">  РГМУ 32999</w:t>
      </w:r>
    </w:p>
    <w:p w14:paraId="02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услуги на проведение периодического, технического освидетельствования лифтов</w:t>
      </w:r>
    </w:p>
    <w:p w14:paraId="03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ИКЗ:</w:t>
      </w:r>
      <w:r>
        <w:rPr>
          <w:rFonts w:ascii="Times New Roman" w:hAnsi="Times New Roman"/>
          <w:b w:val="1"/>
          <w:sz w:val="24"/>
        </w:rPr>
        <w:t>261616303285061630100100130000000244</w:t>
      </w:r>
    </w:p>
    <w:p w14:paraId="04000000">
      <w:pPr>
        <w:rPr>
          <w:rFonts w:ascii="Times New Roman" w:hAnsi="Times New Roman"/>
          <w:b w:val="1"/>
          <w:sz w:val="28"/>
        </w:rPr>
      </w:pP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Ростов-на-Дону                                      </w:t>
      </w:r>
      <w:r>
        <w:rPr>
          <w:rFonts w:ascii="Times New Roman" w:hAnsi="Times New Roman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   «</w:t>
      </w:r>
      <w:r>
        <w:rPr>
          <w:rFonts w:ascii="Times New Roman" w:hAnsi="Times New Roman"/>
          <w:sz w:val="28"/>
        </w:rPr>
        <w:t>___» _____________ 2026</w:t>
      </w:r>
      <w:r>
        <w:rPr>
          <w:rFonts w:ascii="Times New Roman" w:hAnsi="Times New Roman"/>
          <w:sz w:val="28"/>
        </w:rPr>
        <w:t xml:space="preserve"> г.</w:t>
      </w:r>
    </w:p>
    <w:p w14:paraId="06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 (ФГБОУ ВО РостГМУ Минздрава России), именуемое в дальнейшем «Заказчик», в лице  </w:t>
      </w:r>
      <w:r>
        <w:rPr>
          <w:rFonts w:ascii="Times New Roman" w:hAnsi="Times New Roman"/>
          <w:sz w:val="28"/>
        </w:rPr>
        <w:t>и.о.</w:t>
      </w:r>
      <w:r>
        <w:rPr>
          <w:rFonts w:ascii="Times New Roman" w:hAnsi="Times New Roman"/>
          <w:sz w:val="28"/>
        </w:rPr>
        <w:t>проректора</w:t>
      </w:r>
      <w:r>
        <w:rPr>
          <w:rFonts w:ascii="Times New Roman" w:hAnsi="Times New Roman"/>
          <w:sz w:val="28"/>
        </w:rPr>
        <w:t xml:space="preserve"> по АХР </w:t>
      </w:r>
      <w:r>
        <w:rPr>
          <w:rFonts w:ascii="Times New Roman" w:hAnsi="Times New Roman"/>
          <w:sz w:val="28"/>
        </w:rPr>
        <w:t xml:space="preserve">Руруа </w:t>
      </w:r>
      <w:r>
        <w:rPr>
          <w:rFonts w:ascii="Times New Roman" w:hAnsi="Times New Roman"/>
          <w:sz w:val="28"/>
        </w:rPr>
        <w:t>Автандила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Авта</w:t>
      </w:r>
      <w:r>
        <w:rPr>
          <w:rFonts w:ascii="Times New Roman" w:hAnsi="Times New Roman"/>
          <w:sz w:val="28"/>
        </w:rPr>
        <w:t>ндиловича</w:t>
      </w:r>
      <w:r>
        <w:rPr>
          <w:rFonts w:ascii="Times New Roman" w:hAnsi="Times New Roman"/>
          <w:sz w:val="28"/>
        </w:rPr>
        <w:t xml:space="preserve">, действующего </w:t>
      </w:r>
      <w:r>
        <w:rPr>
          <w:rFonts w:ascii="Times New Roman" w:hAnsi="Times New Roman"/>
          <w:sz w:val="28"/>
        </w:rPr>
        <w:t>на основании  доверенности № 159 от 14.07.2026</w:t>
      </w:r>
      <w:r>
        <w:rPr>
          <w:rFonts w:ascii="Times New Roman" w:hAnsi="Times New Roman"/>
          <w:sz w:val="28"/>
        </w:rPr>
        <w:t xml:space="preserve"> г., с одной стороны,</w:t>
      </w:r>
      <w:r>
        <w:rPr>
          <w:rFonts w:ascii="Times New Roman" w:hAnsi="Times New Roman"/>
          <w:sz w:val="28"/>
        </w:rPr>
        <w:t xml:space="preserve">  и ______________________, именуемый в дальнейшем «Исполнитель», в лице __________________________, действующего на основании Устава, с другой стороны, вместе именуемые в дальнейшем </w:t>
      </w:r>
      <w:r>
        <w:rPr>
          <w:rFonts w:ascii="Times New Roman" w:hAnsi="Times New Roman"/>
          <w:sz w:val="28"/>
        </w:rPr>
        <w:t>«Стороны», в соответствии с п. 4</w:t>
      </w:r>
      <w:r>
        <w:rPr>
          <w:rFonts w:ascii="Times New Roman" w:hAnsi="Times New Roman"/>
          <w:sz w:val="28"/>
        </w:rPr>
        <w:t xml:space="preserve"> ч. 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ст. 93 Федерального закона от 5 апреля </w:t>
      </w:r>
      <w:r>
        <w:rPr>
          <w:rFonts w:ascii="Times New Roman" w:hAnsi="Times New Roman"/>
          <w:sz w:val="28"/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</w:t>
      </w:r>
      <w:r>
        <w:rPr>
          <w:rFonts w:ascii="Times New Roman" w:hAnsi="Times New Roman"/>
          <w:sz w:val="28"/>
        </w:rPr>
        <w:t xml:space="preserve">оящий контракт (далее -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) о нижеследующем:</w:t>
      </w:r>
    </w:p>
    <w:p w14:paraId="07000000">
      <w:pPr>
        <w:numPr>
          <w:ilvl w:val="0"/>
          <w:numId w:val="1"/>
        </w:num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Предмет </w:t>
      </w:r>
      <w:r>
        <w:rPr>
          <w:rFonts w:ascii="Times New Roman" w:hAnsi="Times New Roman"/>
          <w:b w:val="1"/>
          <w:sz w:val="28"/>
        </w:rPr>
        <w:t>контракт</w:t>
      </w:r>
      <w:r>
        <w:rPr>
          <w:rFonts w:ascii="Times New Roman" w:hAnsi="Times New Roman"/>
          <w:b w:val="1"/>
          <w:sz w:val="28"/>
        </w:rPr>
        <w:t>а</w:t>
      </w: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1.1. «Исполнитель» обязуется оказать услуги на проведение периодического, технического освидетельствования лифтов (далее - Услуги) в соответствии с требованиями Технического задания (Приложение №1 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у), которое является неотъемлемой частью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а,  а</w:t>
      </w:r>
      <w:r>
        <w:rPr>
          <w:rFonts w:ascii="Times New Roman" w:hAnsi="Times New Roman"/>
          <w:sz w:val="28"/>
        </w:rPr>
        <w:t xml:space="preserve"> «Заказчик» обязуется принять и оплатить оказанные Услуги.</w:t>
      </w: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1.</w:t>
      </w:r>
      <w:r>
        <w:rPr>
          <w:rFonts w:ascii="Times New Roman" w:hAnsi="Times New Roman"/>
          <w:sz w:val="28"/>
        </w:rPr>
        <w:t>2. Требования</w:t>
      </w:r>
      <w:r>
        <w:rPr>
          <w:rFonts w:ascii="Times New Roman" w:hAnsi="Times New Roman"/>
          <w:sz w:val="28"/>
        </w:rPr>
        <w:t xml:space="preserve"> к содержанию и объему Услуг, а также иные условия оказания Услуг «Исполнителем»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определены в Приложении № 1 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у.</w:t>
      </w: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Срок оказания Услуг «Исполнителем»: в течение 20 календарных дней с момента заключения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Место оказания Услуг: «Исполнитель» оказывает Услуги по месту нахождения «Заказчика» согласно (Приложение №1).                      </w:t>
      </w:r>
    </w:p>
    <w:p w14:paraId="0C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 ПРАВА И ОБЯЗАННОСТИ СТОРОН</w:t>
      </w: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«Заказчик» вправе: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2.1.2.  Требовать от «Исполнителя», надлежащего исполнения условий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2.1.3.  Проводить контроль качества и безопасности оказанных Услуг. </w:t>
      </w:r>
    </w:p>
    <w:p w14:paraId="1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2.1.4. Требовать от «Исполнителя» передачи недостающих или замены отчетных документов, материалов и иной документации, подтверждающих оказания Услуг.</w:t>
      </w:r>
    </w:p>
    <w:p w14:paraId="1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«Заказчик» обязуется:</w:t>
      </w:r>
    </w:p>
    <w:p w14:paraId="1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 Обеспечивать своевременную оплату Услуг в соответствии с условиями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1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 «Исполнитель» вправе:</w:t>
      </w:r>
    </w:p>
    <w:p w14:paraId="1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2.3.1. Требовать своевременной оплаты выполненных Услуг в соответствии с условиями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и Актом сдачи-приемки оказанных Услуг.</w:t>
      </w:r>
    </w:p>
    <w:p w14:paraId="15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2.4. «Исполнитель» обязуется:</w:t>
      </w:r>
    </w:p>
    <w:p w14:paraId="1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2.4.1. Оказать Услуги в соответствии с Техническим заданием (Приложение № 1 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у). </w:t>
      </w: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2.4.2. Своими силами и за свой счет устранять недостатки   допущенные по его вине.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2.4.3. Представлять по требованию «Заказчика» необходимую документацию, относящуюся к Услугам по настоящему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у, и создавать условия для проверки хода оказания Услуг.</w:t>
      </w:r>
    </w:p>
    <w:p w14:paraId="19000000">
      <w:pPr>
        <w:numPr>
          <w:ilvl w:val="0"/>
          <w:numId w:val="2"/>
        </w:num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ЦЕНА </w:t>
      </w:r>
      <w:r>
        <w:rPr>
          <w:rFonts w:ascii="Times New Roman" w:hAnsi="Times New Roman"/>
          <w:b w:val="1"/>
          <w:sz w:val="28"/>
        </w:rPr>
        <w:t>КОНТРАКТ</w:t>
      </w:r>
      <w:r>
        <w:rPr>
          <w:rFonts w:ascii="Times New Roman" w:hAnsi="Times New Roman"/>
          <w:b w:val="1"/>
          <w:sz w:val="28"/>
        </w:rPr>
        <w:t>А И ПОРЯДОК РАСЧЕТОВ</w:t>
      </w:r>
    </w:p>
    <w:p w14:paraId="1A000000">
      <w:pPr>
        <w:pStyle w:val="Style_1"/>
        <w:numPr>
          <w:ilvl w:val="1"/>
          <w:numId w:val="3"/>
        </w:numPr>
        <w:spacing w:after="0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Источник финансирования: </w:t>
      </w:r>
      <w:r>
        <w:rPr>
          <w:rFonts w:ascii="Times New Roman" w:hAnsi="Times New Roman"/>
          <w:b w:val="1"/>
          <w:sz w:val="28"/>
        </w:rPr>
        <w:t>средства бюджетного учреждения.</w:t>
      </w:r>
    </w:p>
    <w:p w14:paraId="1B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составляет: </w:t>
      </w:r>
      <w:r>
        <w:rPr>
          <w:rFonts w:ascii="Times New Roman" w:hAnsi="Times New Roman"/>
          <w:sz w:val="28"/>
        </w:rPr>
        <w:t>__________________________________</w:t>
      </w:r>
    </w:p>
    <w:p w14:paraId="1C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Цена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включает в себя стоимость Услуг, а также все расходы, связанные с исполнением обязательств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у, уплату налогов, пошлин, сборов и других обязательных платежей, которые «Исполнитель» должен выплатить в связи с выполнением обязательств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 в соответствии с законодательством Российской Федерации.</w:t>
      </w:r>
    </w:p>
    <w:p w14:paraId="1D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 Цена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является твердой, не может изменяться в ходе исполнения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а, за исключением случаев, предусмотренных законодательством Российской Федерации и установленных настоящим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ом. </w:t>
      </w:r>
    </w:p>
    <w:p w14:paraId="1E000000">
      <w:pPr>
        <w:spacing w:after="0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>3.5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 Цена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может быть снижена по соглашению сторон без изменения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 объема Услуг, качества оказываемых Услуг, указанных в Техническом задании (Приложение №1 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у), и иных условий исполнения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i w:val="1"/>
          <w:sz w:val="28"/>
        </w:rPr>
        <w:t>.</w:t>
      </w:r>
    </w:p>
    <w:p w14:paraId="1F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3.6. Цена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может быть изменена, если по предложению «Заказчика» увеличивается или уменьшается предусмотренный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 объем оказываемых Услуг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пропорционально дополнительному объему Услуг, исходя из установленной в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е цены единицы Услуги, но не более чем на десять процентов цены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а. При уменьшении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 объема Услуг «Стороны»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обязаны уменьшить цену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исходя из цены единицы Услуги.</w:t>
      </w:r>
    </w:p>
    <w:p w14:paraId="20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3.7. Оплата производится в рублях Российской Федерации. Оплата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у осуществляется по безналичному расчету, путем перечисления «Заказчиком» денежных средств на указанный в настоящем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е расчетный счет «Исполнителя». В случае изменения расчетного счета «Исполнитель» обязан в </w:t>
      </w:r>
      <w:r>
        <w:rPr>
          <w:rFonts w:ascii="Times New Roman" w:hAnsi="Times New Roman"/>
          <w:sz w:val="28"/>
        </w:rPr>
        <w:t xml:space="preserve">однодневный срок в письменной форме сообщить об этом «Заказчику», указав при этом новые реквизиты для оплаты оказанных Услуг. В противном случае все риски, связанные с перечислением денежных средств на указанный в настоящем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е </w:t>
      </w:r>
      <w:r>
        <w:rPr>
          <w:rFonts w:ascii="Times New Roman" w:hAnsi="Times New Roman"/>
          <w:sz w:val="28"/>
        </w:rPr>
        <w:t>счет «Исполнителя»,</w:t>
      </w:r>
      <w:r>
        <w:rPr>
          <w:rFonts w:ascii="Times New Roman" w:hAnsi="Times New Roman"/>
          <w:sz w:val="28"/>
        </w:rPr>
        <w:t xml:space="preserve"> несет «Исполнитель».</w:t>
      </w:r>
    </w:p>
    <w:p w14:paraId="21000000">
      <w:pPr>
        <w:spacing w:after="0"/>
        <w:ind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 xml:space="preserve">Оплата производится в течение </w:t>
      </w:r>
      <w:r>
        <w:rPr>
          <w:rFonts w:ascii="Times New Roman" w:hAnsi="Times New Roman"/>
          <w:sz w:val="28"/>
        </w:rPr>
        <w:t xml:space="preserve">7 </w:t>
      </w:r>
      <w:r>
        <w:rPr>
          <w:rFonts w:ascii="Times New Roman" w:hAnsi="Times New Roman"/>
          <w:i w:val="1"/>
          <w:sz w:val="28"/>
        </w:rPr>
        <w:t>(семи)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рабочих</w:t>
      </w:r>
      <w:r>
        <w:rPr>
          <w:rFonts w:ascii="Times New Roman" w:hAnsi="Times New Roman"/>
          <w:sz w:val="28"/>
        </w:rPr>
        <w:t xml:space="preserve"> дней с даты подписания «Заказчиком» Акта сдачи-приемки оказанных Услуг.</w:t>
      </w:r>
    </w:p>
    <w:p w14:paraId="2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Под датой оплаты понимается дата списания денежных средств с расчетного счета «Заказчика».</w:t>
      </w:r>
    </w:p>
    <w:p w14:paraId="23000000">
      <w:pPr>
        <w:pStyle w:val="Style_1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ПОРЯДОК ВЫПОЛНЕНИЯ, СДАЧИ И ПРИЕМКИ УСЛУГ</w:t>
      </w:r>
    </w:p>
    <w:p w14:paraId="2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 После завершения оказания Услуг,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исполнитель уведомляет Заказчика о факте завершения оказания Услуг и направляет в адрес Заказчика Акт оказанных услуг в двух экземплярах, а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z w:val="28"/>
        </w:rPr>
        <w:t xml:space="preserve"> Акт приемки ТРУ по форме ОКУД 0510452 (приказ Минфина от 15.04.2012 №61н).</w:t>
      </w:r>
    </w:p>
    <w:p w14:paraId="25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 xml:space="preserve">4.2. Приемка оказанных Услуг и оформление результатов приемки оказанных Услуг осуществляется в течение </w:t>
      </w: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sz w:val="28"/>
        </w:rPr>
        <w:t xml:space="preserve"> рабочих дней по окончании оказания Услуг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i w:val="1"/>
          <w:sz w:val="28"/>
        </w:rPr>
        <w:t>.</w:t>
      </w:r>
    </w:p>
    <w:p w14:paraId="2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При приемке оказанных Услуг Заказчик:</w:t>
      </w:r>
    </w:p>
    <w:p w14:paraId="2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осуществляет проверку результатов Услуг на соответствие их объема и качества требованиям Технического задания (Приложение №1 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у);</w:t>
      </w:r>
    </w:p>
    <w:p w14:paraId="2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проводит анализ отчетных документов и материалов, представленных Исполнителем на предмет соответствия их оформления требованиям законодательства Российской Федерации и условиям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а; </w:t>
      </w:r>
    </w:p>
    <w:p w14:paraId="2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 необходимости запрашивает от Исполнителя недостающие документы и материалы, а также получает разъяснения по представленным документам и материалам;</w:t>
      </w:r>
    </w:p>
    <w:p w14:paraId="2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 выявлении несоответствий или недостатков, препятствующих приемке оказанных Услуг, незамедлительно оформляет акт, в котором указывает недостатки и устанавливает сроки их устранения;</w:t>
      </w:r>
    </w:p>
    <w:p w14:paraId="2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д) осуществляет иные действия для всесторонней оценки соответствия оказанных Услуг условиям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и требованиям законодательства Российской Федерации. </w:t>
      </w:r>
    </w:p>
    <w:p w14:paraId="2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 Для проверки предоставленных Исполнителем результатов оказанных Услуг,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в части их соответствия условиям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Заказчик вправе провести экспертизу в порядке, предусмотренном действующим законодательством. Экспертиза может проводиться силами Заказчика или к ее проведению могут привлекаться эксперты, экспертные организации.</w:t>
      </w:r>
    </w:p>
    <w:p w14:paraId="2D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>4.5. Приемка оказанных Услуг осуществляется комиссией по приемке товаров, работ, услуг</w:t>
      </w:r>
      <w:r>
        <w:rPr>
          <w:rFonts w:ascii="Times New Roman" w:hAnsi="Times New Roman"/>
          <w:i w:val="1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2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4.6. По факту приемки оказанных Услуг Заказчик в течение 5 </w:t>
      </w:r>
      <w:r>
        <w:rPr>
          <w:rFonts w:ascii="Times New Roman" w:hAnsi="Times New Roman"/>
          <w:sz w:val="28"/>
        </w:rPr>
        <w:t xml:space="preserve">рабочих </w:t>
      </w:r>
      <w:r>
        <w:rPr>
          <w:rFonts w:ascii="Times New Roman" w:hAnsi="Times New Roman"/>
          <w:sz w:val="28"/>
        </w:rPr>
        <w:t xml:space="preserve">дней направляет Исполнителю один экземпляр подписанного сторонами Акта сдачи-приемки </w:t>
      </w:r>
      <w:r>
        <w:rPr>
          <w:rFonts w:ascii="Times New Roman" w:hAnsi="Times New Roman"/>
          <w:sz w:val="28"/>
        </w:rPr>
        <w:t>оказанных услуг или</w:t>
      </w:r>
      <w:r>
        <w:rPr>
          <w:rFonts w:ascii="Times New Roman" w:hAnsi="Times New Roman"/>
          <w:sz w:val="28"/>
        </w:rPr>
        <w:t xml:space="preserve"> в те же сроки направляет Исполнителю мотивированный отказ от подписания такого документа в письменной форме, в котором указываются недостатки и сроки их устранения. </w:t>
      </w:r>
    </w:p>
    <w:p w14:paraId="2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4.7. После устранения недостатков, послуживших основанием для отказа в подписании Акта сдачи-приемки оказанных услуг, Заказчик в порядке и сроки, предусмотренные пунктами 4.2, 4.3 и 4.6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а, принимает услуги, подписывает Акт сдачи-приемки оказанных услуг и направляет его Исполнителю </w:t>
      </w:r>
    </w:p>
    <w:p w14:paraId="3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4.8. Если Исполнитель в установленный срок не устранит недостатки, Заказчик вправе отказаться от исполнения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и предъявить Исполнителю требование о возмещении понесенных убытков, уплате неустойки и (или) о расторжении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3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5.  ОТВЕТСТВЕННОСТЬ СТОРОН</w:t>
      </w:r>
    </w:p>
    <w:p w14:paraId="3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За неисполнение или ненадлежащее исполнение условий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«Стороны» несут ответственность в соответствии с законодательством Российской Федерации.</w:t>
      </w:r>
    </w:p>
    <w:p w14:paraId="3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5.2.  В случае просрочки исполнения «Заказчиком»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а также в иных случаях неисполнения или ненадлежащего исполнения «Заказчиком»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ом, «Исполнитель» вправе потребовать уплаты неустоек (штрафов, пеней).</w:t>
      </w:r>
    </w:p>
    <w:p w14:paraId="3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5.3. Пеня начисляется за каждый день просрочки исполнения «Заказчиком» обязательства, предусмотренного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 За каждый факт неисполнения «Заказчиком»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ом, «Исполнитель» вправе взыскать с «Заказчика» штраф в размере 1000 рублей;</w:t>
      </w:r>
    </w:p>
    <w:p w14:paraId="3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5.5. Общая сумма штрафов за ненадлежащее исполнение «Заказчиком»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не может превышать цену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3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5.6. В случае просрочки исполнения «Исполнителем»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а также в иных случаях неисполнения или ненадлежащего исполнения «Исполнителем»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ом, «Заказчик» направляет «Исполнителю» требование об уплате неустоек (штрафов, пеней).</w:t>
      </w:r>
    </w:p>
    <w:p w14:paraId="3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5.7. Пеня начисляется за каждый день просрочки исполнения «Исполнителем» обязательства, предусмотренного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  и фактически исполненных «Исполнителем», за исключением случаев, если законодательством Российской Федерации установлен иной порядок начисления пени.</w:t>
      </w:r>
    </w:p>
    <w:p w14:paraId="3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5.8. За каждый факт неисполнения или ненадлежащего исполнения «Исполнителем»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«Исполнитель» выплачивает «Заказчику» штраф в размере 10 процентов цены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3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5.9. За каждый факт неисполнения или ненадлежащего исполнения «Исполнителем» обязательства, предусмотренного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которое не имеет стоимостного выражения, «Исполнитель» выплачивает «Заказчику» штраф в размере 1000 рублей. </w:t>
      </w:r>
    </w:p>
    <w:p w14:paraId="3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5.10. Общая сумма начисленных штрафов за неисполнение или ненадлежащее исполнение «Исполнителем»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не может превышать цену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3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5.11. «Исполнитель» не имеет права на получение с «Заказчика» предусмотренных ст. 317.1 ГК РФ процентов за пользование суммой отсрочки оплаты.</w:t>
      </w:r>
    </w:p>
    <w:p w14:paraId="3D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6. КАЧЕСТВО ОКАЗАННЫХ УСЛУГ И ГАРАНТИЙНЫЕ ОБЯЗАТЕЛЬСТВА</w:t>
      </w:r>
    </w:p>
    <w:p w14:paraId="3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6.1.» Исполнитель» гарантирует, что оказываемые Услуги соответствуют требованиям, установленным в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е, обязательным нормам и правилам, регулирующим данную деятельность, требованиям качества, безопасности жизни и здоровья, а также иным требованиям законодательства Российской Федерации, действующим на момент оказания Услуг. </w:t>
      </w:r>
    </w:p>
    <w:p w14:paraId="3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 Гарантийный срок на оказываемые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 Услуги составляет 12 месяцев с даты подписания «Сторонами» Акта сдачи-приемки оказанных Услуг.</w:t>
      </w:r>
    </w:p>
    <w:p w14:paraId="4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 гарантией понимается устранение «Исполнителем» своими силами и за свой счет допущенных по его вине недостатков, выявленных после сдачи-приемки оказанных Услуг.</w:t>
      </w:r>
    </w:p>
    <w:p w14:paraId="4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в период гарантийного срока обнаружатся недостатки, то «Исполнитель» (в случае, если не докажет отсутствие своей вины) обязан устранить их за свой счет в сроки, согласованные «Сторонами» и зафиксированные в акте с перечнем выявленных недостатков и сроком их устранения. Гарантийный срок в этом случае соответственно продлевается на период устранения недостатков. </w:t>
      </w:r>
    </w:p>
    <w:p w14:paraId="4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6.3. 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оказываемых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у (лицензирование, членство в саморегулируемых организациях, аккредитация и прочее), «Исполнитель»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 течение всего срока исполнения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 Указанные документы представляются «Исполнителем» по требованию «Заказчика».</w:t>
      </w:r>
    </w:p>
    <w:p w14:paraId="43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7. ПОРЯДОК РАЗРЕШЕНИЯ СПОРОВ</w:t>
      </w:r>
    </w:p>
    <w:p w14:paraId="4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7.1. Все споры и разногласия, которые могут возникнуть из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между «Сторонами», разрешаются путем переговоров.</w:t>
      </w:r>
    </w:p>
    <w:p w14:paraId="4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4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 Переписка «Сторон»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4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При не урегулировании «Сторонами» спора в досудебном порядке, спор передается на разрешении в Арбитражный суд Ростовской области.</w:t>
      </w:r>
    </w:p>
    <w:p w14:paraId="48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8. СРОК ДЕЙСТВИЯ, ИЗМЕНЕНИЕ И РАСТОРЖЕНИЕ </w:t>
      </w:r>
      <w:r>
        <w:rPr>
          <w:rFonts w:ascii="Times New Roman" w:hAnsi="Times New Roman"/>
          <w:b w:val="1"/>
          <w:sz w:val="28"/>
        </w:rPr>
        <w:t>КОНТРАКТ</w:t>
      </w:r>
      <w:r>
        <w:rPr>
          <w:rFonts w:ascii="Times New Roman" w:hAnsi="Times New Roman"/>
          <w:b w:val="1"/>
          <w:sz w:val="28"/>
        </w:rPr>
        <w:t>А</w:t>
      </w:r>
    </w:p>
    <w:p w14:paraId="4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 вступает в силу с момента подписания и </w:t>
      </w:r>
      <w:r>
        <w:rPr>
          <w:rFonts w:ascii="Times New Roman" w:hAnsi="Times New Roman"/>
          <w:sz w:val="28"/>
        </w:rPr>
        <w:t>де</w:t>
      </w:r>
      <w:r>
        <w:rPr>
          <w:rFonts w:ascii="Times New Roman" w:hAnsi="Times New Roman"/>
          <w:sz w:val="28"/>
        </w:rPr>
        <w:t xml:space="preserve">йствует до 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1.12.2026г.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Окончание срока действия Контракта влечет прекращение</w:t>
      </w:r>
      <w:r>
        <w:rPr>
          <w:rFonts w:ascii="Times New Roman" w:hAnsi="Times New Roman"/>
          <w:sz w:val="28"/>
        </w:rPr>
        <w:t xml:space="preserve"> обязательств сторон по Контракту с 01.12.2026г., за исключением обязательств по оплате, возникших на 30.11.2026г.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</w:t>
      </w:r>
    </w:p>
    <w:p w14:paraId="4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8.2. Настоящий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, может быть, расторгнут по решению суда, по соглашению «Сторон», либо в одностороннем порядке одной из «Сторон» по основаниям, предусмотренным действующим законодательством РФ.</w:t>
      </w:r>
    </w:p>
    <w:p w14:paraId="4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8.3. </w:t>
      </w:r>
      <w:r>
        <w:rPr>
          <w:rFonts w:ascii="Times New Roman" w:hAnsi="Times New Roman"/>
          <w:sz w:val="28"/>
        </w:rPr>
        <w:t xml:space="preserve">Все изменения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должны быть совершены в письменном виде и оформлены дополнительными соглашениями 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у.</w:t>
      </w:r>
    </w:p>
    <w:p w14:paraId="4C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9. ПРОЧИЕ УСЛОВИЯ</w:t>
      </w:r>
    </w:p>
    <w:p w14:paraId="4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Настоящий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 составлен в 2 (двух) экземплярах, один из которых находится у «Исполнителя», другой – у «Заказчика».</w:t>
      </w:r>
    </w:p>
    <w:p w14:paraId="4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9.2. «Стороны»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законы,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4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(a)Федеральный закон № 273-ФЗ от 25 декабря 2008 г. «О противодействии коррупции».</w:t>
      </w:r>
    </w:p>
    <w:p w14:paraId="5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(в</w:t>
      </w:r>
      <w:r>
        <w:rPr>
          <w:rFonts w:ascii="Times New Roman" w:hAnsi="Times New Roman"/>
          <w:sz w:val="28"/>
        </w:rPr>
        <w:t>)Федераль</w:t>
      </w:r>
      <w:r>
        <w:rPr>
          <w:rFonts w:ascii="Times New Roman" w:hAnsi="Times New Roman"/>
          <w:sz w:val="28"/>
        </w:rPr>
        <w:t>ный закон от 7 августа 2001 г. №</w:t>
      </w:r>
      <w:r>
        <w:rPr>
          <w:rFonts w:ascii="Times New Roman" w:hAnsi="Times New Roman"/>
          <w:sz w:val="28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5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9.3. При исполнении своих обязательств «Стороны»,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5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«Стороны»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а, она обязуется в письменной форме уведомить об этих нарушениях другую «Сторону».</w:t>
      </w:r>
    </w:p>
    <w:p w14:paraId="5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настоящему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 прилагаются и являются его неотъемлемой частью:</w:t>
      </w:r>
    </w:p>
    <w:p w14:paraId="54000000">
      <w:pPr>
        <w:numPr>
          <w:ilvl w:val="0"/>
          <w:numId w:val="4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</w:t>
      </w:r>
      <w:r>
        <w:rPr>
          <w:rFonts w:ascii="Times New Roman" w:hAnsi="Times New Roman"/>
          <w:sz w:val="28"/>
        </w:rPr>
        <w:t>иложение №1 Техническое задание.</w:t>
      </w:r>
    </w:p>
    <w:p w14:paraId="55000000">
      <w:pPr>
        <w:numPr>
          <w:ilvl w:val="0"/>
          <w:numId w:val="4"/>
        </w:num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Приложение №2 Спецификация.           </w:t>
      </w:r>
    </w:p>
    <w:p w14:paraId="56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</w:t>
      </w:r>
      <w:r>
        <w:rPr>
          <w:rFonts w:ascii="Times New Roman" w:hAnsi="Times New Roman"/>
          <w:b w:val="1"/>
          <w:sz w:val="28"/>
        </w:rPr>
        <w:t xml:space="preserve">                          </w:t>
      </w:r>
      <w:r>
        <w:rPr>
          <w:rFonts w:ascii="Times New Roman" w:hAnsi="Times New Roman"/>
          <w:b w:val="1"/>
          <w:sz w:val="28"/>
        </w:rPr>
        <w:t>10. РЕКВИЗИТЫ СТОРОН</w:t>
      </w:r>
    </w:p>
    <w:tbl>
      <w:tblPr>
        <w:tblStyle w:val="Style_2"/>
        <w:tblW w:type="auto" w:w="0"/>
        <w:jc w:val="center"/>
        <w:tblLayout w:type="fixed"/>
      </w:tblPr>
      <w:tblGrid>
        <w:gridCol w:w="4857"/>
        <w:gridCol w:w="4713"/>
      </w:tblGrid>
      <w:tr>
        <w:tc>
          <w:tcPr>
            <w:tcW w:type="dxa" w:w="4857"/>
          </w:tcPr>
          <w:p w14:paraId="57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«Заказчик»</w:t>
            </w:r>
          </w:p>
        </w:tc>
        <w:tc>
          <w:tcPr>
            <w:tcW w:type="dxa" w:w="4713"/>
          </w:tcPr>
          <w:p w14:paraId="58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«Исполнитель»</w:t>
            </w:r>
          </w:p>
        </w:tc>
      </w:tr>
      <w:tr>
        <w:tc>
          <w:tcPr>
            <w:tcW w:type="dxa" w:w="4857"/>
          </w:tcPr>
          <w:p w14:paraId="5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РостГМУ Минздрава России</w:t>
            </w:r>
          </w:p>
          <w:p w14:paraId="5A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344022, Ростовская область, г. Ростов-на-Дону,</w:t>
            </w:r>
          </w:p>
          <w:p w14:paraId="5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пер. Нахичеванский, здание 29  </w:t>
            </w:r>
          </w:p>
          <w:p w14:paraId="5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 КПП 616301001</w:t>
            </w:r>
          </w:p>
          <w:p w14:paraId="5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УФК по Нижегородской области (ФГБОУ ВО</w:t>
            </w:r>
          </w:p>
          <w:p w14:paraId="5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РостГМУ Минздрава России </w:t>
            </w:r>
          </w:p>
          <w:p w14:paraId="5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л/с 20586У68420; л/</w:t>
            </w:r>
            <w:r>
              <w:rPr>
                <w:rFonts w:ascii="Times New Roman" w:hAnsi="Times New Roman"/>
              </w:rPr>
              <w:t>сч</w:t>
            </w:r>
            <w:r>
              <w:rPr>
                <w:rFonts w:ascii="Times New Roman" w:hAnsi="Times New Roman"/>
              </w:rPr>
              <w:t>. 22586У68420;</w:t>
            </w:r>
          </w:p>
          <w:p w14:paraId="6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л/с.21586У68420) ОКЦ №1 ВВГУ </w:t>
            </w:r>
          </w:p>
          <w:p w14:paraId="6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Банка России// УФК по Нижегородской области,</w:t>
            </w:r>
          </w:p>
          <w:p w14:paraId="6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Нижний Новгород ЕКС (единый казначейский  </w:t>
            </w:r>
          </w:p>
          <w:p w14:paraId="6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 40102810745370000024</w:t>
            </w:r>
          </w:p>
          <w:p w14:paraId="6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14:paraId="6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 03214643000000013230</w:t>
            </w:r>
          </w:p>
          <w:p w14:paraId="6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1026103165736 от 11.11.2002 г.</w:t>
            </w:r>
          </w:p>
          <w:p w14:paraId="6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ОКПО: 01896857; ОКТМО: 60701000; </w:t>
            </w:r>
          </w:p>
          <w:p w14:paraId="6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ОКВЭД: 85.22; ОКОПФ: 20903; </w:t>
            </w:r>
            <w:r>
              <w:rPr>
                <w:rFonts w:ascii="Times New Roman" w:hAnsi="Times New Roman"/>
              </w:rPr>
              <w:t>ОКФС:  12</w:t>
            </w:r>
            <w:r>
              <w:rPr>
                <w:rFonts w:ascii="Times New Roman" w:hAnsi="Times New Roman"/>
              </w:rPr>
              <w:t xml:space="preserve">; </w:t>
            </w:r>
          </w:p>
          <w:p w14:paraId="6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ОКОГУ: 1320700</w:t>
            </w:r>
          </w:p>
          <w:p w14:paraId="6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13"/>
          </w:tcPr>
          <w:p w14:paraId="6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bookmarkStart w:id="2" w:name="OLE_LINK86"/>
            <w:bookmarkEnd w:id="2"/>
            <w:bookmarkStart w:id="3" w:name="OLE_LINK87"/>
            <w:bookmarkEnd w:id="3"/>
          </w:p>
        </w:tc>
      </w:tr>
      <w:tr>
        <w:trPr>
          <w:trHeight w:hRule="atLeast" w:val="1006"/>
        </w:trPr>
        <w:tc>
          <w:tcPr>
            <w:tcW w:type="dxa" w:w="4857"/>
          </w:tcPr>
          <w:p w14:paraId="6D000000">
            <w:pPr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И.о</w:t>
            </w:r>
            <w:r>
              <w:rPr>
                <w:rFonts w:ascii="Times New Roman" w:hAnsi="Times New Roman"/>
                <w:b w:val="1"/>
                <w:sz w:val="22"/>
              </w:rPr>
              <w:t>. п</w:t>
            </w:r>
            <w:r>
              <w:rPr>
                <w:rFonts w:ascii="Times New Roman" w:hAnsi="Times New Roman"/>
                <w:b w:val="1"/>
                <w:sz w:val="22"/>
              </w:rPr>
              <w:t>роректор</w:t>
            </w:r>
            <w:r>
              <w:rPr>
                <w:rFonts w:ascii="Times New Roman" w:hAnsi="Times New Roman"/>
                <w:b w:val="1"/>
                <w:sz w:val="22"/>
              </w:rPr>
              <w:t>а</w:t>
            </w:r>
            <w:r>
              <w:rPr>
                <w:rFonts w:ascii="Times New Roman" w:hAnsi="Times New Roman"/>
                <w:b w:val="1"/>
                <w:sz w:val="22"/>
              </w:rPr>
              <w:t xml:space="preserve"> по АХР </w:t>
            </w:r>
            <w:r>
              <w:rPr>
                <w:rFonts w:ascii="Times New Roman" w:hAnsi="Times New Roman"/>
                <w:b w:val="1"/>
                <w:sz w:val="22"/>
              </w:rPr>
              <w:t>ФГБОУ ВО РостГМУ Минздрава России</w:t>
            </w:r>
            <w:r>
              <w:rPr>
                <w:rFonts w:ascii="Times New Roman" w:hAnsi="Times New Roman"/>
                <w:b w:val="1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E000000">
            <w:pPr>
              <w:rPr>
                <w:rFonts w:ascii="Times New Roman" w:hAnsi="Times New Roman"/>
                <w:sz w:val="28"/>
              </w:rPr>
            </w:pPr>
          </w:p>
          <w:p w14:paraId="6F000000">
            <w:pPr>
              <w:rPr>
                <w:rFonts w:ascii="Times New Roman" w:hAnsi="Times New Roman"/>
                <w:sz w:val="28"/>
              </w:rPr>
            </w:pPr>
          </w:p>
          <w:p w14:paraId="70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___________________ </w:t>
            </w:r>
            <w:r>
              <w:rPr>
                <w:rFonts w:ascii="Times New Roman" w:hAnsi="Times New Roman"/>
                <w:b w:val="1"/>
                <w:sz w:val="24"/>
              </w:rPr>
              <w:t>А.А.Руруа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  <w:p w14:paraId="71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э.ц.п.</w:t>
            </w:r>
          </w:p>
        </w:tc>
        <w:tc>
          <w:tcPr>
            <w:tcW w:type="dxa" w:w="4713"/>
          </w:tcPr>
          <w:p w14:paraId="72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</w:t>
            </w:r>
          </w:p>
          <w:p w14:paraId="7300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7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</w:p>
    <w:p w14:paraId="75000000">
      <w:pPr>
        <w:rPr>
          <w:rFonts w:ascii="Times New Roman" w:hAnsi="Times New Roman"/>
          <w:sz w:val="28"/>
        </w:rPr>
      </w:pPr>
    </w:p>
    <w:p w14:paraId="76000000">
      <w:pPr>
        <w:ind/>
        <w:jc w:val="right"/>
        <w:rPr>
          <w:rFonts w:ascii="Times New Roman" w:hAnsi="Times New Roman"/>
          <w:sz w:val="28"/>
        </w:rPr>
      </w:pPr>
    </w:p>
    <w:p w14:paraId="77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</w:t>
      </w:r>
    </w:p>
    <w:p w14:paraId="78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 №РГМУ 32999</w:t>
      </w:r>
    </w:p>
    <w:p w14:paraId="79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«___» ____________ 2026</w:t>
      </w:r>
      <w:r>
        <w:rPr>
          <w:rFonts w:ascii="Times New Roman" w:hAnsi="Times New Roman"/>
          <w:sz w:val="28"/>
        </w:rPr>
        <w:t xml:space="preserve"> г.</w:t>
      </w:r>
    </w:p>
    <w:p w14:paraId="7A000000">
      <w:pPr>
        <w:rPr>
          <w:rFonts w:ascii="Times New Roman" w:hAnsi="Times New Roman"/>
          <w:b w:val="1"/>
          <w:sz w:val="28"/>
        </w:rPr>
      </w:pPr>
    </w:p>
    <w:p w14:paraId="7B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Техническое задание</w:t>
      </w:r>
    </w:p>
    <w:p w14:paraId="7C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</w:rPr>
        <w:t>Проведение периодического технического освидетельствования лифтов</w:t>
      </w:r>
    </w:p>
    <w:tbl>
      <w:tblPr>
        <w:tblStyle w:val="Style_3"/>
        <w:tblW w:type="auto" w:w="0"/>
        <w:tblLayout w:type="fixed"/>
      </w:tblPr>
      <w:tblGrid>
        <w:gridCol w:w="3632"/>
        <w:gridCol w:w="2405"/>
        <w:gridCol w:w="1805"/>
      </w:tblGrid>
      <w:tr>
        <w:tc>
          <w:tcPr>
            <w:tcW w:type="dxa" w:w="3632"/>
          </w:tcPr>
          <w:p w14:paraId="7D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Местонахождение объекта</w:t>
            </w:r>
          </w:p>
        </w:tc>
        <w:tc>
          <w:tcPr>
            <w:tcW w:type="dxa" w:w="2405"/>
          </w:tcPr>
          <w:p w14:paraId="7E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Обозначение типа оборудования</w:t>
            </w:r>
          </w:p>
        </w:tc>
        <w:tc>
          <w:tcPr>
            <w:tcW w:type="dxa" w:w="1805"/>
          </w:tcPr>
          <w:p w14:paraId="7F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Заводской</w:t>
            </w:r>
          </w:p>
          <w:p w14:paraId="80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номер</w:t>
            </w:r>
          </w:p>
        </w:tc>
      </w:tr>
      <w:tr>
        <w:trPr>
          <w:trHeight w:hRule="atLeast" w:val="505"/>
        </w:trPr>
        <w:tc>
          <w:tcPr>
            <w:tcW w:type="dxa" w:w="3632"/>
            <w:vMerge w:val="restart"/>
          </w:tcPr>
          <w:p w14:paraId="81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Здание Клинико-лечебного корпуса, расположенное по адресу: г.Ростов-на-Дону,           ул. Мечникова,    здание 43,  строение 2</w:t>
            </w:r>
          </w:p>
        </w:tc>
        <w:tc>
          <w:tcPr>
            <w:tcW w:type="dxa" w:w="2405"/>
            <w:vMerge w:val="restart"/>
          </w:tcPr>
          <w:p w14:paraId="82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Лифт, количество остановок-5, грузоподъемник 500 кг, скорость 0,5 м/с, высота подъема 12 м.</w:t>
            </w:r>
          </w:p>
        </w:tc>
        <w:tc>
          <w:tcPr>
            <w:tcW w:type="dxa" w:w="1805"/>
          </w:tcPr>
          <w:p w14:paraId="83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604361</w:t>
            </w:r>
          </w:p>
        </w:tc>
      </w:tr>
      <w:tr>
        <w:trPr>
          <w:trHeight w:hRule="atLeast" w:val="529"/>
        </w:trP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84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604360</w:t>
            </w:r>
          </w:p>
          <w:p w14:paraId="85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70"/>
        </w:trPr>
        <w:tc>
          <w:tcPr>
            <w:tcW w:type="dxa" w:w="3632"/>
          </w:tcPr>
          <w:p w14:paraId="86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Здание Кафедры и клиники нейрохирургии, клиника терапии, расположенное по адресу: г.Ростов-на-Дону, пер. Нахичеванский,     здание 38, строение 5</w:t>
            </w:r>
          </w:p>
        </w:tc>
        <w:tc>
          <w:tcPr>
            <w:tcW w:type="dxa" w:w="2405"/>
          </w:tcPr>
          <w:p w14:paraId="87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Лифт, количество остановок-3, грузоподъемник 630 кг, скорость 0,63 м/с, высота подъема 6 м.</w:t>
            </w:r>
          </w:p>
        </w:tc>
        <w:tc>
          <w:tcPr>
            <w:tcW w:type="dxa" w:w="1805"/>
          </w:tcPr>
          <w:p w14:paraId="88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602945</w:t>
            </w:r>
          </w:p>
        </w:tc>
      </w:tr>
      <w:tr>
        <w:tc>
          <w:tcPr>
            <w:tcW w:type="dxa" w:w="3632"/>
            <w:vMerge w:val="restart"/>
          </w:tcPr>
          <w:p w14:paraId="89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Здание Лечебно-диагностического корпуса, расположенное по адресу: г.Ростов-на-</w:t>
            </w:r>
            <w:r>
              <w:rPr>
                <w:rFonts w:ascii="Times New Roman" w:hAnsi="Times New Roman"/>
                <w:sz w:val="28"/>
              </w:rPr>
              <w:t xml:space="preserve">Дону,   </w:t>
            </w:r>
            <w:r>
              <w:rPr>
                <w:rFonts w:ascii="Times New Roman" w:hAnsi="Times New Roman"/>
                <w:sz w:val="28"/>
              </w:rPr>
              <w:t xml:space="preserve">                      пер. Нахичеванский, здание 38, строение 20 </w:t>
            </w:r>
          </w:p>
          <w:p w14:paraId="8A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405"/>
            <w:vMerge w:val="restart"/>
          </w:tcPr>
          <w:p w14:paraId="8B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Лифт, количество остановок-10, грузоподъемник 630 кг, скорость 1,0 м/с, высота подъема 29,7 м.</w:t>
            </w:r>
          </w:p>
        </w:tc>
        <w:tc>
          <w:tcPr>
            <w:tcW w:type="dxa" w:w="1805"/>
          </w:tcPr>
          <w:p w14:paraId="8C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217537</w:t>
            </w:r>
          </w:p>
        </w:tc>
      </w:tr>
      <w:t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8D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217538</w:t>
            </w:r>
          </w:p>
        </w:tc>
      </w:tr>
      <w:t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8E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236207</w:t>
            </w:r>
          </w:p>
        </w:tc>
      </w:tr>
      <w:t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8F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236206</w:t>
            </w:r>
          </w:p>
        </w:tc>
      </w:tr>
      <w:tr>
        <w:tc>
          <w:tcPr>
            <w:tcW w:type="dxa" w:w="3632"/>
          </w:tcPr>
          <w:p w14:paraId="90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Здание Клиники и кафедры факультетской хирургии, расположенное по адресу: г.Ростов-на-Дону, пер. Нахичеванский, </w:t>
            </w:r>
          </w:p>
          <w:p w14:paraId="91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здание 38, строение 3</w:t>
            </w:r>
          </w:p>
        </w:tc>
        <w:tc>
          <w:tcPr>
            <w:tcW w:type="dxa" w:w="2405"/>
          </w:tcPr>
          <w:p w14:paraId="92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Лифт, количество остановок-2, грузоподъемник 500 кг, скорость 10,5 м/с, высота подъема 9,6 м.</w:t>
            </w:r>
          </w:p>
        </w:tc>
        <w:tc>
          <w:tcPr>
            <w:tcW w:type="dxa" w:w="1805"/>
          </w:tcPr>
          <w:p w14:paraId="93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603379</w:t>
            </w:r>
          </w:p>
        </w:tc>
      </w:tr>
      <w:tr>
        <w:tc>
          <w:tcPr>
            <w:tcW w:type="dxa" w:w="3632"/>
          </w:tcPr>
          <w:p w14:paraId="94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Здание Клиники и кафедры госпитальной хирургии, расположенное по адресу: г.Ростов-на-Дону, пер. Нахичеванский, </w:t>
            </w:r>
          </w:p>
          <w:p w14:paraId="95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здание 38, строение 17 (отделение </w:t>
            </w:r>
          </w:p>
          <w:p w14:paraId="96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ортопедическое)</w:t>
            </w:r>
          </w:p>
        </w:tc>
        <w:tc>
          <w:tcPr>
            <w:tcW w:type="dxa" w:w="2405"/>
          </w:tcPr>
          <w:p w14:paraId="97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Лифт, количество остановок-2, грузоподъемник 500 кг, скорость 10,5 м/с, высота подъема 9,6 м.</w:t>
            </w:r>
          </w:p>
        </w:tc>
        <w:tc>
          <w:tcPr>
            <w:tcW w:type="dxa" w:w="1805"/>
          </w:tcPr>
          <w:p w14:paraId="98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603380</w:t>
            </w:r>
          </w:p>
        </w:tc>
      </w:tr>
      <w:tr>
        <w:trPr>
          <w:trHeight w:hRule="atLeast" w:val="1367"/>
        </w:trPr>
        <w:tc>
          <w:tcPr>
            <w:tcW w:type="dxa" w:w="3632"/>
          </w:tcPr>
          <w:p w14:paraId="99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Здание Клиники и кафедры госпитальной хирургии, расположенное по адресу: г.Ростов-на-Дону, пер. Нахичеванский, здание 38, строение 17 (отделение кардиологии)</w:t>
            </w:r>
          </w:p>
        </w:tc>
        <w:tc>
          <w:tcPr>
            <w:tcW w:type="dxa" w:w="2405"/>
          </w:tcPr>
          <w:p w14:paraId="9A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Лифт, количество остановок-3, грузоподъемник 500 кг, скорость 10,5 м/с, высота подъема 9,6 м.</w:t>
            </w:r>
          </w:p>
        </w:tc>
        <w:tc>
          <w:tcPr>
            <w:tcW w:type="dxa" w:w="1805"/>
          </w:tcPr>
          <w:p w14:paraId="9B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  <w:p w14:paraId="9C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  <w:p w14:paraId="9D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604359</w:t>
            </w:r>
          </w:p>
        </w:tc>
      </w:tr>
      <w:tr>
        <w:tc>
          <w:tcPr>
            <w:tcW w:type="dxa" w:w="3632"/>
            <w:vMerge w:val="restart"/>
          </w:tcPr>
          <w:p w14:paraId="9E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Здание Учебно-лабораторного корпуса, расположенное по адресу: г.Ростов-на-Дону, пер. Нахичеванский, здание 38, строение 11 </w:t>
            </w:r>
          </w:p>
          <w:p w14:paraId="9F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  <w:p w14:paraId="A0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  <w:p w14:paraId="A1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405"/>
            <w:vMerge w:val="restart"/>
          </w:tcPr>
          <w:p w14:paraId="A2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Лифт, количество остановок-10, грузоподъемник 400 кг, скорость 1,0 м/с, высота подъема 29,7 м.</w:t>
            </w:r>
          </w:p>
          <w:p w14:paraId="A3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  <w:p w14:paraId="A4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  <w:p w14:paraId="A5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  <w:p w14:paraId="A6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  <w:p w14:paraId="A7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  <w:p w14:paraId="A8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805"/>
          </w:tcPr>
          <w:p w14:paraId="A9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219369</w:t>
            </w:r>
          </w:p>
          <w:p w14:paraId="AA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AB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219370</w:t>
            </w:r>
          </w:p>
          <w:p w14:paraId="AC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AD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219371</w:t>
            </w:r>
          </w:p>
          <w:p w14:paraId="AE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AF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197636</w:t>
            </w:r>
          </w:p>
          <w:p w14:paraId="B0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237"/>
        </w:trP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B1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197634</w:t>
            </w:r>
          </w:p>
          <w:p w14:paraId="B2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B3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197635</w:t>
            </w:r>
          </w:p>
          <w:p w14:paraId="B4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632"/>
            <w:vMerge w:val="restart"/>
          </w:tcPr>
          <w:p w14:paraId="B5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Здание Подготовительного факультета, расположенное по адресу: г.Ростов-на-Дону, </w:t>
            </w:r>
          </w:p>
          <w:p w14:paraId="B6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пер. Нахичеванский, 29, </w:t>
            </w:r>
          </w:p>
          <w:p w14:paraId="B7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строение 5</w:t>
            </w:r>
          </w:p>
        </w:tc>
        <w:tc>
          <w:tcPr>
            <w:tcW w:type="dxa" w:w="2405"/>
            <w:vMerge w:val="restart"/>
          </w:tcPr>
          <w:p w14:paraId="B8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Лифт, количество остановок-9, грузоподъемность 500 кг, скорость 1,0 м/с, высота подъема 27,3 м.</w:t>
            </w:r>
          </w:p>
        </w:tc>
        <w:tc>
          <w:tcPr>
            <w:tcW w:type="dxa" w:w="1805"/>
          </w:tcPr>
          <w:p w14:paraId="B9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260267</w:t>
            </w:r>
          </w:p>
        </w:tc>
      </w:tr>
      <w:t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BA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260268</w:t>
            </w:r>
          </w:p>
        </w:tc>
      </w:tr>
      <w:t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vMerge w:val="restart"/>
          </w:tcPr>
          <w:p w14:paraId="BB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Лифт, количество остановок-9, грузоподъемность 630 кг, скорость 1,0 м/с, высота подъема 26,4 м.</w:t>
            </w:r>
          </w:p>
        </w:tc>
        <w:tc>
          <w:tcPr>
            <w:tcW w:type="dxa" w:w="1805"/>
          </w:tcPr>
          <w:p w14:paraId="BC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25164.24</w:t>
            </w:r>
          </w:p>
        </w:tc>
      </w:tr>
      <w:t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BD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17678.24</w:t>
            </w:r>
          </w:p>
        </w:tc>
      </w:tr>
      <w:tr>
        <w:tc>
          <w:tcPr>
            <w:tcW w:type="dxa" w:w="3632"/>
            <w:vMerge w:val="restart"/>
          </w:tcPr>
          <w:p w14:paraId="BE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Здание Общежития, расположенное по адресу: г.Ростов-на-Дону, пр. Ленина, здание 83б (общежитие № 5)</w:t>
            </w:r>
          </w:p>
        </w:tc>
        <w:tc>
          <w:tcPr>
            <w:tcW w:type="dxa" w:w="2405"/>
            <w:vMerge w:val="restart"/>
          </w:tcPr>
          <w:p w14:paraId="BF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Лифт, количество остановок-5, грузоподъемность 630 кг, скорость 1,0 м/с, высота подъема 20,15 м.</w:t>
            </w:r>
          </w:p>
        </w:tc>
        <w:tc>
          <w:tcPr>
            <w:tcW w:type="dxa" w:w="1805"/>
          </w:tcPr>
          <w:p w14:paraId="C0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319299</w:t>
            </w:r>
          </w:p>
        </w:tc>
      </w:tr>
      <w:tr>
        <w:tc>
          <w:tcPr>
            <w:tcW w:type="dxa" w:w="3632"/>
            <w:gridSpan w:val="1"/>
            <w:vMerge w:val="continue"/>
          </w:tcPr>
          <w:p/>
        </w:tc>
        <w:tc>
          <w:tcPr>
            <w:tcW w:type="dxa" w:w="2405"/>
            <w:gridSpan w:val="1"/>
            <w:vMerge w:val="continue"/>
          </w:tcPr>
          <w:p/>
        </w:tc>
        <w:tc>
          <w:tcPr>
            <w:tcW w:type="dxa" w:w="1805"/>
          </w:tcPr>
          <w:p w14:paraId="C1000000">
            <w:pPr>
              <w:spacing w:after="160" w:line="264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319300</w:t>
            </w:r>
          </w:p>
        </w:tc>
      </w:tr>
    </w:tbl>
    <w:p w14:paraId="C2000000">
      <w:pPr>
        <w:rPr>
          <w:rFonts w:ascii="Times New Roman" w:hAnsi="Times New Roman"/>
          <w:b w:val="1"/>
          <w:sz w:val="28"/>
        </w:rPr>
      </w:pPr>
    </w:p>
    <w:tbl>
      <w:tblPr>
        <w:tblStyle w:val="Style_2"/>
        <w:tblW w:type="auto" w:w="0"/>
        <w:jc w:val="center"/>
        <w:tblLayout w:type="fixed"/>
      </w:tblPr>
      <w:tblGrid>
        <w:gridCol w:w="4857"/>
        <w:gridCol w:w="4713"/>
      </w:tblGrid>
      <w:tr>
        <w:trPr>
          <w:trHeight w:hRule="atLeast" w:val="1897"/>
        </w:trPr>
        <w:tc>
          <w:tcPr>
            <w:tcW w:type="dxa" w:w="4857"/>
          </w:tcPr>
          <w:p w14:paraId="C3000000">
            <w:pPr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И.о</w:t>
            </w:r>
            <w:r>
              <w:rPr>
                <w:rFonts w:ascii="Times New Roman" w:hAnsi="Times New Roman"/>
                <w:b w:val="1"/>
                <w:sz w:val="22"/>
              </w:rPr>
              <w:t>. п</w:t>
            </w:r>
            <w:r>
              <w:rPr>
                <w:rFonts w:ascii="Times New Roman" w:hAnsi="Times New Roman"/>
                <w:b w:val="1"/>
                <w:sz w:val="22"/>
              </w:rPr>
              <w:t>роректор</w:t>
            </w:r>
            <w:r>
              <w:rPr>
                <w:rFonts w:ascii="Times New Roman" w:hAnsi="Times New Roman"/>
                <w:b w:val="1"/>
                <w:sz w:val="22"/>
              </w:rPr>
              <w:t>а</w:t>
            </w:r>
            <w:r>
              <w:rPr>
                <w:rFonts w:ascii="Times New Roman" w:hAnsi="Times New Roman"/>
                <w:b w:val="1"/>
                <w:sz w:val="22"/>
              </w:rPr>
              <w:t xml:space="preserve"> по АХР </w:t>
            </w:r>
            <w:r>
              <w:rPr>
                <w:rFonts w:ascii="Times New Roman" w:hAnsi="Times New Roman"/>
                <w:b w:val="1"/>
                <w:sz w:val="22"/>
              </w:rPr>
              <w:t>ФГБОУ ВО РостГМУ Минздрава России</w:t>
            </w:r>
            <w:r>
              <w:rPr>
                <w:rFonts w:ascii="Times New Roman" w:hAnsi="Times New Roman"/>
                <w:b w:val="1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C4000000">
            <w:pPr>
              <w:rPr>
                <w:rFonts w:ascii="Times New Roman" w:hAnsi="Times New Roman"/>
                <w:sz w:val="28"/>
              </w:rPr>
            </w:pPr>
          </w:p>
          <w:p w14:paraId="C5000000">
            <w:pPr>
              <w:rPr>
                <w:rFonts w:ascii="Times New Roman" w:hAnsi="Times New Roman"/>
                <w:sz w:val="28"/>
              </w:rPr>
            </w:pPr>
          </w:p>
          <w:p w14:paraId="C6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___________________ </w:t>
            </w:r>
            <w:r>
              <w:rPr>
                <w:rFonts w:ascii="Times New Roman" w:hAnsi="Times New Roman"/>
                <w:b w:val="1"/>
                <w:sz w:val="24"/>
              </w:rPr>
              <w:t>А.А.Руруа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  <w:p w14:paraId="C7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э.ц.п.</w:t>
            </w:r>
          </w:p>
        </w:tc>
        <w:tc>
          <w:tcPr>
            <w:tcW w:type="dxa" w:w="4713"/>
          </w:tcPr>
          <w:p w14:paraId="C8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</w:t>
            </w:r>
          </w:p>
        </w:tc>
      </w:tr>
    </w:tbl>
    <w:p w14:paraId="C9000000">
      <w:pPr>
        <w:rPr>
          <w:rFonts w:ascii="Times New Roman" w:hAnsi="Times New Roman"/>
          <w:sz w:val="28"/>
        </w:rPr>
      </w:pPr>
    </w:p>
    <w:p w14:paraId="CA000000">
      <w:pPr>
        <w:sectPr>
          <w:pgSz w:h="16837" w:orient="portrait" w:w="11905"/>
          <w:pgMar w:bottom="709" w:footer="720" w:gutter="0" w:header="720" w:left="993" w:right="706" w:top="568"/>
        </w:sectPr>
      </w:pPr>
    </w:p>
    <w:p w14:paraId="CB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№2</w:t>
      </w:r>
    </w:p>
    <w:p w14:paraId="CC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 №РГМУ 32999</w:t>
      </w:r>
    </w:p>
    <w:p w14:paraId="C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                      от «___» ____________ 2026</w:t>
      </w:r>
      <w:r>
        <w:rPr>
          <w:rFonts w:ascii="Times New Roman" w:hAnsi="Times New Roman"/>
          <w:sz w:val="28"/>
        </w:rPr>
        <w:t xml:space="preserve"> г.</w:t>
      </w:r>
    </w:p>
    <w:p w14:paraId="CE000000">
      <w:pPr>
        <w:rPr>
          <w:rFonts w:ascii="Times New Roman" w:hAnsi="Times New Roman"/>
          <w:sz w:val="28"/>
        </w:rPr>
      </w:pPr>
    </w:p>
    <w:p w14:paraId="C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Спецификация</w:t>
      </w:r>
    </w:p>
    <w:p w14:paraId="D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услуги на проведение периодического, технического освидетельствования лифтов</w:t>
      </w:r>
    </w:p>
    <w:tbl>
      <w:tblPr>
        <w:tblW w:type="auto" w:w="0"/>
        <w:tblInd w:type="dxa" w:w="7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590"/>
        <w:gridCol w:w="261"/>
        <w:gridCol w:w="7214"/>
        <w:gridCol w:w="1276"/>
        <w:gridCol w:w="709"/>
        <w:gridCol w:w="709"/>
        <w:gridCol w:w="992"/>
        <w:gridCol w:w="1559"/>
        <w:gridCol w:w="1417"/>
      </w:tblGrid>
      <w:tr>
        <w:trPr>
          <w:trHeight w:hRule="atLeast" w:val="528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747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D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ОКПД2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общ.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НДС на товар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Цена, руб., коп.</w:t>
            </w: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Сумма, руб., коп.</w:t>
            </w: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9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747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A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            Проведение периодического технического освидетельствования лифтов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B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</w:p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33.12.15.000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штука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0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1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85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76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E4000000">
      <w:pPr>
        <w:rPr>
          <w:rFonts w:ascii="Times New Roman" w:hAnsi="Times New Roman"/>
          <w:sz w:val="28"/>
        </w:rPr>
      </w:pPr>
    </w:p>
    <w:p w14:paraId="E5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Всего наименований: 1</w:t>
      </w:r>
      <w:r>
        <w:rPr>
          <w:rFonts w:ascii="Times New Roman" w:hAnsi="Times New Roman"/>
          <w:b w:val="1"/>
          <w:sz w:val="24"/>
        </w:rPr>
        <w:t>, на сумму:_____________________________________________________________</w:t>
      </w:r>
    </w:p>
    <w:p w14:paraId="E6000000">
      <w:pPr>
        <w:rPr>
          <w:rFonts w:ascii="Times New Roman" w:hAnsi="Times New Roman"/>
          <w:sz w:val="28"/>
        </w:rPr>
      </w:pPr>
    </w:p>
    <w:p w14:paraId="E7000000">
      <w:pPr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jc w:val="left"/>
        <w:tblInd w:type="dxa" w:w="0"/>
        <w:tblLayout w:type="fixed"/>
      </w:tblPr>
      <w:tblGrid>
        <w:gridCol w:w="4857"/>
        <w:gridCol w:w="4713"/>
      </w:tblGrid>
      <w:tr>
        <w:trPr>
          <w:trHeight w:hRule="atLeast" w:val="1897"/>
        </w:trPr>
        <w:tc>
          <w:tcPr>
            <w:tcW w:type="dxa" w:w="4857"/>
          </w:tcPr>
          <w:p w14:paraId="E8000000">
            <w:pPr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И.о</w:t>
            </w:r>
            <w:r>
              <w:rPr>
                <w:rFonts w:ascii="Times New Roman" w:hAnsi="Times New Roman"/>
                <w:b w:val="1"/>
                <w:sz w:val="22"/>
              </w:rPr>
              <w:t>. п</w:t>
            </w:r>
            <w:r>
              <w:rPr>
                <w:rFonts w:ascii="Times New Roman" w:hAnsi="Times New Roman"/>
                <w:b w:val="1"/>
                <w:sz w:val="22"/>
              </w:rPr>
              <w:t>роректор</w:t>
            </w:r>
            <w:r>
              <w:rPr>
                <w:rFonts w:ascii="Times New Roman" w:hAnsi="Times New Roman"/>
                <w:b w:val="1"/>
                <w:sz w:val="22"/>
              </w:rPr>
              <w:t>а</w:t>
            </w:r>
            <w:r>
              <w:rPr>
                <w:rFonts w:ascii="Times New Roman" w:hAnsi="Times New Roman"/>
                <w:b w:val="1"/>
                <w:sz w:val="22"/>
              </w:rPr>
              <w:t xml:space="preserve"> по АХР </w:t>
            </w:r>
            <w:r>
              <w:rPr>
                <w:rFonts w:ascii="Times New Roman" w:hAnsi="Times New Roman"/>
                <w:b w:val="1"/>
                <w:sz w:val="22"/>
              </w:rPr>
              <w:t>ФГБОУ ВО РостГМУ Минздрава России</w:t>
            </w:r>
            <w:r>
              <w:rPr>
                <w:rFonts w:ascii="Times New Roman" w:hAnsi="Times New Roman"/>
                <w:b w:val="1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E9000000">
            <w:pPr>
              <w:rPr>
                <w:rFonts w:ascii="Times New Roman" w:hAnsi="Times New Roman"/>
                <w:sz w:val="28"/>
              </w:rPr>
            </w:pPr>
          </w:p>
          <w:p w14:paraId="EA000000">
            <w:pPr>
              <w:rPr>
                <w:rFonts w:ascii="Times New Roman" w:hAnsi="Times New Roman"/>
                <w:sz w:val="28"/>
              </w:rPr>
            </w:pPr>
          </w:p>
          <w:p w14:paraId="EB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___________________ </w:t>
            </w:r>
            <w:r>
              <w:rPr>
                <w:rFonts w:ascii="Times New Roman" w:hAnsi="Times New Roman"/>
                <w:b w:val="1"/>
                <w:sz w:val="24"/>
              </w:rPr>
              <w:t>А.А.Руруа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  <w:p w14:paraId="EC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э.ц.п.</w:t>
            </w:r>
          </w:p>
        </w:tc>
        <w:tc>
          <w:tcPr>
            <w:tcW w:type="dxa" w:w="4713"/>
          </w:tcPr>
          <w:p w14:paraId="ED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</w:t>
            </w:r>
          </w:p>
        </w:tc>
      </w:tr>
    </w:tbl>
    <w:p w14:paraId="EE000000">
      <w:pPr>
        <w:rPr>
          <w:rFonts w:ascii="Times New Roman" w:hAnsi="Times New Roman"/>
          <w:sz w:val="28"/>
        </w:rPr>
      </w:pPr>
    </w:p>
    <w:sectPr>
      <w:type w:val="nextPage"/>
      <w:pgSz w:h="11908" w:orient="landscape" w:w="16848"/>
      <w:pgMar w:bottom="709" w:footer="720" w:gutter="0" w:header="720" w:left="992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3338"/>
      </w:pPr>
    </w:lvl>
    <w:lvl w:ilvl="1">
      <w:start w:val="1"/>
      <w:numFmt w:val="decimal"/>
      <w:lvlText w:val="%1.%2."/>
      <w:lvlJc w:val="left"/>
      <w:pPr>
        <w:ind w:hanging="405" w:left="405"/>
      </w:pPr>
      <w:rPr>
        <w:b w:val="0"/>
      </w:rPr>
    </w:lvl>
    <w:lvl w:ilvl="2">
      <w:start w:val="1"/>
      <w:numFmt w:val="decimal"/>
      <w:lvlText w:val="%1.%2.%3."/>
      <w:lvlJc w:val="left"/>
      <w:pPr>
        <w:ind w:hanging="720" w:left="3698"/>
      </w:pPr>
      <w:rPr>
        <w:b w:val="0"/>
      </w:rPr>
    </w:lvl>
    <w:lvl w:ilvl="3">
      <w:start w:val="1"/>
      <w:numFmt w:val="decimal"/>
      <w:lvlText w:val="%1.%2.%3.%4."/>
      <w:lvlJc w:val="left"/>
      <w:pPr>
        <w:ind w:hanging="720" w:left="3698"/>
      </w:pPr>
      <w:rPr>
        <w:b w:val="0"/>
      </w:rPr>
    </w:lvl>
    <w:lvl w:ilvl="4">
      <w:start w:val="1"/>
      <w:numFmt w:val="decimal"/>
      <w:lvlText w:val="%1.%2.%3.%4.%5."/>
      <w:lvlJc w:val="left"/>
      <w:pPr>
        <w:ind w:hanging="1080" w:left="4058"/>
      </w:pPr>
      <w:rPr>
        <w:b w:val="0"/>
      </w:rPr>
    </w:lvl>
    <w:lvl w:ilvl="5">
      <w:start w:val="1"/>
      <w:numFmt w:val="decimal"/>
      <w:lvlText w:val="%1.%2.%3.%4.%5.%6."/>
      <w:lvlJc w:val="left"/>
      <w:pPr>
        <w:ind w:hanging="1080" w:left="4058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hanging="1440" w:left="4418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hanging="1440" w:left="4418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hanging="1800" w:left="4778"/>
      </w:pPr>
      <w:rPr>
        <w:b w:val="0"/>
      </w:rPr>
    </w:lvl>
  </w:abstractNum>
  <w:abstractNum w:abstractNumId="1">
    <w:lvl w:ilvl="0">
      <w:start w:val="3"/>
      <w:numFmt w:val="decimal"/>
      <w:lvlText w:val="%1."/>
      <w:lvlJc w:val="left"/>
      <w:pPr>
        <w:ind w:hanging="360" w:left="720"/>
      </w:pPr>
      <w:rPr>
        <w:b w:val="1"/>
      </w:rPr>
    </w:lvl>
    <w:lvl w:ilvl="1">
      <w:start w:val="1"/>
      <w:numFmt w:val="decimal"/>
      <w:lvlText w:val="%1.%2."/>
      <w:lvlJc w:val="left"/>
      <w:pPr>
        <w:ind w:hanging="720" w:left="1430"/>
      </w:pPr>
      <w:rPr>
        <w:b w:val="0"/>
      </w:rPr>
    </w:lvl>
    <w:lvl w:ilvl="2">
      <w:start w:val="1"/>
      <w:numFmt w:val="decimal"/>
      <w:lvlText w:val="%1.%2.%3."/>
      <w:lvlJc w:val="left"/>
      <w:pPr>
        <w:ind w:hanging="720" w:left="1110"/>
      </w:pPr>
    </w:lvl>
    <w:lvl w:ilvl="3">
      <w:start w:val="1"/>
      <w:numFmt w:val="decimal"/>
      <w:lvlText w:val="%1.%2.%3.%4."/>
      <w:lvlJc w:val="left"/>
      <w:pPr>
        <w:ind w:hanging="1080" w:left="1485"/>
      </w:pPr>
    </w:lvl>
    <w:lvl w:ilvl="4">
      <w:start w:val="1"/>
      <w:numFmt w:val="decimal"/>
      <w:lvlText w:val="%1.%2.%3.%4.%5."/>
      <w:lvlJc w:val="left"/>
      <w:pPr>
        <w:ind w:hanging="1080" w:left="1500"/>
      </w:pPr>
    </w:lvl>
    <w:lvl w:ilvl="5">
      <w:start w:val="1"/>
      <w:numFmt w:val="decimal"/>
      <w:lvlText w:val="%1.%2.%3.%4.%5.%6."/>
      <w:lvlJc w:val="left"/>
      <w:pPr>
        <w:ind w:hanging="1440" w:left="1875"/>
      </w:pPr>
    </w:lvl>
    <w:lvl w:ilvl="6">
      <w:start w:val="1"/>
      <w:numFmt w:val="decimal"/>
      <w:lvlText w:val="%1.%2.%3.%4.%5.%6.%7."/>
      <w:lvlJc w:val="left"/>
      <w:pPr>
        <w:ind w:hanging="1800" w:left="2250"/>
      </w:pPr>
    </w:lvl>
    <w:lvl w:ilvl="7">
      <w:start w:val="1"/>
      <w:numFmt w:val="decimal"/>
      <w:lvlText w:val="%1.%2.%3.%4.%5.%6.%7.%8."/>
      <w:lvlJc w:val="left"/>
      <w:pPr>
        <w:ind w:hanging="1800" w:left="2265"/>
      </w:pPr>
    </w:lvl>
    <w:lvl w:ilvl="8">
      <w:start w:val="1"/>
      <w:numFmt w:val="decimal"/>
      <w:lvlText w:val="%1.%2.%3.%4.%5.%6.%7.%8.%9."/>
      <w:lvlJc w:val="left"/>
      <w:pPr>
        <w:ind w:hanging="2160" w:left="2640"/>
      </w:pPr>
    </w:lvl>
  </w:abstractNum>
  <w:abstractNum w:abstractNumId="2">
    <w:lvl w:ilvl="0">
      <w:start w:val="3"/>
      <w:numFmt w:val="decimal"/>
      <w:lvlText w:val="%1"/>
      <w:lvlJc w:val="left"/>
      <w:pPr>
        <w:ind w:hanging="375" w:left="375"/>
      </w:pPr>
      <w:rPr>
        <w:b w:val="0"/>
      </w:rPr>
    </w:lvl>
    <w:lvl w:ilvl="1">
      <w:start w:val="1"/>
      <w:numFmt w:val="decimal"/>
      <w:lvlText w:val="%1.%2"/>
      <w:lvlJc w:val="left"/>
      <w:pPr>
        <w:ind w:hanging="375" w:left="375"/>
      </w:pPr>
      <w:rPr>
        <w:b w:val="0"/>
      </w:rPr>
    </w:lvl>
    <w:lvl w:ilvl="2">
      <w:start w:val="1"/>
      <w:numFmt w:val="decimal"/>
      <w:lvlText w:val="%1.%2.%3"/>
      <w:lvlJc w:val="left"/>
      <w:pPr>
        <w:ind w:hanging="720" w:left="720"/>
      </w:pPr>
      <w:rPr>
        <w:b w:val="0"/>
      </w:rPr>
    </w:lvl>
    <w:lvl w:ilvl="3">
      <w:start w:val="1"/>
      <w:numFmt w:val="decimal"/>
      <w:lvlText w:val="%1.%2.%3.%4"/>
      <w:lvlJc w:val="left"/>
      <w:pPr>
        <w:ind w:hanging="1080" w:left="1080"/>
      </w:pPr>
      <w:rPr>
        <w:b w:val="0"/>
      </w:rPr>
    </w:lvl>
    <w:lvl w:ilvl="4">
      <w:start w:val="1"/>
      <w:numFmt w:val="decimal"/>
      <w:lvlText w:val="%1.%2.%3.%4.%5"/>
      <w:lvlJc w:val="left"/>
      <w:pPr>
        <w:ind w:hanging="1080" w:left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hanging="1440" w:left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hanging="1440" w:left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hanging="1800" w:left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hanging="2160" w:left="2160"/>
      </w:pPr>
      <w:rPr>
        <w:b w:val="0"/>
      </w:rPr>
    </w:lvl>
  </w:abstractNum>
  <w:abstractNum w:abstractNumId="3">
    <w:lvl w:ilvl="0">
      <w:start w:val="1"/>
      <w:numFmt w:val="bullet"/>
      <w:lvlText w:val=""/>
      <w:lvlJc w:val="left"/>
      <w:pPr>
        <w:ind w:hanging="360" w:left="142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8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" w:type="paragraph">
    <w:name w:val="List Paragraph"/>
    <w:basedOn w:val="Style_4"/>
    <w:link w:val="Style_1_ch"/>
    <w:pPr>
      <w:ind w:firstLine="0" w:left="720"/>
      <w:contextualSpacing w:val="1"/>
    </w:pPr>
  </w:style>
  <w:style w:styleId="Style_1_ch" w:type="character">
    <w:name w:val="List Paragraph"/>
    <w:basedOn w:val="Style_4_ch"/>
    <w:link w:val="Style_1"/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2026-08-10T06:49:33Z</dcterms:modified>
</cp:coreProperties>
</file>