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A5C2AB">
      <w:pPr>
        <w:pStyle w:val="3"/>
        <w:jc w:val="center"/>
        <w:rPr>
          <w:bCs w:val="0"/>
        </w:rPr>
      </w:pPr>
      <w:r>
        <w:rPr>
          <w:bCs w:val="0"/>
        </w:rPr>
        <w:t>Проект</w:t>
      </w:r>
    </w:p>
    <w:p w14:paraId="648C61E1">
      <w:pPr>
        <w:pStyle w:val="3"/>
        <w:jc w:val="center"/>
        <w:rPr>
          <w:color w:val="FFFFFF"/>
          <w:u w:val="single"/>
        </w:rPr>
      </w:pPr>
      <w:r>
        <w:rPr>
          <w:bCs w:val="0"/>
        </w:rPr>
        <w:t>Государственный контракт</w:t>
      </w:r>
      <w:r>
        <w:t xml:space="preserve"> </w:t>
      </w:r>
      <w:r>
        <w:rPr>
          <w:bCs w:val="0"/>
        </w:rPr>
        <w:t xml:space="preserve">№ </w:t>
      </w:r>
      <w:r>
        <w:rPr>
          <w:bCs w:val="0"/>
          <w:u w:val="single"/>
        </w:rPr>
        <w:t>________</w:t>
      </w:r>
    </w:p>
    <w:p w14:paraId="739FAD1C">
      <w:pPr>
        <w:jc w:val="center"/>
        <w:rPr>
          <w:b/>
          <w:bCs/>
        </w:rPr>
      </w:pPr>
      <w:r>
        <w:rPr>
          <w:b/>
          <w:bCs/>
        </w:rPr>
        <w:t>на поставку товара</w:t>
      </w:r>
    </w:p>
    <w:p w14:paraId="449DE69E">
      <w:pPr>
        <w:jc w:val="center"/>
        <w:rPr>
          <w:b/>
        </w:rPr>
      </w:pPr>
      <w:r>
        <w:rPr>
          <w:b/>
          <w:bCs/>
        </w:rPr>
        <w:t xml:space="preserve">ИКЗ </w:t>
      </w:r>
      <w:r>
        <w:rPr>
          <w:b/>
        </w:rPr>
        <w:t>________________________________</w:t>
      </w:r>
    </w:p>
    <w:p w14:paraId="6BBB96A1">
      <w:pPr>
        <w:rPr>
          <w:b/>
          <w:bCs/>
        </w:rPr>
      </w:pPr>
    </w:p>
    <w:tbl>
      <w:tblPr>
        <w:tblStyle w:val="5"/>
        <w:tblW w:w="0" w:type="auto"/>
        <w:tblInd w:w="108" w:type="dxa"/>
        <w:tblLayout w:type="autofit"/>
        <w:tblCellMar>
          <w:top w:w="0" w:type="dxa"/>
          <w:left w:w="108" w:type="dxa"/>
          <w:bottom w:w="0" w:type="dxa"/>
          <w:right w:w="108" w:type="dxa"/>
        </w:tblCellMar>
      </w:tblPr>
      <w:tblGrid>
        <w:gridCol w:w="4980"/>
        <w:gridCol w:w="4992"/>
      </w:tblGrid>
      <w:tr w14:paraId="2CB42849">
        <w:tblPrEx>
          <w:tblCellMar>
            <w:top w:w="0" w:type="dxa"/>
            <w:left w:w="108" w:type="dxa"/>
            <w:bottom w:w="0" w:type="dxa"/>
            <w:right w:w="108" w:type="dxa"/>
          </w:tblCellMar>
        </w:tblPrEx>
        <w:trPr>
          <w:trHeight w:val="343" w:hRule="atLeast"/>
        </w:trPr>
        <w:tc>
          <w:tcPr>
            <w:tcW w:w="4980" w:type="dxa"/>
          </w:tcPr>
          <w:p w14:paraId="68DE9AFA">
            <w:pPr>
              <w:rPr>
                <w:bCs/>
              </w:rPr>
            </w:pPr>
            <w:r>
              <w:rPr>
                <w:bCs/>
              </w:rPr>
              <w:t>г. Новосибирск</w:t>
            </w:r>
          </w:p>
        </w:tc>
        <w:tc>
          <w:tcPr>
            <w:tcW w:w="4992" w:type="dxa"/>
          </w:tcPr>
          <w:p w14:paraId="41E6A30F">
            <w:pPr>
              <w:jc w:val="right"/>
              <w:rPr>
                <w:bCs/>
              </w:rPr>
            </w:pPr>
            <w:r>
              <w:rPr>
                <w:shd w:val="clear" w:color="auto" w:fill="FFFFFF"/>
              </w:rPr>
              <w:t xml:space="preserve">«__» ___________ </w:t>
            </w:r>
            <w:r>
              <w:rPr>
                <w:bCs/>
              </w:rPr>
              <w:t>2026 г.</w:t>
            </w:r>
          </w:p>
        </w:tc>
      </w:tr>
    </w:tbl>
    <w:p w14:paraId="70EA5042">
      <w:pPr>
        <w:ind w:firstLine="709"/>
        <w:jc w:val="both"/>
      </w:pPr>
      <w:r>
        <w:t xml:space="preserve">федеральное казенное учреждение «Исправительная колония № 3 Главного управления Федеральной службы исполнения наказаний по Новосибирской области» (далее - ФКУ ИК-3 ГУФСИН России по Новосибирской области), выступающее от имени Российской Федерации, </w:t>
      </w:r>
    </w:p>
    <w:p w14:paraId="324DC351">
      <w:pPr>
        <w:jc w:val="both"/>
      </w:pPr>
      <w:r>
        <w:t>в целях обеспечения государственных нужд на 2026 год, именуемое в дальнейшем «Государственный заказчик», в лице _________________________, действующего                     на основании  ____________________ с одной стороны, и __________ в лице ___________ действующей на основании _________ от _______, именуемый в дальнейшем «Поставщик»,     с другой стороны, вместе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на основании итогового протокола закупочной сессии ЕАТ.РФ от</w:t>
      </w:r>
      <w:r>
        <w:rPr>
          <w:b/>
          <w:bCs/>
        </w:rPr>
        <w:t xml:space="preserve"> _______ </w:t>
      </w:r>
      <w:r>
        <w:rPr>
          <w:bCs/>
        </w:rPr>
        <w:t>№_________</w:t>
      </w:r>
      <w:r>
        <w:t>, заключили настоящий Государственный Контракт (далее – Контракт)                            о нижеследующем:</w:t>
      </w:r>
    </w:p>
    <w:p w14:paraId="759BCB99">
      <w:pPr>
        <w:numPr>
          <w:ilvl w:val="0"/>
          <w:numId w:val="1"/>
        </w:numPr>
        <w:jc w:val="center"/>
        <w:rPr>
          <w:b/>
          <w:bCs/>
        </w:rPr>
      </w:pPr>
      <w:r>
        <w:rPr>
          <w:b/>
          <w:bCs/>
        </w:rPr>
        <w:t>Предмет Контракта</w:t>
      </w:r>
    </w:p>
    <w:p w14:paraId="70D5E6CD">
      <w:pPr>
        <w:ind w:firstLine="709"/>
        <w:jc w:val="both"/>
        <w:rPr>
          <w:b/>
        </w:rPr>
      </w:pPr>
      <w:r>
        <w:t xml:space="preserve">1.1. Поставщик обязуется поставить Государственному заказчику </w:t>
      </w:r>
      <w:r>
        <w:rPr>
          <w:b/>
        </w:rPr>
        <w:t>песок для котельной</w:t>
      </w:r>
      <w:r>
        <w:t xml:space="preserve">(далее - товар) в количестве, по цене, адресу, предусмотренные ведомостью поставки (приложение № 1), а Государственный заказчик обязуется обеспечить приемку и оплату товара согласно условиям Контракта. </w:t>
      </w:r>
    </w:p>
    <w:p w14:paraId="2EDD69DE">
      <w:pPr>
        <w:ind w:firstLine="709"/>
        <w:jc w:val="both"/>
      </w:pPr>
      <w:r>
        <w:rPr>
          <w:b/>
        </w:rPr>
        <w:t xml:space="preserve">1.2. Место поставки: </w:t>
      </w:r>
      <w:r>
        <w:t>630097, г. Новосибирск, ул. Звездная, д. 34, ФКУ ИК-3 ГУФСИН России по Новосибирской области.</w:t>
      </w:r>
    </w:p>
    <w:p w14:paraId="49381D01">
      <w:pPr>
        <w:ind w:firstLine="709"/>
        <w:jc w:val="both"/>
      </w:pPr>
      <w:r>
        <w:t>1.3. Наименование страны происхождения товара: _________</w:t>
      </w:r>
    </w:p>
    <w:p w14:paraId="369293BA">
      <w:pPr>
        <w:pStyle w:val="57"/>
        <w:numPr>
          <w:ilvl w:val="0"/>
          <w:numId w:val="2"/>
        </w:numPr>
        <w:spacing w:line="230" w:lineRule="auto"/>
        <w:ind w:left="0"/>
        <w:jc w:val="center"/>
        <w:rPr>
          <w:b/>
        </w:rPr>
      </w:pPr>
      <w:r>
        <w:rPr>
          <w:b/>
        </w:rPr>
        <w:t>Права и обязанности Сторон</w:t>
      </w:r>
    </w:p>
    <w:p w14:paraId="02384EC8">
      <w:pPr>
        <w:spacing w:line="230" w:lineRule="auto"/>
        <w:ind w:firstLine="709"/>
        <w:jc w:val="both"/>
        <w:rPr>
          <w:b/>
          <w:u w:val="single"/>
        </w:rPr>
      </w:pPr>
      <w:r>
        <w:rPr>
          <w:b/>
          <w:u w:val="single"/>
        </w:rPr>
        <w:t>2.1. Государственный заказчик обязуется:</w:t>
      </w:r>
    </w:p>
    <w:p w14:paraId="67182D24">
      <w:pPr>
        <w:spacing w:line="230" w:lineRule="auto"/>
        <w:ind w:firstLine="709"/>
        <w:jc w:val="both"/>
      </w:pPr>
      <w:r>
        <w:t>2.1.1. Осуществлять контроль за исполнением Поставщиком условий Контракта в соответствии с законодательством Российской Федерации.</w:t>
      </w:r>
    </w:p>
    <w:p w14:paraId="10A2DE9C">
      <w:pPr>
        <w:spacing w:line="230" w:lineRule="auto"/>
        <w:ind w:firstLine="709"/>
        <w:jc w:val="both"/>
      </w:pPr>
      <w:r>
        <w:t>2.1.2. Обеспечить приемку результата поставки товара приемочной комиссией в соответствии с условиями раздела 5 Контракта.</w:t>
      </w:r>
    </w:p>
    <w:p w14:paraId="56A11683">
      <w:pPr>
        <w:spacing w:line="230" w:lineRule="auto"/>
        <w:ind w:firstLine="709"/>
        <w:jc w:val="both"/>
      </w:pPr>
      <w:r>
        <w:t>2.1.3. Обеспечить оплату товара в соответствии с условиями Контракта.</w:t>
      </w:r>
    </w:p>
    <w:p w14:paraId="058B8D2A">
      <w:pPr>
        <w:spacing w:line="230" w:lineRule="auto"/>
        <w:ind w:firstLine="709"/>
        <w:jc w:val="both"/>
      </w:pPr>
      <w: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выполненных по разработанной Государственным заказчиком форме «Акт приема-передачи товара» (Приложение № 2).</w:t>
      </w:r>
    </w:p>
    <w:p w14:paraId="7AFFE7A7">
      <w:pPr>
        <w:ind w:firstLine="709"/>
        <w:jc w:val="both"/>
      </w:pPr>
      <w: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02E4A3CE">
      <w:pPr>
        <w:spacing w:line="252" w:lineRule="auto"/>
        <w:ind w:firstLine="709"/>
        <w:jc w:val="both"/>
        <w:rPr>
          <w:bCs/>
        </w:rPr>
      </w:pPr>
      <w:r>
        <w:t>2.1.6. Уменьшить сумму, подлежащую уплате Государственным заказчиком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324E98E">
      <w:pPr>
        <w:spacing w:line="252" w:lineRule="auto"/>
        <w:ind w:firstLine="709"/>
        <w:jc w:val="both"/>
      </w:pPr>
      <w:r>
        <w:t>2.1.7. Выполнять иные обязанности, предусмотренные законодательством Российской Федерации и Контрактом.</w:t>
      </w:r>
    </w:p>
    <w:p w14:paraId="008F4C63">
      <w:pPr>
        <w:spacing w:line="252" w:lineRule="auto"/>
        <w:ind w:firstLine="709"/>
        <w:jc w:val="both"/>
        <w:rPr>
          <w:b/>
          <w:u w:val="single"/>
        </w:rPr>
      </w:pPr>
      <w:r>
        <w:rPr>
          <w:b/>
          <w:u w:val="single"/>
        </w:rPr>
        <w:t>2.2. Государственный заказчик имеет право:</w:t>
      </w:r>
    </w:p>
    <w:p w14:paraId="01FE420E">
      <w:pPr>
        <w:spacing w:line="252" w:lineRule="auto"/>
        <w:ind w:firstLine="709"/>
        <w:jc w:val="both"/>
        <w:rPr>
          <w:bCs/>
        </w:rPr>
      </w:pPr>
      <w:r>
        <w:rPr>
          <w:bCs/>
        </w:rPr>
        <w:t>2.2.1. Требовать от Поставщика, надлежащего исполнения обязательств, предусмотренных Контрактом.</w:t>
      </w:r>
    </w:p>
    <w:p w14:paraId="36778899">
      <w:pPr>
        <w:spacing w:line="252" w:lineRule="auto"/>
        <w:ind w:firstLine="709"/>
        <w:jc w:val="both"/>
        <w:rPr>
          <w:bCs/>
        </w:rPr>
      </w:pPr>
      <w:r>
        <w:rPr>
          <w:bCs/>
        </w:rPr>
        <w:t>2.2.2. Требовать от Поставщика своевременного устранения выявленных недостатков.</w:t>
      </w:r>
    </w:p>
    <w:p w14:paraId="240D3D43">
      <w:pPr>
        <w:spacing w:line="252" w:lineRule="auto"/>
        <w:ind w:firstLine="709"/>
        <w:jc w:val="both"/>
      </w:pPr>
      <w:r>
        <w:t>2.2.3. В соответствии с условиями Контракта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1B81E5FE">
      <w:pPr>
        <w:spacing w:line="252" w:lineRule="auto"/>
        <w:ind w:firstLine="709"/>
        <w:jc w:val="both"/>
      </w:pPr>
      <w:r>
        <w:t xml:space="preserve">2.2.4.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3788F546">
      <w:pPr>
        <w:spacing w:line="252" w:lineRule="auto"/>
        <w:ind w:firstLine="709"/>
        <w:jc w:val="both"/>
      </w:pPr>
      <w:r>
        <w:t xml:space="preserve">2.2.5. 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 </w:t>
      </w:r>
    </w:p>
    <w:p w14:paraId="6A9D6CF1">
      <w:pPr>
        <w:spacing w:line="252" w:lineRule="auto"/>
        <w:ind w:firstLine="709"/>
        <w:jc w:val="both"/>
        <w:rPr>
          <w:b/>
          <w:u w:val="single"/>
        </w:rPr>
      </w:pPr>
      <w:r>
        <w:rPr>
          <w:b/>
          <w:u w:val="single"/>
        </w:rPr>
        <w:t>2.3. Поставщик обязуется:</w:t>
      </w:r>
    </w:p>
    <w:p w14:paraId="3832A967">
      <w:pPr>
        <w:spacing w:line="252" w:lineRule="auto"/>
        <w:ind w:firstLine="709"/>
        <w:jc w:val="both"/>
      </w:pPr>
      <w:r>
        <w:t>2.3.1. Известить Государственного заказчика о готовности товара к поставке и о дате поставки.</w:t>
      </w:r>
    </w:p>
    <w:p w14:paraId="03D0878B">
      <w:pPr>
        <w:spacing w:line="252" w:lineRule="auto"/>
        <w:ind w:firstLine="709"/>
        <w:jc w:val="both"/>
        <w:rPr>
          <w:bCs/>
        </w:rPr>
      </w:pPr>
      <w:r>
        <w:rPr>
          <w:bCs/>
        </w:rPr>
        <w:t xml:space="preserve">2.3.2. Поставить товар в соответствии с условиями настоящего </w:t>
      </w:r>
      <w:r>
        <w:t>Контракта</w:t>
      </w:r>
      <w:r>
        <w:rPr>
          <w:bCs/>
        </w:rPr>
        <w:t>.</w:t>
      </w:r>
    </w:p>
    <w:p w14:paraId="72CFF332">
      <w:pPr>
        <w:spacing w:line="252" w:lineRule="auto"/>
        <w:ind w:firstLine="709"/>
        <w:jc w:val="both"/>
      </w:pPr>
      <w:r>
        <w:t>2.3.3.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0C4580A1">
      <w:pPr>
        <w:spacing w:line="252" w:lineRule="auto"/>
        <w:ind w:firstLine="709"/>
        <w:jc w:val="both"/>
      </w:pPr>
      <w:r>
        <w:t>2.3.4.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14439190">
      <w:pPr>
        <w:spacing w:line="252" w:lineRule="auto"/>
        <w:ind w:firstLine="709"/>
        <w:jc w:val="both"/>
      </w:pPr>
      <w:r>
        <w:t xml:space="preserve">2.3.5. Передать товар в комплекте с относящейся к нему документацией, перечисленной                        в пункте 4.4. Контракта. </w:t>
      </w:r>
    </w:p>
    <w:p w14:paraId="58C27E0A">
      <w:pPr>
        <w:spacing w:line="238" w:lineRule="auto"/>
        <w:ind w:firstLine="709"/>
        <w:jc w:val="both"/>
        <w:rPr>
          <w:bCs/>
        </w:rPr>
      </w:pPr>
      <w:r>
        <w:rPr>
          <w:bCs/>
        </w:rPr>
        <w:t>2.3.6. Устранить за свой счет недостатки и дефекты, выявленные при приемке товара, либо в течение гарантийного срока.</w:t>
      </w:r>
    </w:p>
    <w:p w14:paraId="2F169672">
      <w:pPr>
        <w:spacing w:line="238" w:lineRule="auto"/>
        <w:ind w:firstLine="709"/>
        <w:jc w:val="both"/>
      </w:pPr>
      <w:r>
        <w:t>2.3.7. </w:t>
      </w:r>
      <w:r>
        <w:rPr>
          <w:color w:val="191919"/>
        </w:rPr>
        <w:t xml:space="preserve">Осуществить безвозмездную замену товара, несоответствующего по качеству при соблюдении условий изготовления в соответствии с </w:t>
      </w:r>
      <w:r>
        <w:t>законодательства Российской Федерации и условиям настоящего Контракта</w:t>
      </w:r>
      <w:r>
        <w:rPr>
          <w:color w:val="191919"/>
        </w:rPr>
        <w:t>.</w:t>
      </w:r>
    </w:p>
    <w:p w14:paraId="22D9228B">
      <w:pPr>
        <w:spacing w:line="238" w:lineRule="auto"/>
        <w:ind w:firstLine="709"/>
        <w:jc w:val="both"/>
      </w:pPr>
      <w:r>
        <w:t>2.3.8. Выполнять иные обязанности, предусмотренные законодательством Российской Федерации и Контрактом.</w:t>
      </w:r>
    </w:p>
    <w:p w14:paraId="6CFEB3C0">
      <w:pPr>
        <w:spacing w:line="238" w:lineRule="auto"/>
        <w:ind w:firstLine="709"/>
        <w:jc w:val="both"/>
      </w:pPr>
      <w:r>
        <w:t>2.3.9. Гарантировать, что поставляемый товар является оригинальными полностью соответствует п. 1.1 контракта, спецификации и технической документации по ТС.</w:t>
      </w:r>
    </w:p>
    <w:p w14:paraId="0F1F4E20">
      <w:pPr>
        <w:spacing w:line="238" w:lineRule="auto"/>
        <w:ind w:firstLine="709"/>
        <w:jc w:val="both"/>
        <w:rPr>
          <w:b/>
          <w:u w:val="single"/>
        </w:rPr>
      </w:pPr>
      <w:r>
        <w:rPr>
          <w:b/>
          <w:u w:val="single"/>
        </w:rPr>
        <w:t>2.4. Поставщик вправе:</w:t>
      </w:r>
    </w:p>
    <w:p w14:paraId="017F5EF5">
      <w:pPr>
        <w:spacing w:line="238" w:lineRule="auto"/>
        <w:ind w:firstLine="709"/>
        <w:jc w:val="both"/>
      </w:pPr>
      <w:r>
        <w:t>2.4.1. Требовать своевременной оплаты надлежащим образом поставленного и принятого товара в соответствии с условиями настоящего Контракта.</w:t>
      </w:r>
    </w:p>
    <w:p w14:paraId="46027AC5">
      <w:pPr>
        <w:spacing w:line="238" w:lineRule="auto"/>
        <w:ind w:firstLine="709"/>
        <w:jc w:val="both"/>
      </w:pPr>
      <w:r>
        <w:t>2.4.2. Требовать уплату пеней и штрафа согласно условиям Контракта.</w:t>
      </w:r>
    </w:p>
    <w:p w14:paraId="76AC2365">
      <w:pPr>
        <w:ind w:firstLine="709"/>
        <w:jc w:val="both"/>
      </w:pPr>
      <w:r>
        <w:t xml:space="preserve">2.4.3. 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 </w:t>
      </w:r>
    </w:p>
    <w:p w14:paraId="6C1029B9">
      <w:pPr>
        <w:numPr>
          <w:ilvl w:val="0"/>
          <w:numId w:val="2"/>
        </w:numPr>
        <w:jc w:val="center"/>
        <w:rPr>
          <w:b/>
          <w:bCs/>
        </w:rPr>
      </w:pPr>
      <w:r>
        <w:rPr>
          <w:b/>
          <w:bCs/>
        </w:rPr>
        <w:t>Цена Контракта и порядок расчетов</w:t>
      </w:r>
    </w:p>
    <w:p w14:paraId="07042701">
      <w:pPr>
        <w:pStyle w:val="28"/>
        <w:ind w:firstLine="709"/>
        <w:jc w:val="both"/>
        <w:rPr>
          <w:rFonts w:ascii="Times New Roman" w:hAnsi="Times New Roman"/>
          <w:sz w:val="24"/>
          <w:szCs w:val="24"/>
        </w:rPr>
      </w:pPr>
      <w:r>
        <w:rPr>
          <w:rFonts w:ascii="Times New Roman" w:hAnsi="Times New Roman"/>
          <w:sz w:val="24"/>
          <w:szCs w:val="24"/>
        </w:rPr>
        <w:t>3.1. Цена Контракта составляет:</w:t>
      </w:r>
      <w:r>
        <w:rPr>
          <w:rFonts w:ascii="Times New Roman" w:hAnsi="Times New Roman"/>
          <w:b/>
          <w:bCs/>
          <w:sz w:val="24"/>
          <w:szCs w:val="24"/>
        </w:rPr>
        <w:t xml:space="preserve"> ______________________</w:t>
      </w:r>
      <w:r>
        <w:rPr>
          <w:rFonts w:ascii="Times New Roman" w:hAnsi="Times New Roman"/>
          <w:sz w:val="24"/>
          <w:szCs w:val="24"/>
        </w:rPr>
        <w:t xml:space="preserve"> в том числе НДС (либо НДС не облагается) и включает в себя: стоимость товара, тары, упаковки, транспортные расходы, расходы на страхование, уплату налогов, сборов и других обязательных платежей, а также гарантийные обязательства.</w:t>
      </w:r>
    </w:p>
    <w:p w14:paraId="0ECC713A">
      <w:pPr>
        <w:pStyle w:val="28"/>
        <w:ind w:firstLine="709"/>
        <w:jc w:val="both"/>
        <w:rPr>
          <w:rFonts w:ascii="Times New Roman" w:hAnsi="Times New Roman"/>
          <w:color w:val="000000"/>
          <w:sz w:val="24"/>
          <w:szCs w:val="24"/>
        </w:rPr>
      </w:pPr>
      <w:r>
        <w:rPr>
          <w:rFonts w:ascii="Times New Roman" w:hAnsi="Times New Roman"/>
          <w:color w:val="000000"/>
          <w:sz w:val="24"/>
          <w:szCs w:val="24"/>
        </w:rPr>
        <w:t xml:space="preserve">В соответствии с п. 2 ч. 13 ст. 34 Закона № 44-ФЗ Государственный заказчик уплачивает сумму по </w:t>
      </w:r>
      <w:r>
        <w:rPr>
          <w:rFonts w:ascii="Times New Roman" w:hAnsi="Times New Roman"/>
          <w:sz w:val="24"/>
          <w:szCs w:val="24"/>
        </w:rPr>
        <w:t>Контракту</w:t>
      </w:r>
      <w:r>
        <w:rPr>
          <w:rFonts w:ascii="Times New Roman" w:hAnsi="Times New Roman"/>
          <w:color w:val="000000"/>
          <w:sz w:val="24"/>
          <w:szCs w:val="24"/>
        </w:rPr>
        <w:t xml:space="preserve"> за вычетом налогов, сборов и иных обязательных платежей, связанных с оплатой Контракта, если их в бюджеты бюджетной системы РФ обязан уплатить Государственный заказчик.</w:t>
      </w:r>
    </w:p>
    <w:p w14:paraId="540CF0CE">
      <w:pPr>
        <w:pStyle w:val="28"/>
        <w:ind w:firstLine="709"/>
        <w:jc w:val="both"/>
        <w:rPr>
          <w:rFonts w:ascii="Times New Roman" w:hAnsi="Times New Roman"/>
          <w:sz w:val="24"/>
          <w:szCs w:val="24"/>
        </w:rPr>
      </w:pPr>
      <w:r>
        <w:rPr>
          <w:rFonts w:ascii="Times New Roman" w:hAnsi="Times New Roman"/>
          <w:sz w:val="24"/>
          <w:szCs w:val="24"/>
        </w:rPr>
        <w:t>3.2. Цена Контракта является твердой и определяется на весь срок его исполнения. При заключении и исполнении Контракта изменение его условий не допускается, за исключением случаев, предусмотренных Законом № 44-ФЗ.</w:t>
      </w:r>
    </w:p>
    <w:p w14:paraId="43F8239C">
      <w:pPr>
        <w:ind w:firstLine="709"/>
        <w:jc w:val="both"/>
      </w:pPr>
      <w:r>
        <w:t>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указанный в разделе 13 Контракта за счет средств Дополнительного федерального бюджета РФ</w:t>
      </w:r>
      <w:r>
        <w:rPr>
          <w:b/>
        </w:rPr>
        <w:t xml:space="preserve">                                         КБК ___________________________________________________</w:t>
      </w:r>
      <w:r>
        <w:t xml:space="preserve"> по факту поставки товара на основании представленных документов согласно п. 4.4. Контракта на указанный объем, по факту поставки товара в срок не превышающий 7 (семи) рабочих дней со дня подписания Государственным заказчиком акта приема-передачи товара.</w:t>
      </w:r>
    </w:p>
    <w:p w14:paraId="02170FCC">
      <w:pPr>
        <w:ind w:firstLine="709"/>
        <w:jc w:val="both"/>
      </w:pPr>
      <w:r>
        <w:t xml:space="preserve">3.4. Обязательства по оплате поставленного товара считаются выполненными в день списания денежных средств со счетов </w:t>
      </w:r>
      <w:bookmarkStart w:id="0" w:name="_Hlk96930226"/>
      <w:r>
        <w:t>Государственн</w:t>
      </w:r>
      <w:bookmarkEnd w:id="0"/>
      <w:r>
        <w:t>ого заказчика.</w:t>
      </w:r>
    </w:p>
    <w:p w14:paraId="6E0973CC">
      <w:pPr>
        <w:ind w:firstLine="709"/>
        <w:jc w:val="both"/>
      </w:pPr>
      <w:r>
        <w:t>3.5.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71E73550">
      <w:pPr>
        <w:widowControl w:val="0"/>
        <w:numPr>
          <w:ilvl w:val="0"/>
          <w:numId w:val="2"/>
        </w:numPr>
        <w:jc w:val="center"/>
        <w:rPr>
          <w:b/>
        </w:rPr>
      </w:pPr>
      <w:r>
        <w:rPr>
          <w:b/>
        </w:rPr>
        <w:t>Сроки и порядок поставки товара</w:t>
      </w:r>
    </w:p>
    <w:p w14:paraId="69CC3063">
      <w:pPr>
        <w:widowControl w:val="0"/>
        <w:ind w:firstLine="720"/>
        <w:jc w:val="both"/>
        <w:rPr>
          <w:b/>
        </w:rPr>
      </w:pPr>
      <w:r>
        <w:t xml:space="preserve">4.1. Поставщик обязуется поставить Государственному заказчику товар в количестве, по цене и адресу, предусмотренные ведомостью поставки (Приложение № 1). </w:t>
      </w:r>
      <w:r>
        <w:rPr>
          <w:b/>
        </w:rPr>
        <w:t xml:space="preserve">Срок поставки товара </w:t>
      </w:r>
      <w:r>
        <w:t xml:space="preserve">с момента заключения Государственного контракта </w:t>
      </w:r>
      <w:r>
        <w:rPr>
          <w:b/>
        </w:rPr>
        <w:t xml:space="preserve">в течение </w:t>
      </w:r>
      <w:r>
        <w:rPr>
          <w:rFonts w:hint="default"/>
          <w:b/>
          <w:lang w:val="ru-RU"/>
        </w:rPr>
        <w:t>1</w:t>
      </w:r>
      <w:r>
        <w:rPr>
          <w:b/>
        </w:rPr>
        <w:t xml:space="preserve"> рабоч</w:t>
      </w:r>
      <w:r>
        <w:rPr>
          <w:b/>
          <w:lang w:val="ru-RU"/>
        </w:rPr>
        <w:t>его</w:t>
      </w:r>
      <w:r>
        <w:rPr>
          <w:b/>
        </w:rPr>
        <w:t xml:space="preserve"> дн</w:t>
      </w:r>
      <w:r>
        <w:rPr>
          <w:b/>
          <w:lang w:val="ru-RU"/>
        </w:rPr>
        <w:t>я</w:t>
      </w:r>
      <w:r>
        <w:t>. Датой поставки товара считается дата подписания акта приема – передачи товара, без замечаний Государственным заказчиком.</w:t>
      </w:r>
    </w:p>
    <w:p w14:paraId="398D17B3">
      <w:pPr>
        <w:ind w:firstLine="709"/>
        <w:jc w:val="both"/>
      </w:pPr>
      <w:r>
        <w:t>4.2. Поставщик имеет право исполнить обязательство или его часть досрочно по письменному согласованию с Государственным заказчиком.</w:t>
      </w:r>
    </w:p>
    <w:p w14:paraId="3133030F">
      <w:pPr>
        <w:ind w:firstLine="708"/>
        <w:jc w:val="both"/>
      </w:pPr>
      <w:r>
        <w:t xml:space="preserve">4.3. Не позднее, чем за 5 (пять) рабочих дней до планируемой даты поставки, Поставщик в письменной форме извещает Государственного заказчика по адресу, указанному в настоящем Контракте о готовности товара к поставке и о дате поставки товара. </w:t>
      </w:r>
    </w:p>
    <w:p w14:paraId="6436C8FD">
      <w:pPr>
        <w:ind w:firstLine="708"/>
        <w:jc w:val="both"/>
      </w:pPr>
      <w:r>
        <w:t>Доставка товара осуществляется силами и средствами Поставщика до ФКУ ИК-3 ГУФСИН России по Новосибирской области по адресу: 630097, г. Новосибирск, ул. Звездная, 34.</w:t>
      </w:r>
    </w:p>
    <w:p w14:paraId="620FE99E">
      <w:pPr>
        <w:ind w:firstLine="708"/>
        <w:jc w:val="both"/>
      </w:pPr>
      <w:r>
        <w:t>4.4. Вместе с товаром Поставщик должен передать Заказчику:</w:t>
      </w:r>
    </w:p>
    <w:p w14:paraId="59D8F11C">
      <w:pPr>
        <w:ind w:firstLine="708"/>
        <w:jc w:val="both"/>
      </w:pPr>
      <w:r>
        <w:t>- счет, счет-фактуру, товарную накладную (либо УПД);</w:t>
      </w:r>
    </w:p>
    <w:p w14:paraId="57CF7834">
      <w:pPr>
        <w:ind w:firstLine="708"/>
        <w:jc w:val="both"/>
      </w:pPr>
      <w:r>
        <w:t>- акт приема-передачи товара, подписанный Поставщиком, в 2 (двух) экземплярах;</w:t>
      </w:r>
    </w:p>
    <w:p w14:paraId="16F09DFB">
      <w:pPr>
        <w:ind w:firstLine="708"/>
        <w:jc w:val="both"/>
      </w:pPr>
      <w:r>
        <w:t xml:space="preserve">-оригинал декларации соответствия </w:t>
      </w:r>
      <w:r>
        <w:rPr>
          <w:b/>
        </w:rPr>
        <w:t>(сертификата соответствия)</w:t>
      </w:r>
      <w:r>
        <w:t>, либо их копии заверенные в установленном законодательством Российской Федерации порядке, если продукция подлежит декларированию или сертифицированию.</w:t>
      </w:r>
    </w:p>
    <w:p w14:paraId="5F29F989">
      <w:pPr>
        <w:ind w:firstLine="708"/>
        <w:jc w:val="both"/>
      </w:pPr>
      <w:r>
        <w:t>4.5. В случае, если документы, указанные в пункте 4.4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2F543E33">
      <w:pPr>
        <w:ind w:firstLine="708"/>
        <w:jc w:val="both"/>
      </w:pPr>
      <w:r>
        <w:t>4.6.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товара, составленного по прилагаемой форме (Приложение № 2), по факту приемки товара.</w:t>
      </w:r>
    </w:p>
    <w:p w14:paraId="402222A6">
      <w:pPr>
        <w:ind w:firstLine="720"/>
        <w:jc w:val="both"/>
      </w:pPr>
      <w:r>
        <w:t>4.7.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4.6. Контракта.</w:t>
      </w:r>
    </w:p>
    <w:p w14:paraId="71654D97">
      <w:pPr>
        <w:ind w:firstLine="720"/>
        <w:jc w:val="both"/>
      </w:pPr>
      <w:r>
        <w:t>4.8. Право собственности на товар переходит к Государственному заказчику с момента поставки товара в соответствии с пунктом 4.6. Контракта.</w:t>
      </w:r>
    </w:p>
    <w:p w14:paraId="4542CC6E">
      <w:pPr>
        <w:jc w:val="center"/>
        <w:rPr>
          <w:b/>
        </w:rPr>
      </w:pPr>
      <w:r>
        <w:rPr>
          <w:b/>
        </w:rPr>
        <w:t>5. Качество и безопасность товара, порядок приемки, экспертиза</w:t>
      </w:r>
    </w:p>
    <w:p w14:paraId="72944B65">
      <w:pPr>
        <w:ind w:firstLine="709"/>
        <w:jc w:val="both"/>
        <w:rPr>
          <w:rFonts w:eastAsia="Calibri"/>
        </w:rPr>
      </w:pPr>
      <w:r>
        <w:rPr>
          <w:rFonts w:eastAsia="Calibri"/>
        </w:rPr>
        <w:t xml:space="preserve">5.1. Поставщик гарантирует качество, безопасность товара и соблюдение надлежащих условий хранения товара до его передачи Государственному заказчику. </w:t>
      </w:r>
    </w:p>
    <w:p w14:paraId="71FC9DBE">
      <w:pPr>
        <w:ind w:firstLine="709"/>
        <w:jc w:val="both"/>
        <w:rPr>
          <w:rFonts w:eastAsia="Calibri"/>
        </w:rPr>
      </w:pPr>
      <w:r>
        <w:rPr>
          <w:rFonts w:eastAsia="Calibri"/>
        </w:rPr>
        <w:t xml:space="preserve">5.2. Качество и безопасность поставляемого товара должно отвечать требованиям </w:t>
      </w:r>
      <w:r>
        <w:rPr>
          <w:rFonts w:eastAsia="Calibri"/>
        </w:rPr>
        <w:br w:type="textWrapping"/>
      </w:r>
      <w:r>
        <w:rPr>
          <w:rFonts w:eastAsia="Calibri"/>
        </w:rPr>
        <w:t>действующего законодательства РФ для данного вида товаров.</w:t>
      </w:r>
    </w:p>
    <w:p w14:paraId="7511BE25">
      <w:pPr>
        <w:numPr>
          <w:ilvl w:val="1"/>
          <w:numId w:val="3"/>
        </w:numPr>
        <w:tabs>
          <w:tab w:val="left" w:pos="0"/>
        </w:tabs>
        <w:overflowPunct w:val="0"/>
        <w:autoSpaceDE w:val="0"/>
        <w:autoSpaceDN w:val="0"/>
        <w:adjustRightInd w:val="0"/>
        <w:ind w:left="0" w:right="141" w:firstLine="709"/>
        <w:jc w:val="both"/>
        <w:textAlignment w:val="baseline"/>
      </w:pPr>
      <w:r>
        <w:t>Товар поставляется в упаковке, соответствующей требованиям, предъявляемым законодательством РФ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действующим законодательством РФ.</w:t>
      </w:r>
    </w:p>
    <w:p w14:paraId="3B79458F">
      <w:pPr>
        <w:autoSpaceDE w:val="0"/>
        <w:autoSpaceDN w:val="0"/>
        <w:adjustRightInd w:val="0"/>
        <w:ind w:firstLine="709"/>
        <w:jc w:val="both"/>
        <w:rPr>
          <w:color w:val="000000"/>
        </w:rPr>
      </w:pPr>
      <w:r>
        <w:t>5.4. Моментом исполнения обязательств Поставщика по поставке (передаче) товара считается дата подписания Государственным заказчиком</w:t>
      </w:r>
      <w:r>
        <w:rPr>
          <w:color w:val="0070C0"/>
        </w:rPr>
        <w:t xml:space="preserve"> </w:t>
      </w:r>
      <w:r>
        <w:t>без замечаний акта приема – передачи товара по форме, предусмотренной Приложением № 2, по факту приемки товара. Приемка товара в течение 20 рабочих дней.</w:t>
      </w:r>
      <w:r>
        <w:rPr>
          <w:color w:val="000000"/>
        </w:rPr>
        <w:t xml:space="preserve"> </w:t>
      </w:r>
    </w:p>
    <w:p w14:paraId="6433E5CB">
      <w:pPr>
        <w:autoSpaceDE w:val="0"/>
        <w:autoSpaceDN w:val="0"/>
        <w:adjustRightInd w:val="0"/>
        <w:ind w:firstLine="709"/>
        <w:jc w:val="both"/>
        <w:rPr>
          <w:color w:val="000000"/>
        </w:rPr>
      </w:pPr>
      <w:r>
        <w:rPr>
          <w:color w:val="000000"/>
        </w:rPr>
        <w:t>В течение 5 (пяти) рабочих дней после подписания акта приема – передачи товара по форме, предусмотренной Приложением № 2 без замечаний, Государственный заказчик направляет один экземпляр акта приема – передачи товара Поставщику.</w:t>
      </w:r>
    </w:p>
    <w:p w14:paraId="130AF6AE">
      <w:pPr>
        <w:ind w:firstLine="709"/>
        <w:jc w:val="both"/>
      </w:pPr>
      <w:r>
        <w:t>5.5.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67221386">
      <w:pPr>
        <w:ind w:firstLine="709"/>
        <w:jc w:val="both"/>
      </w:pPr>
      <w:r>
        <w:t>5.6. В случае нарушения условий Контракта о сроках поставки и качестве товара Поставщик обязан возвратить сумму платежа, а также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возврате суммы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4BF704EF">
      <w:pPr>
        <w:widowControl w:val="0"/>
        <w:autoSpaceDE w:val="0"/>
        <w:autoSpaceDN w:val="0"/>
        <w:adjustRightInd w:val="0"/>
        <w:ind w:firstLine="709"/>
        <w:jc w:val="both"/>
      </w:pPr>
      <w:r>
        <w:t xml:space="preserve">5.7.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в п. 4.1. Контракта сроку обязан предоставить Государственному заказчику результаты поставки товара согласно п. 4.4. Контракта, при этом Государственный заказчик обязан обеспечить приемку поставленного товара в соответствии с условиями Контракта. </w:t>
      </w:r>
    </w:p>
    <w:p w14:paraId="2497BBF9">
      <w:pPr>
        <w:widowControl w:val="0"/>
        <w:autoSpaceDE w:val="0"/>
        <w:autoSpaceDN w:val="0"/>
        <w:adjustRightInd w:val="0"/>
        <w:ind w:firstLine="709"/>
        <w:jc w:val="both"/>
      </w:pPr>
      <w:r>
        <w:t>5.8. Для проверки предоставленных Поставщиком результатов поставки товара, предусмотренных Контрактом, в части их соответствия условиям Контракта, Государственный заказчик обязан провести экспертизу результатов поставки товара. Экспертиза результатов поставки товара,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 Результатом положительной экспертизы является подписание Государственным заказчиком акта приема-передачи товара по Контракту (Приложение № 2) без замечаний.</w:t>
      </w:r>
    </w:p>
    <w:p w14:paraId="50236176">
      <w:pPr>
        <w:pStyle w:val="37"/>
        <w:ind w:firstLine="709"/>
        <w:jc w:val="both"/>
        <w:rPr>
          <w:rFonts w:ascii="Times New Roman" w:hAnsi="Times New Roman"/>
          <w:sz w:val="24"/>
          <w:szCs w:val="24"/>
        </w:rPr>
      </w:pPr>
      <w:r>
        <w:rPr>
          <w:rFonts w:ascii="Times New Roman" w:hAnsi="Times New Roman"/>
          <w:sz w:val="24"/>
          <w:szCs w:val="24"/>
        </w:rPr>
        <w:t>5.9. 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Государственный заказчик вправе провести экспертизу товара с привлечением экспертов, экспертных организаций, выбор которых осуществляется в соответствии с Законом № 44-ФЗ.</w:t>
      </w:r>
    </w:p>
    <w:p w14:paraId="5B07C5F8">
      <w:pPr>
        <w:pStyle w:val="37"/>
        <w:ind w:firstLine="709"/>
        <w:jc w:val="both"/>
        <w:rPr>
          <w:rFonts w:ascii="Times New Roman" w:hAnsi="Times New Roman"/>
          <w:sz w:val="24"/>
          <w:szCs w:val="24"/>
        </w:rPr>
      </w:pPr>
      <w:r>
        <w:rPr>
          <w:rFonts w:ascii="Times New Roman" w:hAnsi="Times New Roman"/>
          <w:sz w:val="24"/>
          <w:szCs w:val="24"/>
        </w:rPr>
        <w:t xml:space="preserve">5.10. По своим качественным характеристикам товар должен отвечать требованиям Федерального закона от 30.03.1999 № 52-ФЗ «О санитарно-эпидемиологическом благополучии населения» и соответствовать техническим условиям. </w:t>
      </w:r>
    </w:p>
    <w:p w14:paraId="488673F1">
      <w:pPr>
        <w:widowControl w:val="0"/>
        <w:numPr>
          <w:ilvl w:val="0"/>
          <w:numId w:val="3"/>
        </w:numPr>
        <w:jc w:val="center"/>
        <w:rPr>
          <w:b/>
        </w:rPr>
      </w:pPr>
      <w:r>
        <w:rPr>
          <w:b/>
        </w:rPr>
        <w:t>Гарантийные обязательства</w:t>
      </w:r>
    </w:p>
    <w:p w14:paraId="7EB5E13B">
      <w:pPr>
        <w:ind w:firstLine="708"/>
        <w:jc w:val="both"/>
      </w:pPr>
      <w:r>
        <w:rPr>
          <w:color w:val="000000"/>
        </w:rPr>
        <w:t xml:space="preserve">6.1. Поставщик гарантирует </w:t>
      </w:r>
      <w: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4B13494C">
      <w:pPr>
        <w:ind w:firstLine="708"/>
        <w:jc w:val="both"/>
        <w:rPr>
          <w:color w:val="000000"/>
        </w:rPr>
      </w:pPr>
      <w:r>
        <w:t>Гарантийный срок составляет не менее 90 дней с момента поставки.</w:t>
      </w:r>
    </w:p>
    <w:p w14:paraId="3BDE0F07">
      <w:pPr>
        <w:ind w:firstLine="720"/>
        <w:jc w:val="both"/>
      </w:pPr>
      <w:r>
        <w:t>6.2.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11E70D8A">
      <w:pPr>
        <w:ind w:firstLine="720"/>
        <w:jc w:val="both"/>
      </w:pPr>
      <w:r>
        <w:t>6.3. Гарантия распространяется на товар в целом, включая составные части и комплектующие изделия. Гарантийный срок на комплектующие изделия и составные части считается равным гарантийному сроку на товар и истекает одновременно с истечением гарантийного срока на этот товар.</w:t>
      </w:r>
    </w:p>
    <w:p w14:paraId="6F81A72B">
      <w:pPr>
        <w:ind w:firstLine="720"/>
        <w:jc w:val="both"/>
      </w:pPr>
      <w:r>
        <w:t>6.4. Все расходы, связанные с заменой товара ненадлежащего качества, оплачиваются за счет Поставщика.</w:t>
      </w:r>
    </w:p>
    <w:p w14:paraId="363CEE38">
      <w:pPr>
        <w:pStyle w:val="53"/>
        <w:widowControl w:val="0"/>
        <w:tabs>
          <w:tab w:val="center" w:pos="5262"/>
          <w:tab w:val="left" w:pos="8771"/>
        </w:tabs>
        <w:spacing w:before="0" w:beforeAutospacing="0" w:after="0" w:afterAutospacing="0"/>
        <w:jc w:val="center"/>
        <w:rPr>
          <w:b/>
        </w:rPr>
      </w:pPr>
      <w:r>
        <w:rPr>
          <w:b/>
        </w:rPr>
        <w:t>7. Имущественная ответственность Сторон</w:t>
      </w:r>
    </w:p>
    <w:p w14:paraId="1D76DCD3">
      <w:pPr>
        <w:widowControl w:val="0"/>
        <w:tabs>
          <w:tab w:val="left" w:pos="0"/>
          <w:tab w:val="left" w:pos="709"/>
          <w:tab w:val="left" w:pos="1134"/>
        </w:tabs>
        <w:ind w:firstLine="567"/>
        <w:jc w:val="both"/>
        <w:rPr>
          <w:color w:val="000000"/>
        </w:rPr>
      </w:pPr>
      <w:r>
        <w:rPr>
          <w:color w:val="000000"/>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настоящим Контрактом.</w:t>
      </w:r>
    </w:p>
    <w:p w14:paraId="376D91AE">
      <w:pPr>
        <w:widowControl w:val="0"/>
        <w:tabs>
          <w:tab w:val="left" w:pos="0"/>
          <w:tab w:val="left" w:pos="709"/>
          <w:tab w:val="left" w:pos="1134"/>
        </w:tabs>
        <w:ind w:firstLine="567"/>
        <w:jc w:val="both"/>
        <w:rPr>
          <w:color w:val="000000"/>
        </w:rPr>
      </w:pPr>
      <w:r>
        <w:rPr>
          <w:color w:val="000000"/>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348856C6">
      <w:pPr>
        <w:widowControl w:val="0"/>
        <w:tabs>
          <w:tab w:val="left" w:pos="0"/>
          <w:tab w:val="left" w:pos="709"/>
          <w:tab w:val="left" w:pos="1134"/>
        </w:tabs>
        <w:ind w:firstLine="567"/>
        <w:jc w:val="both"/>
        <w:rPr>
          <w:color w:val="000000"/>
        </w:rPr>
      </w:pPr>
      <w:r>
        <w:rPr>
          <w:color w:val="000000"/>
        </w:rPr>
        <w:t>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60E5814">
      <w:pPr>
        <w:widowControl w:val="0"/>
        <w:tabs>
          <w:tab w:val="left" w:pos="0"/>
          <w:tab w:val="left" w:pos="709"/>
          <w:tab w:val="left" w:pos="1134"/>
        </w:tabs>
        <w:ind w:firstLine="567"/>
        <w:jc w:val="both"/>
        <w:rPr>
          <w:color w:val="000000"/>
        </w:rPr>
      </w:pPr>
      <w:r>
        <w:rPr>
          <w:color w:val="000000"/>
        </w:rPr>
        <w:t>7.3.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14:paraId="6E040FC6">
      <w:pPr>
        <w:widowControl w:val="0"/>
        <w:tabs>
          <w:tab w:val="left" w:pos="0"/>
          <w:tab w:val="left" w:pos="709"/>
          <w:tab w:val="left" w:pos="1134"/>
        </w:tabs>
        <w:ind w:firstLine="567"/>
        <w:jc w:val="both"/>
        <w:rPr>
          <w:color w:val="000000"/>
        </w:rPr>
      </w:pPr>
      <w:r>
        <w:rPr>
          <w:color w:val="000000"/>
        </w:rPr>
        <w:t>Размер штрафа устанавливается Контрактом в порядке, установленном Постановлением Правительства Российской Федерации от 30.08.2017 № 1042, и составляет 1 000 (одна тысяча) рублей 00 копеек, за каждый факт неисполнения Государственным заказчиком обязательств.</w:t>
      </w:r>
    </w:p>
    <w:p w14:paraId="6BC33D51">
      <w:pPr>
        <w:widowControl w:val="0"/>
        <w:tabs>
          <w:tab w:val="left" w:pos="0"/>
          <w:tab w:val="left" w:pos="709"/>
          <w:tab w:val="left" w:pos="1134"/>
        </w:tabs>
        <w:ind w:firstLine="567"/>
        <w:jc w:val="both"/>
        <w:rPr>
          <w:color w:val="000000"/>
        </w:rPr>
      </w:pPr>
      <w:r>
        <w:rPr>
          <w:color w:val="000000"/>
        </w:rPr>
        <w:t>7.4.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1B7C0FDD">
      <w:pPr>
        <w:widowControl w:val="0"/>
        <w:tabs>
          <w:tab w:val="left" w:pos="0"/>
          <w:tab w:val="left" w:pos="709"/>
          <w:tab w:val="left" w:pos="1134"/>
        </w:tabs>
        <w:ind w:firstLine="567"/>
        <w:jc w:val="both"/>
        <w:rPr>
          <w:color w:val="000000"/>
        </w:rPr>
      </w:pPr>
      <w:r>
        <w:rPr>
          <w:color w:val="000000"/>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Государственному заказчику неустойку (штраф, пени).</w:t>
      </w:r>
    </w:p>
    <w:p w14:paraId="09749FB4">
      <w:pPr>
        <w:widowControl w:val="0"/>
        <w:tabs>
          <w:tab w:val="left" w:pos="0"/>
          <w:tab w:val="left" w:pos="709"/>
          <w:tab w:val="left" w:pos="1134"/>
        </w:tabs>
        <w:ind w:firstLine="567"/>
        <w:jc w:val="both"/>
        <w:rPr>
          <w:color w:val="000000"/>
        </w:rPr>
      </w:pPr>
      <w:r>
        <w:rPr>
          <w:color w:val="00000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37BB34C">
      <w:pPr>
        <w:widowControl w:val="0"/>
        <w:tabs>
          <w:tab w:val="left" w:pos="0"/>
          <w:tab w:val="left" w:pos="709"/>
          <w:tab w:val="left" w:pos="1134"/>
        </w:tabs>
        <w:ind w:firstLine="567"/>
        <w:jc w:val="both"/>
        <w:rPr>
          <w:color w:val="000000"/>
        </w:rPr>
      </w:pPr>
      <w:r>
        <w:rPr>
          <w:color w:val="000000"/>
        </w:rPr>
        <w:t>7.6.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14:paraId="3A529C11">
      <w:pPr>
        <w:widowControl w:val="0"/>
        <w:tabs>
          <w:tab w:val="left" w:pos="0"/>
          <w:tab w:val="left" w:pos="709"/>
          <w:tab w:val="left" w:pos="1134"/>
        </w:tabs>
        <w:ind w:firstLine="567"/>
        <w:jc w:val="both"/>
        <w:rPr>
          <w:color w:val="000000"/>
        </w:rPr>
      </w:pPr>
      <w:r>
        <w:rPr>
          <w:color w:val="000000"/>
        </w:rPr>
        <w:t>Размер штрафа устанавливается Контрактом,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5C10B99D">
      <w:pPr>
        <w:widowControl w:val="0"/>
        <w:tabs>
          <w:tab w:val="left" w:pos="0"/>
          <w:tab w:val="left" w:pos="709"/>
          <w:tab w:val="left" w:pos="1134"/>
        </w:tabs>
        <w:ind w:firstLine="567"/>
        <w:jc w:val="both"/>
        <w:rPr>
          <w:color w:val="000000"/>
        </w:rPr>
      </w:pPr>
      <w:r>
        <w:rPr>
          <w:color w:val="000000"/>
        </w:rPr>
        <w:t>Размер штрафа устанавливается Контрактом в порядке, установленном постановлением Правительства Российской Федерации от 30.08.2017 № 1042, и составляет 10% цены Контракта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14:paraId="5D1CC25D">
      <w:pPr>
        <w:widowControl w:val="0"/>
        <w:tabs>
          <w:tab w:val="left" w:pos="0"/>
          <w:tab w:val="left" w:pos="709"/>
          <w:tab w:val="left" w:pos="1134"/>
        </w:tabs>
        <w:ind w:firstLine="567"/>
        <w:jc w:val="both"/>
        <w:rPr>
          <w:color w:val="000000"/>
        </w:rPr>
      </w:pPr>
      <w:r>
        <w:rPr>
          <w:color w:val="000000"/>
        </w:rPr>
        <w:t>7.7.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Контрактом (при наличии в Контракте таких обязательств) в следующем порядке, установленном постановлением Правительства Российской Федерации от 30.08.2017 № 1042 и составляет 1000,00 (одна тысяча) рублей 00 копеек.</w:t>
      </w:r>
    </w:p>
    <w:p w14:paraId="6E6654C2">
      <w:pPr>
        <w:widowControl w:val="0"/>
        <w:tabs>
          <w:tab w:val="left" w:pos="0"/>
          <w:tab w:val="left" w:pos="709"/>
          <w:tab w:val="left" w:pos="1134"/>
        </w:tabs>
        <w:ind w:firstLine="567"/>
        <w:jc w:val="both"/>
        <w:rPr>
          <w:color w:val="000000"/>
        </w:rPr>
      </w:pPr>
      <w:r>
        <w:rPr>
          <w:color w:val="000000"/>
        </w:rPr>
        <w:t>7.8. Общая сумма начисленных штрафов за ненадлежащее исполнение Поставщиком обязательств, предусмотренных Контрактом, не может превышать цену Контрактом.</w:t>
      </w:r>
    </w:p>
    <w:p w14:paraId="6E679F56">
      <w:pPr>
        <w:widowControl w:val="0"/>
        <w:tabs>
          <w:tab w:val="left" w:pos="0"/>
          <w:tab w:val="left" w:pos="709"/>
          <w:tab w:val="left" w:pos="1134"/>
        </w:tabs>
        <w:ind w:firstLine="567"/>
        <w:jc w:val="both"/>
        <w:rPr>
          <w:color w:val="000000"/>
        </w:rPr>
      </w:pPr>
      <w:r>
        <w:rPr>
          <w:color w:val="000000"/>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B0F9E1B">
      <w:pPr>
        <w:widowControl w:val="0"/>
        <w:tabs>
          <w:tab w:val="left" w:pos="0"/>
          <w:tab w:val="left" w:pos="709"/>
          <w:tab w:val="left" w:pos="1134"/>
        </w:tabs>
        <w:ind w:firstLine="567"/>
        <w:jc w:val="both"/>
        <w:rPr>
          <w:color w:val="000000"/>
        </w:rPr>
      </w:pPr>
      <w:r>
        <w:rPr>
          <w:color w:val="000000"/>
        </w:rPr>
        <w:t xml:space="preserve">7.10. Вред, причиненный третьими лицами по вине Поставщика при исполнении обязательств </w:t>
      </w:r>
      <w:r>
        <w:t>по Контракту,</w:t>
      </w:r>
      <w:r>
        <w:rPr>
          <w:color w:val="000000"/>
        </w:rPr>
        <w:t xml:space="preserve"> возмещается за его счет.</w:t>
      </w:r>
    </w:p>
    <w:p w14:paraId="2AE371F2">
      <w:pPr>
        <w:widowControl w:val="0"/>
        <w:tabs>
          <w:tab w:val="left" w:pos="0"/>
          <w:tab w:val="left" w:pos="709"/>
          <w:tab w:val="left" w:pos="1134"/>
        </w:tabs>
        <w:ind w:firstLine="567"/>
        <w:jc w:val="both"/>
        <w:rPr>
          <w:color w:val="000000"/>
        </w:rPr>
      </w:pPr>
      <w:r>
        <w:rPr>
          <w:color w:val="000000"/>
        </w:rPr>
        <w:t>7.11.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14:paraId="579859B2">
      <w:pPr>
        <w:widowControl w:val="0"/>
        <w:tabs>
          <w:tab w:val="left" w:pos="0"/>
          <w:tab w:val="left" w:pos="709"/>
          <w:tab w:val="left" w:pos="1134"/>
        </w:tabs>
        <w:ind w:firstLine="567"/>
        <w:jc w:val="both"/>
        <w:rPr>
          <w:color w:val="000000"/>
        </w:rPr>
      </w:pPr>
      <w:r>
        <w:rPr>
          <w:color w:val="000000"/>
        </w:rPr>
        <w:t>7.12. Уплата неустойки (штрафа, пени) не освобождает Стороны от исполнения собственных обязательств.</w:t>
      </w:r>
    </w:p>
    <w:p w14:paraId="2A4B4044">
      <w:pPr>
        <w:widowControl w:val="0"/>
        <w:tabs>
          <w:tab w:val="left" w:pos="0"/>
          <w:tab w:val="left" w:pos="709"/>
          <w:tab w:val="left" w:pos="1134"/>
        </w:tabs>
        <w:ind w:firstLine="567"/>
        <w:jc w:val="both"/>
      </w:pPr>
      <w:r>
        <w:t xml:space="preserve">7.13. Поставщик несет ответственность за ввоз (передачу, попытку передачи, неповиновение законному распоряжению сотрудника органа или учреждения уголовно-исполнительной системы) запрещенных предметов, предусмотренных Приказом Минюста России от 04.07.2022 №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 на территорию ФКУ ИК-3 ГУФСИН России </w:t>
      </w:r>
      <w:r>
        <w:br w:type="textWrapping"/>
      </w:r>
      <w:r>
        <w:t>по Новосибирской области.</w:t>
      </w:r>
    </w:p>
    <w:p w14:paraId="53FBA98E">
      <w:pPr>
        <w:ind w:left="360"/>
        <w:jc w:val="center"/>
        <w:rPr>
          <w:b/>
        </w:rPr>
      </w:pPr>
      <w:r>
        <w:rPr>
          <w:b/>
        </w:rPr>
        <w:t>8. Форс-мажорные обстоятельства</w:t>
      </w:r>
    </w:p>
    <w:p w14:paraId="252FAFE5">
      <w:pPr>
        <w:ind w:firstLine="708"/>
        <w:jc w:val="both"/>
      </w:pPr>
      <w: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770B7C4">
      <w:pPr>
        <w:ind w:firstLine="708"/>
        <w:jc w:val="both"/>
      </w:pPr>
      <w: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1A61DCE">
      <w:pPr>
        <w:ind w:firstLine="708"/>
        <w:jc w:val="both"/>
      </w:pPr>
      <w: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D148145">
      <w:pPr>
        <w:ind w:firstLine="708"/>
        <w:jc w:val="both"/>
      </w:pPr>
      <w: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4535B069">
      <w:pPr>
        <w:ind w:firstLine="708"/>
        <w:jc w:val="both"/>
      </w:pPr>
      <w: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0E0530E5">
      <w:pPr>
        <w:ind w:firstLine="708"/>
        <w:jc w:val="both"/>
      </w:pPr>
      <w: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2E012D18">
      <w:pPr>
        <w:ind w:firstLine="708"/>
        <w:jc w:val="both"/>
      </w:pPr>
      <w: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8652EAC">
      <w:pPr>
        <w:ind w:left="360"/>
        <w:jc w:val="center"/>
        <w:rPr>
          <w:b/>
          <w:lang w:eastAsia="en-US"/>
        </w:rPr>
      </w:pPr>
      <w:r>
        <w:rPr>
          <w:b/>
          <w:lang w:eastAsia="en-US"/>
        </w:rPr>
        <w:t>9. Исполнение, изменение, расторжение Контракта</w:t>
      </w:r>
    </w:p>
    <w:p w14:paraId="0150BB0F">
      <w:pPr>
        <w:ind w:firstLine="708"/>
        <w:jc w:val="both"/>
      </w:pPr>
      <w:r>
        <w:t>9.1. Контракт может быть изменен по соглашению Сторон в случаях, предусмотренных Гражданским кодексом Российской Федерации и Законом № 44-ФЗ.</w:t>
      </w:r>
    </w:p>
    <w:p w14:paraId="12005F7D">
      <w:pPr>
        <w:ind w:firstLine="708"/>
        <w:jc w:val="both"/>
      </w:pPr>
      <w:r>
        <w:t>9.2. Изменение существенных условий Контракта при его исполнении</w:t>
      </w:r>
      <w:r>
        <w:br w:type="textWrapping"/>
      </w:r>
      <w:r>
        <w:t>не допускается, за исключением их изменения по соглашению сторон в случаях, предусмотренных статьей 95 Закона № 44-ФЗ.</w:t>
      </w:r>
    </w:p>
    <w:p w14:paraId="199B960D">
      <w:pPr>
        <w:pStyle w:val="51"/>
        <w:ind w:firstLine="709"/>
        <w:jc w:val="both"/>
        <w:rPr>
          <w:rFonts w:ascii="Times New Roman" w:hAnsi="Times New Roman"/>
          <w:sz w:val="24"/>
          <w:szCs w:val="24"/>
        </w:rPr>
      </w:pPr>
      <w:r>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751E404">
      <w:pPr>
        <w:pStyle w:val="51"/>
        <w:ind w:firstLine="709"/>
        <w:jc w:val="both"/>
        <w:rPr>
          <w:rFonts w:ascii="Times New Roman" w:hAnsi="Times New Roman"/>
          <w:sz w:val="24"/>
          <w:szCs w:val="24"/>
        </w:rPr>
      </w:pPr>
      <w:r>
        <w:rPr>
          <w:rFonts w:ascii="Times New Roman" w:hAnsi="Times New Roman"/>
          <w:sz w:val="24"/>
          <w:szCs w:val="24"/>
        </w:rPr>
        <w:t>а) при снижении цены Контракта без изменения, предусмотренного Контракта количества товара, качества поставляемого товара и иных условий Контракта;</w:t>
      </w:r>
    </w:p>
    <w:p w14:paraId="07B0768A">
      <w:pPr>
        <w:pStyle w:val="51"/>
        <w:ind w:firstLine="709"/>
        <w:jc w:val="both"/>
        <w:rPr>
          <w:rFonts w:ascii="Times New Roman" w:hAnsi="Times New Roman"/>
          <w:sz w:val="24"/>
          <w:szCs w:val="24"/>
        </w:rPr>
      </w:pPr>
      <w:r>
        <w:rPr>
          <w:rFonts w:ascii="Times New Roman" w:hAnsi="Times New Roman"/>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Контракта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увеличении,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4853C681">
      <w:pPr>
        <w:pStyle w:val="51"/>
        <w:ind w:firstLine="709"/>
        <w:jc w:val="both"/>
        <w:rPr>
          <w:rFonts w:ascii="Times New Roman" w:hAnsi="Times New Roman"/>
          <w:sz w:val="24"/>
          <w:szCs w:val="24"/>
        </w:rPr>
      </w:pPr>
      <w:r>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7EF58E5">
      <w:pPr>
        <w:pStyle w:val="58"/>
        <w:spacing w:line="240" w:lineRule="auto"/>
        <w:contextualSpacing/>
        <w:rPr>
          <w:szCs w:val="24"/>
        </w:rPr>
      </w:pPr>
      <w:r>
        <w:rPr>
          <w:szCs w:val="24"/>
        </w:rPr>
        <w:t xml:space="preserve">9.3. Расторжение Контракта допускается по соглашению </w:t>
      </w:r>
      <w:r>
        <w:rPr>
          <w:szCs w:val="24"/>
          <w:lang w:eastAsia="en-US"/>
        </w:rPr>
        <w:t>Сторон, по решению суда, в</w:t>
      </w:r>
      <w:r>
        <w:rPr>
          <w:szCs w:val="24"/>
        </w:rPr>
        <w:t xml:space="preserve"> случае одностороннего отказа стороны Контракта от исполнения Контракта в порядке, установленном законодательством Российской Федерации. </w:t>
      </w:r>
    </w:p>
    <w:p w14:paraId="29954700">
      <w:pPr>
        <w:pStyle w:val="58"/>
        <w:spacing w:line="240" w:lineRule="auto"/>
        <w:contextualSpacing/>
        <w:rPr>
          <w:szCs w:val="24"/>
        </w:rPr>
      </w:pPr>
      <w:r>
        <w:rPr>
          <w:szCs w:val="24"/>
        </w:rPr>
        <w:t>9.4.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14:paraId="193B867C">
      <w:pPr>
        <w:pStyle w:val="58"/>
        <w:tabs>
          <w:tab w:val="left" w:pos="851"/>
        </w:tabs>
        <w:spacing w:line="240" w:lineRule="auto"/>
        <w:contextualSpacing/>
        <w:rPr>
          <w:szCs w:val="24"/>
        </w:rPr>
      </w:pPr>
      <w:r>
        <w:rPr>
          <w:szCs w:val="24"/>
        </w:rPr>
        <w:t>отказ Поставщика передать Государственному заказчику товар или принадлежности к нему (пункт 1 статьи 463, абзац второй статьи 464 ГК РФ);</w:t>
      </w:r>
    </w:p>
    <w:p w14:paraId="3F9B2772">
      <w:pPr>
        <w:pStyle w:val="58"/>
        <w:spacing w:line="276" w:lineRule="auto"/>
        <w:contextualSpacing/>
        <w:rPr>
          <w:szCs w:val="24"/>
        </w:rPr>
      </w:pPr>
      <w:r>
        <w:rPr>
          <w:szCs w:val="24"/>
        </w:rPr>
        <w:t xml:space="preserve">существенное нарушение Поставщиком требований к качеству товара, </w:t>
      </w:r>
      <w:r>
        <w:rPr>
          <w:szCs w:val="24"/>
        </w:rPr>
        <w:br w:type="textWrapping"/>
      </w:r>
      <w:r>
        <w:rPr>
          <w:szCs w:val="24"/>
        </w:rPr>
        <w:t>а именно</w:t>
      </w:r>
      <w:r>
        <w:rPr>
          <w:color w:val="FF0000"/>
          <w:szCs w:val="24"/>
        </w:rPr>
        <w:t xml:space="preserve"> </w:t>
      </w:r>
      <w:r>
        <w:rPr>
          <w:szCs w:val="24"/>
        </w:rPr>
        <w:t>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7F5A54E1">
      <w:pPr>
        <w:pStyle w:val="58"/>
        <w:spacing w:line="276" w:lineRule="auto"/>
        <w:contextualSpacing/>
        <w:rPr>
          <w:szCs w:val="24"/>
        </w:rPr>
      </w:pPr>
      <w:r>
        <w:rPr>
          <w:szCs w:val="24"/>
        </w:rPr>
        <w:t>невыполнение Поставщиком в разумный срок требования Государственного заказчика о доукомплектовании товара (пункт 1статьи 480 ГК РФ);</w:t>
      </w:r>
    </w:p>
    <w:p w14:paraId="69027A6A">
      <w:pPr>
        <w:pStyle w:val="58"/>
        <w:spacing w:line="276" w:lineRule="auto"/>
        <w:contextualSpacing/>
        <w:rPr>
          <w:szCs w:val="24"/>
        </w:rPr>
      </w:pPr>
      <w:r>
        <w:rPr>
          <w:szCs w:val="24"/>
        </w:rPr>
        <w:t xml:space="preserve">неоднократное нарушение Поставщиком сроков поставки товаров (пункт 2 статьи 523 ГК РФ). </w:t>
      </w:r>
    </w:p>
    <w:p w14:paraId="2ABC35ED">
      <w:pPr>
        <w:pStyle w:val="58"/>
        <w:spacing w:line="276" w:lineRule="auto"/>
        <w:contextualSpacing/>
        <w:rPr>
          <w:szCs w:val="24"/>
        </w:rPr>
      </w:pPr>
      <w:r>
        <w:rPr>
          <w:szCs w:val="24"/>
        </w:rPr>
        <w:t>9.5.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одностроннего отказа от исполнения отдельных видов обязательств.</w:t>
      </w:r>
    </w:p>
    <w:p w14:paraId="4205544C">
      <w:pPr>
        <w:pStyle w:val="58"/>
        <w:spacing w:line="276" w:lineRule="auto"/>
        <w:contextualSpacing/>
        <w:rPr>
          <w:szCs w:val="24"/>
        </w:rPr>
      </w:pPr>
      <w:r>
        <w:rPr>
          <w:szCs w:val="24"/>
        </w:rPr>
        <w:t>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Контракта.</w:t>
      </w:r>
    </w:p>
    <w:p w14:paraId="004BB5C4">
      <w:pPr>
        <w:pStyle w:val="58"/>
        <w:spacing w:line="276" w:lineRule="auto"/>
        <w:contextualSpacing/>
        <w:rPr>
          <w:szCs w:val="24"/>
        </w:rPr>
      </w:pPr>
      <w:r>
        <w:rPr>
          <w:szCs w:val="24"/>
        </w:rPr>
        <w:t>9.7. 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Контракта</w:t>
      </w:r>
    </w:p>
    <w:p w14:paraId="4353E829">
      <w:pPr>
        <w:spacing w:line="276" w:lineRule="auto"/>
        <w:ind w:left="360"/>
        <w:jc w:val="center"/>
        <w:rPr>
          <w:b/>
        </w:rPr>
      </w:pPr>
      <w:r>
        <w:rPr>
          <w:b/>
        </w:rPr>
        <w:t>10. Порядок разрешения споров</w:t>
      </w:r>
    </w:p>
    <w:p w14:paraId="4AD1A8EE">
      <w:pPr>
        <w:spacing w:line="276" w:lineRule="auto"/>
        <w:ind w:firstLine="708"/>
        <w:jc w:val="both"/>
      </w:pPr>
      <w:r>
        <w:t>10.1.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14:paraId="1E31AE1F">
      <w:pPr>
        <w:spacing w:line="276" w:lineRule="auto"/>
        <w:ind w:firstLine="720"/>
        <w:jc w:val="both"/>
      </w:pPr>
      <w:r>
        <w:t>10.2. Досудебный порядок урегулирования споров, предусматривающий направление претензии контрагенту, является обязательным.</w:t>
      </w:r>
    </w:p>
    <w:p w14:paraId="2C284E33">
      <w:pPr>
        <w:spacing w:line="276" w:lineRule="auto"/>
        <w:ind w:firstLine="720"/>
        <w:jc w:val="both"/>
      </w:pPr>
      <w:r>
        <w:t>Сторона, которой предъявлена претензия, обязана рассмотреть такую претензию в течение 30 (тридцать) календарных дней с момента ее получения и сообщить о своем решении другой Стороне путем направления ответа в письменной форме.</w:t>
      </w:r>
    </w:p>
    <w:p w14:paraId="15F744BB">
      <w:pPr>
        <w:spacing w:line="276" w:lineRule="auto"/>
        <w:jc w:val="center"/>
        <w:rPr>
          <w:b/>
        </w:rPr>
      </w:pPr>
      <w:r>
        <w:rPr>
          <w:b/>
        </w:rPr>
        <w:t>11. Прочие условия</w:t>
      </w:r>
    </w:p>
    <w:p w14:paraId="43AB36C8">
      <w:pPr>
        <w:spacing w:line="276" w:lineRule="auto"/>
        <w:ind w:firstLine="708"/>
        <w:jc w:val="both"/>
      </w:pPr>
      <w:r>
        <w:t>11.1. Контракт составлен в двух подлинных экземплярах, имеющих одинаковую юридическую силу, по одному для каждой из Сторон.</w:t>
      </w:r>
    </w:p>
    <w:p w14:paraId="4D946E31">
      <w:pPr>
        <w:spacing w:line="276" w:lineRule="auto"/>
        <w:ind w:firstLine="708"/>
        <w:jc w:val="both"/>
      </w:pPr>
      <w:r>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3D753BFA">
      <w:pPr>
        <w:spacing w:line="276" w:lineRule="auto"/>
        <w:ind w:firstLine="708"/>
        <w:jc w:val="both"/>
      </w:pPr>
      <w:r>
        <w:t xml:space="preserve">11.3. По факту исполнения взаимных обязательств по Контракту в срок </w:t>
      </w:r>
      <w:r>
        <w:br w:type="textWrapping"/>
      </w:r>
      <w:r>
        <w:rPr>
          <w:b/>
        </w:rPr>
        <w:t xml:space="preserve">по 31.12.2026. </w:t>
      </w:r>
      <w:r>
        <w:t xml:space="preserve"> Стороны составляют акт сверки взаиморасчетов в произвольной форме, который подписывается уполномоченными представителями Сторон.</w:t>
      </w:r>
    </w:p>
    <w:p w14:paraId="68CC2F79">
      <w:pPr>
        <w:spacing w:line="276" w:lineRule="auto"/>
        <w:ind w:firstLine="708"/>
        <w:jc w:val="both"/>
      </w:pPr>
      <w:r>
        <w:t>11.4. Во всем остальном, что не предусмотрено Контрактом, Стороны руководствуются законодательством Российской Федерации.</w:t>
      </w:r>
    </w:p>
    <w:p w14:paraId="4E00DE43">
      <w:pPr>
        <w:spacing w:line="276" w:lineRule="auto"/>
        <w:ind w:firstLine="708"/>
        <w:jc w:val="both"/>
      </w:pPr>
      <w:r>
        <w:t>11.5. Приложения к Контракту, являющиеся его неотъемлемой частью:</w:t>
      </w:r>
    </w:p>
    <w:p w14:paraId="4751E40B">
      <w:pPr>
        <w:spacing w:line="276" w:lineRule="auto"/>
        <w:ind w:firstLine="708"/>
        <w:jc w:val="both"/>
      </w:pPr>
      <w:r>
        <w:t>Приложение № 1 – ведомость поставки;</w:t>
      </w:r>
    </w:p>
    <w:p w14:paraId="46EF2E3D">
      <w:pPr>
        <w:spacing w:line="276" w:lineRule="auto"/>
        <w:ind w:firstLine="708"/>
        <w:jc w:val="both"/>
      </w:pPr>
      <w:r>
        <w:t>Приложение № 2 – акт приема – передачи товара (форма).</w:t>
      </w:r>
    </w:p>
    <w:p w14:paraId="161954AF">
      <w:pPr>
        <w:spacing w:line="276" w:lineRule="auto"/>
        <w:jc w:val="center"/>
        <w:rPr>
          <w:b/>
        </w:rPr>
      </w:pPr>
      <w:r>
        <w:rPr>
          <w:b/>
        </w:rPr>
        <w:t>12. Срок действия Контракта</w:t>
      </w:r>
    </w:p>
    <w:p w14:paraId="7393D0E0">
      <w:pPr>
        <w:pStyle w:val="28"/>
        <w:ind w:firstLine="540"/>
        <w:jc w:val="both"/>
        <w:rPr>
          <w:rFonts w:ascii="Times New Roman" w:hAnsi="Times New Roman"/>
          <w:b/>
          <w:sz w:val="24"/>
          <w:szCs w:val="24"/>
        </w:rPr>
      </w:pPr>
      <w:r>
        <w:rPr>
          <w:rFonts w:ascii="Times New Roman" w:hAnsi="Times New Roman"/>
          <w:sz w:val="24"/>
          <w:szCs w:val="24"/>
        </w:rPr>
        <w:t xml:space="preserve">12.1. Контракт вступает в силу с момента его подписания Сторонами и действует </w:t>
      </w:r>
      <w:r>
        <w:rPr>
          <w:rFonts w:ascii="Times New Roman" w:hAnsi="Times New Roman"/>
          <w:sz w:val="24"/>
          <w:szCs w:val="24"/>
        </w:rPr>
        <w:br w:type="textWrapping"/>
      </w:r>
      <w:r>
        <w:rPr>
          <w:rFonts w:ascii="Times New Roman" w:hAnsi="Times New Roman"/>
          <w:b/>
          <w:sz w:val="24"/>
          <w:szCs w:val="24"/>
        </w:rPr>
        <w:t>по 31.12.2026,</w:t>
      </w:r>
      <w:r>
        <w:rPr>
          <w:rFonts w:ascii="Times New Roman" w:hAnsi="Times New Roman"/>
          <w:sz w:val="24"/>
          <w:szCs w:val="24"/>
        </w:rPr>
        <w:t xml:space="preserve">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p>
    <w:p w14:paraId="3D32B58C">
      <w:pPr>
        <w:numPr>
          <w:ilvl w:val="0"/>
          <w:numId w:val="4"/>
        </w:numPr>
        <w:spacing w:line="276" w:lineRule="auto"/>
        <w:jc w:val="center"/>
        <w:rPr>
          <w:b/>
          <w:bCs/>
        </w:rPr>
      </w:pPr>
      <w:r>
        <w:rPr>
          <w:b/>
          <w:bCs/>
        </w:rPr>
        <w:t>Юридические адреса, банковские реквизиты Сторон</w:t>
      </w:r>
    </w:p>
    <w:p w14:paraId="62153700">
      <w:pPr>
        <w:jc w:val="both"/>
      </w:pPr>
      <w:r>
        <w:rPr>
          <w:b/>
        </w:rPr>
        <w:t>Государственный заказчик                                     Поставщик</w:t>
      </w:r>
    </w:p>
    <w:tbl>
      <w:tblPr>
        <w:tblStyle w:val="5"/>
        <w:tblW w:w="10173" w:type="dxa"/>
        <w:tblInd w:w="0" w:type="dxa"/>
        <w:tblLayout w:type="fixed"/>
        <w:tblCellMar>
          <w:top w:w="0" w:type="dxa"/>
          <w:left w:w="108" w:type="dxa"/>
          <w:bottom w:w="0" w:type="dxa"/>
          <w:right w:w="108" w:type="dxa"/>
        </w:tblCellMar>
      </w:tblPr>
      <w:tblGrid>
        <w:gridCol w:w="5211"/>
        <w:gridCol w:w="4962"/>
      </w:tblGrid>
      <w:tr w14:paraId="79B4F2CE">
        <w:trPr>
          <w:trHeight w:val="3094" w:hRule="atLeast"/>
        </w:trPr>
        <w:tc>
          <w:tcPr>
            <w:tcW w:w="5211" w:type="dxa"/>
          </w:tcPr>
          <w:p w14:paraId="6E9E8354">
            <w:pPr>
              <w:rPr>
                <w:color w:val="000000"/>
                <w:sz w:val="18"/>
                <w:szCs w:val="18"/>
              </w:rPr>
            </w:pPr>
            <w:r>
              <w:rPr>
                <w:color w:val="000000"/>
                <w:sz w:val="18"/>
                <w:szCs w:val="18"/>
              </w:rPr>
              <w:t>Федеральное казенное учреждение «Исправительная колония №3 Главного управления Федеральной службы исполнения наказаний по Новосибирской области»</w:t>
            </w:r>
          </w:p>
          <w:p w14:paraId="60C9642F">
            <w:pPr>
              <w:rPr>
                <w:color w:val="000000"/>
                <w:sz w:val="18"/>
                <w:szCs w:val="18"/>
              </w:rPr>
            </w:pPr>
            <w:r>
              <w:rPr>
                <w:color w:val="000000"/>
                <w:sz w:val="18"/>
                <w:szCs w:val="18"/>
              </w:rPr>
              <w:t xml:space="preserve">630097, г. Новосибирск, ул. Звездная,34 </w:t>
            </w:r>
          </w:p>
          <w:p w14:paraId="03708353">
            <w:pPr>
              <w:rPr>
                <w:color w:val="000000"/>
                <w:sz w:val="18"/>
                <w:szCs w:val="18"/>
              </w:rPr>
            </w:pPr>
            <w:r>
              <w:rPr>
                <w:color w:val="000000"/>
                <w:sz w:val="18"/>
                <w:szCs w:val="18"/>
              </w:rPr>
              <w:t>ИНН 5409109888, КПП 540901001</w:t>
            </w:r>
          </w:p>
          <w:p w14:paraId="5DD15C5F">
            <w:pPr>
              <w:rPr>
                <w:color w:val="000000"/>
                <w:sz w:val="18"/>
                <w:szCs w:val="18"/>
              </w:rPr>
            </w:pPr>
            <w:r>
              <w:rPr>
                <w:color w:val="000000"/>
                <w:sz w:val="18"/>
                <w:szCs w:val="18"/>
              </w:rPr>
              <w:t>л/с 03511142140</w:t>
            </w:r>
          </w:p>
          <w:p w14:paraId="2F981157">
            <w:pPr>
              <w:rPr>
                <w:color w:val="000000"/>
                <w:sz w:val="18"/>
                <w:szCs w:val="18"/>
              </w:rPr>
            </w:pPr>
            <w:r>
              <w:rPr>
                <w:color w:val="000000"/>
                <w:sz w:val="18"/>
                <w:szCs w:val="18"/>
              </w:rPr>
              <w:t>р/с 03211643000000015100</w:t>
            </w:r>
          </w:p>
          <w:p w14:paraId="1B0738AB">
            <w:pPr>
              <w:rPr>
                <w:color w:val="000000"/>
                <w:sz w:val="18"/>
                <w:szCs w:val="18"/>
              </w:rPr>
            </w:pPr>
            <w:r>
              <w:rPr>
                <w:color w:val="000000"/>
                <w:sz w:val="18"/>
                <w:szCs w:val="18"/>
              </w:rPr>
              <w:t xml:space="preserve">К/сч 40102810445370000043 </w:t>
            </w:r>
          </w:p>
          <w:p w14:paraId="497AB234">
            <w:pPr>
              <w:rPr>
                <w:color w:val="000000"/>
                <w:sz w:val="18"/>
                <w:szCs w:val="18"/>
              </w:rPr>
            </w:pPr>
            <w:r>
              <w:rPr>
                <w:color w:val="000000"/>
                <w:sz w:val="18"/>
                <w:szCs w:val="18"/>
              </w:rPr>
              <w:t>ОКЦ № 1 СибГУ Банка России//УФК по Новосибирской области г.Новосибирск</w:t>
            </w:r>
          </w:p>
          <w:p w14:paraId="6E2ADBE9">
            <w:pPr>
              <w:rPr>
                <w:color w:val="000000"/>
                <w:sz w:val="18"/>
                <w:szCs w:val="18"/>
              </w:rPr>
            </w:pPr>
            <w:r>
              <w:rPr>
                <w:color w:val="000000"/>
                <w:sz w:val="18"/>
                <w:szCs w:val="18"/>
              </w:rPr>
              <w:t>БИК 015004950</w:t>
            </w:r>
          </w:p>
          <w:p w14:paraId="3029EAB7">
            <w:pPr>
              <w:rPr>
                <w:color w:val="000000"/>
                <w:sz w:val="18"/>
                <w:szCs w:val="18"/>
              </w:rPr>
            </w:pPr>
            <w:r>
              <w:rPr>
                <w:color w:val="000000"/>
                <w:sz w:val="18"/>
                <w:szCs w:val="18"/>
              </w:rPr>
              <w:t>ОКАТО 50401382000, ОКТМО  50701000</w:t>
            </w:r>
          </w:p>
          <w:p w14:paraId="0843158C">
            <w:pPr>
              <w:rPr>
                <w:color w:val="000000"/>
                <w:sz w:val="18"/>
                <w:szCs w:val="18"/>
              </w:rPr>
            </w:pPr>
            <w:r>
              <w:rPr>
                <w:color w:val="000000"/>
                <w:sz w:val="18"/>
                <w:szCs w:val="18"/>
              </w:rPr>
              <w:t>Телефон (383)3377826</w:t>
            </w:r>
          </w:p>
          <w:p w14:paraId="74A99F90">
            <w:pPr>
              <w:rPr>
                <w:color w:val="000000"/>
              </w:rPr>
            </w:pPr>
            <w:r>
              <w:rPr>
                <w:color w:val="000000"/>
                <w:sz w:val="18"/>
                <w:szCs w:val="18"/>
              </w:rPr>
              <w:t>Эл. Адрес ik3@54.fsin.gov.ru</w:t>
            </w:r>
          </w:p>
        </w:tc>
        <w:tc>
          <w:tcPr>
            <w:tcW w:w="4962" w:type="dxa"/>
          </w:tcPr>
          <w:p w14:paraId="09265AD6"/>
        </w:tc>
      </w:tr>
      <w:tr w14:paraId="15E832B7">
        <w:tblPrEx>
          <w:tblCellMar>
            <w:top w:w="0" w:type="dxa"/>
            <w:left w:w="108" w:type="dxa"/>
            <w:bottom w:w="0" w:type="dxa"/>
            <w:right w:w="108" w:type="dxa"/>
          </w:tblCellMar>
        </w:tblPrEx>
        <w:trPr>
          <w:trHeight w:val="1701" w:hRule="atLeast"/>
        </w:trPr>
        <w:tc>
          <w:tcPr>
            <w:tcW w:w="10173" w:type="dxa"/>
            <w:gridSpan w:val="2"/>
          </w:tcPr>
          <w:p w14:paraId="02B1B337"/>
          <w:p w14:paraId="1AE40A9F">
            <w:pPr>
              <w:jc w:val="center"/>
              <w:rPr>
                <w:b/>
                <w:bCs/>
              </w:rPr>
            </w:pPr>
            <w:r>
              <w:rPr>
                <w:b/>
                <w:bCs/>
              </w:rPr>
              <w:t>Подписи и печати сторон</w:t>
            </w:r>
          </w:p>
          <w:p w14:paraId="48ADB8EE">
            <w:pPr>
              <w:jc w:val="center"/>
              <w:rPr>
                <w:b/>
                <w:bCs/>
              </w:rPr>
            </w:pPr>
          </w:p>
          <w:p w14:paraId="39E9B4E5">
            <w:pPr>
              <w:rPr>
                <w:bCs/>
              </w:rPr>
            </w:pPr>
            <w:r>
              <w:rPr>
                <w:bCs/>
              </w:rPr>
              <w:t>Государственный заказчик                                       Поставщик</w:t>
            </w:r>
          </w:p>
          <w:p w14:paraId="3C857FDC">
            <w:pPr>
              <w:rPr>
                <w:bCs/>
              </w:rPr>
            </w:pPr>
          </w:p>
          <w:p w14:paraId="607A3E6E">
            <w:r>
              <w:rPr>
                <w:bCs/>
              </w:rPr>
              <w:t>__________________________</w:t>
            </w:r>
            <w:r>
              <w:t xml:space="preserve"> </w:t>
            </w:r>
            <w:r>
              <w:rPr>
                <w:bCs/>
              </w:rPr>
              <w:t>Ф.И.О.                   ________________________ Ф.И.О.</w:t>
            </w:r>
            <w:r>
              <w:rPr>
                <w:b/>
                <w:bCs/>
              </w:rPr>
              <w:t xml:space="preserve"> </w:t>
            </w:r>
          </w:p>
        </w:tc>
      </w:tr>
    </w:tbl>
    <w:p w14:paraId="5D40E771">
      <w:pPr>
        <w:rPr>
          <w:b/>
          <w:highlight w:val="yellow"/>
        </w:rPr>
        <w:sectPr>
          <w:pgSz w:w="11906" w:h="16838"/>
          <w:pgMar w:top="709" w:right="851" w:bottom="709" w:left="1191" w:header="709" w:footer="709" w:gutter="0"/>
          <w:cols w:space="720" w:num="1"/>
        </w:sectPr>
      </w:pPr>
    </w:p>
    <w:p w14:paraId="23F7A5D9">
      <w:pPr>
        <w:widowControl w:val="0"/>
        <w:autoSpaceDE w:val="0"/>
        <w:autoSpaceDN w:val="0"/>
        <w:jc w:val="right"/>
        <w:outlineLvl w:val="1"/>
      </w:pPr>
      <w:r>
        <w:rPr>
          <w:b/>
        </w:rPr>
        <w:t xml:space="preserve">Приложение №1 </w:t>
      </w:r>
      <w:r>
        <w:rPr>
          <w:b/>
        </w:rPr>
        <w:br w:type="textWrapping"/>
      </w:r>
      <w:r>
        <w:t xml:space="preserve">к Государственному контракту на поставку товара  </w:t>
      </w:r>
    </w:p>
    <w:p w14:paraId="3E2DD10A">
      <w:pPr>
        <w:widowControl w:val="0"/>
        <w:autoSpaceDE w:val="0"/>
        <w:autoSpaceDN w:val="0"/>
        <w:jc w:val="right"/>
        <w:outlineLvl w:val="1"/>
        <w:rPr>
          <w:b/>
        </w:rPr>
      </w:pPr>
      <w:r>
        <w:t xml:space="preserve"> от «___ »______ 2026 г. № ____________</w:t>
      </w:r>
      <w:bookmarkStart w:id="1" w:name="P1909"/>
      <w:bookmarkEnd w:id="1"/>
    </w:p>
    <w:p w14:paraId="2785463C">
      <w:pPr>
        <w:widowControl w:val="0"/>
        <w:autoSpaceDE w:val="0"/>
        <w:autoSpaceDN w:val="0"/>
        <w:jc w:val="center"/>
        <w:rPr>
          <w:b/>
          <w:sz w:val="28"/>
        </w:rPr>
      </w:pPr>
      <w:r>
        <w:rPr>
          <w:b/>
          <w:sz w:val="28"/>
        </w:rPr>
        <w:t>ВЕДОМОСТЬ ПОСТАВКИ</w:t>
      </w:r>
    </w:p>
    <w:p w14:paraId="5E6E5147">
      <w:pPr>
        <w:widowControl w:val="0"/>
        <w:autoSpaceDE w:val="0"/>
        <w:autoSpaceDN w:val="0"/>
        <w:rPr>
          <w:sz w:val="18"/>
          <w:szCs w:val="18"/>
        </w:rPr>
      </w:pPr>
      <w:r>
        <w:t>П</w:t>
      </w:r>
      <w:r>
        <w:rPr>
          <w:sz w:val="18"/>
          <w:szCs w:val="18"/>
        </w:rPr>
        <w:t>оставщик –                                                                              Государственный заказчик – ФКУ ИК-3 ГУФСИН России по Новосибирской области</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3"/>
        <w:gridCol w:w="2944"/>
        <w:gridCol w:w="2484"/>
        <w:gridCol w:w="1680"/>
        <w:gridCol w:w="602"/>
        <w:gridCol w:w="724"/>
        <w:gridCol w:w="3050"/>
        <w:gridCol w:w="3268"/>
      </w:tblGrid>
      <w:tr w14:paraId="07AF5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49" w:type="pct"/>
            <w:shd w:val="clear" w:color="auto" w:fill="auto"/>
            <w:vAlign w:val="center"/>
          </w:tcPr>
          <w:p w14:paraId="7B8E7DEF">
            <w:pPr>
              <w:jc w:val="center"/>
              <w:rPr>
                <w:rFonts w:eastAsia="Calibri"/>
                <w:sz w:val="18"/>
                <w:szCs w:val="18"/>
                <w:lang w:eastAsia="en-US"/>
              </w:rPr>
            </w:pPr>
            <w:r>
              <w:rPr>
                <w:rFonts w:eastAsia="Calibri"/>
                <w:sz w:val="18"/>
                <w:szCs w:val="18"/>
                <w:lang w:eastAsia="en-US"/>
              </w:rPr>
              <w:t>№ п/п</w:t>
            </w:r>
          </w:p>
        </w:tc>
        <w:tc>
          <w:tcPr>
            <w:tcW w:w="948" w:type="pct"/>
            <w:tcBorders>
              <w:bottom w:val="single" w:color="auto" w:sz="4" w:space="0"/>
            </w:tcBorders>
            <w:shd w:val="clear" w:color="auto" w:fill="auto"/>
            <w:vAlign w:val="center"/>
          </w:tcPr>
          <w:p w14:paraId="658F68E8">
            <w:pPr>
              <w:jc w:val="center"/>
              <w:rPr>
                <w:rFonts w:eastAsia="Calibri"/>
                <w:sz w:val="18"/>
                <w:szCs w:val="18"/>
                <w:lang w:eastAsia="en-US"/>
              </w:rPr>
            </w:pPr>
            <w:r>
              <w:rPr>
                <w:rFonts w:eastAsia="Calibri"/>
                <w:sz w:val="18"/>
                <w:szCs w:val="18"/>
                <w:lang w:eastAsia="en-US"/>
              </w:rPr>
              <w:t>Наименование товара</w:t>
            </w:r>
          </w:p>
        </w:tc>
        <w:tc>
          <w:tcPr>
            <w:tcW w:w="800" w:type="pct"/>
          </w:tcPr>
          <w:p w14:paraId="4FFFDC71">
            <w:pPr>
              <w:jc w:val="center"/>
              <w:rPr>
                <w:rFonts w:eastAsia="Calibri"/>
                <w:sz w:val="18"/>
                <w:szCs w:val="18"/>
                <w:lang w:eastAsia="en-US"/>
              </w:rPr>
            </w:pPr>
          </w:p>
          <w:p w14:paraId="03EA0E6F">
            <w:pPr>
              <w:jc w:val="center"/>
              <w:rPr>
                <w:rFonts w:eastAsia="Calibri"/>
                <w:sz w:val="18"/>
                <w:szCs w:val="18"/>
                <w:lang w:eastAsia="en-US"/>
              </w:rPr>
            </w:pPr>
          </w:p>
          <w:p w14:paraId="2F6810B9">
            <w:pPr>
              <w:jc w:val="center"/>
              <w:rPr>
                <w:rFonts w:eastAsia="Calibri"/>
                <w:sz w:val="18"/>
                <w:szCs w:val="18"/>
                <w:lang w:eastAsia="en-US"/>
              </w:rPr>
            </w:pPr>
          </w:p>
          <w:p w14:paraId="073221A2">
            <w:pPr>
              <w:jc w:val="center"/>
              <w:rPr>
                <w:rFonts w:eastAsia="Calibri"/>
                <w:sz w:val="18"/>
                <w:szCs w:val="18"/>
                <w:lang w:eastAsia="en-US"/>
              </w:rPr>
            </w:pPr>
            <w:r>
              <w:rPr>
                <w:rFonts w:eastAsia="Calibri"/>
                <w:sz w:val="18"/>
                <w:szCs w:val="18"/>
                <w:lang w:eastAsia="en-US"/>
              </w:rPr>
              <w:t>характеристика товара</w:t>
            </w:r>
          </w:p>
        </w:tc>
        <w:tc>
          <w:tcPr>
            <w:tcW w:w="541" w:type="pct"/>
            <w:shd w:val="clear" w:color="auto" w:fill="auto"/>
            <w:vAlign w:val="center"/>
          </w:tcPr>
          <w:p w14:paraId="1D5B6929">
            <w:pPr>
              <w:jc w:val="center"/>
              <w:rPr>
                <w:rFonts w:eastAsia="Calibri"/>
                <w:sz w:val="18"/>
                <w:szCs w:val="18"/>
                <w:lang w:eastAsia="en-US"/>
              </w:rPr>
            </w:pPr>
            <w:r>
              <w:rPr>
                <w:rFonts w:eastAsia="Calibri"/>
                <w:sz w:val="18"/>
                <w:szCs w:val="18"/>
                <w:lang w:eastAsia="en-US"/>
              </w:rPr>
              <w:t>ОКПД 2/</w:t>
            </w:r>
          </w:p>
          <w:p w14:paraId="53953283">
            <w:pPr>
              <w:jc w:val="center"/>
              <w:rPr>
                <w:rFonts w:eastAsia="Calibri"/>
                <w:sz w:val="18"/>
                <w:szCs w:val="18"/>
                <w:lang w:eastAsia="en-US"/>
              </w:rPr>
            </w:pPr>
            <w:r>
              <w:rPr>
                <w:rFonts w:eastAsia="Calibri"/>
                <w:sz w:val="18"/>
                <w:szCs w:val="18"/>
                <w:lang w:eastAsia="en-US"/>
              </w:rPr>
              <w:t>КТРУ</w:t>
            </w:r>
          </w:p>
        </w:tc>
        <w:tc>
          <w:tcPr>
            <w:tcW w:w="194" w:type="pct"/>
            <w:shd w:val="clear" w:color="auto" w:fill="auto"/>
            <w:vAlign w:val="center"/>
          </w:tcPr>
          <w:p w14:paraId="11BBD65C">
            <w:pPr>
              <w:jc w:val="center"/>
              <w:rPr>
                <w:rFonts w:eastAsia="Calibri"/>
                <w:sz w:val="18"/>
                <w:szCs w:val="18"/>
                <w:lang w:eastAsia="en-US"/>
              </w:rPr>
            </w:pPr>
            <w:r>
              <w:rPr>
                <w:rFonts w:eastAsia="Calibri"/>
                <w:sz w:val="18"/>
                <w:szCs w:val="18"/>
                <w:lang w:eastAsia="en-US"/>
              </w:rPr>
              <w:t>Ед. изм.</w:t>
            </w:r>
          </w:p>
        </w:tc>
        <w:tc>
          <w:tcPr>
            <w:tcW w:w="233" w:type="pct"/>
            <w:tcBorders>
              <w:bottom w:val="single" w:color="auto" w:sz="4" w:space="0"/>
            </w:tcBorders>
            <w:shd w:val="clear" w:color="auto" w:fill="auto"/>
            <w:vAlign w:val="center"/>
          </w:tcPr>
          <w:p w14:paraId="297CD8D9">
            <w:pPr>
              <w:jc w:val="center"/>
              <w:rPr>
                <w:rFonts w:eastAsia="Calibri"/>
                <w:sz w:val="18"/>
                <w:szCs w:val="18"/>
                <w:lang w:eastAsia="en-US"/>
              </w:rPr>
            </w:pPr>
            <w:r>
              <w:rPr>
                <w:rFonts w:eastAsia="Calibri"/>
                <w:sz w:val="18"/>
                <w:szCs w:val="18"/>
                <w:lang w:eastAsia="en-US"/>
              </w:rPr>
              <w:t>Кол- во</w:t>
            </w:r>
          </w:p>
        </w:tc>
        <w:tc>
          <w:tcPr>
            <w:tcW w:w="982" w:type="pct"/>
            <w:tcBorders>
              <w:top w:val="single" w:color="auto" w:sz="4" w:space="0"/>
              <w:left w:val="single" w:color="auto" w:sz="4" w:space="0"/>
              <w:bottom w:val="single" w:color="auto" w:sz="4" w:space="0"/>
              <w:right w:val="single" w:color="auto" w:sz="4" w:space="0"/>
            </w:tcBorders>
            <w:shd w:val="clear" w:color="auto" w:fill="auto"/>
            <w:vAlign w:val="center"/>
          </w:tcPr>
          <w:p w14:paraId="0407FD66">
            <w:pPr>
              <w:jc w:val="center"/>
              <w:rPr>
                <w:rFonts w:eastAsia="Calibri"/>
                <w:sz w:val="18"/>
                <w:szCs w:val="18"/>
                <w:lang w:eastAsia="en-US"/>
              </w:rPr>
            </w:pPr>
            <w:r>
              <w:rPr>
                <w:rFonts w:eastAsia="Calibri"/>
                <w:sz w:val="18"/>
                <w:szCs w:val="18"/>
              </w:rPr>
              <w:t>Цена (руб.) за ед. изм.,  включая в себя стоимость товара, тары, упаковки, транспортные расходы, расходы на страхование, уплату налогов,</w:t>
            </w:r>
            <w:r>
              <w:rPr>
                <w:sz w:val="18"/>
                <w:szCs w:val="18"/>
              </w:rPr>
              <w:t xml:space="preserve"> </w:t>
            </w:r>
            <w:r>
              <w:rPr>
                <w:rFonts w:eastAsia="Calibri"/>
                <w:sz w:val="18"/>
                <w:szCs w:val="18"/>
              </w:rPr>
              <w:t>в том числе НДС (либо НДС не облагается), сборов и других обязательных платежей, а также гарантийные обязательства</w:t>
            </w:r>
          </w:p>
        </w:tc>
        <w:tc>
          <w:tcPr>
            <w:tcW w:w="1052" w:type="pct"/>
            <w:tcBorders>
              <w:top w:val="single" w:color="auto" w:sz="4" w:space="0"/>
              <w:left w:val="single" w:color="auto" w:sz="4" w:space="0"/>
              <w:bottom w:val="single" w:color="auto" w:sz="4" w:space="0"/>
              <w:right w:val="single" w:color="auto" w:sz="4" w:space="0"/>
            </w:tcBorders>
            <w:shd w:val="clear" w:color="auto" w:fill="auto"/>
            <w:vAlign w:val="center"/>
          </w:tcPr>
          <w:p w14:paraId="5BF2BC6E">
            <w:pPr>
              <w:jc w:val="center"/>
              <w:rPr>
                <w:rFonts w:eastAsia="Calibri"/>
                <w:sz w:val="18"/>
                <w:szCs w:val="18"/>
                <w:lang w:eastAsia="en-US"/>
              </w:rPr>
            </w:pPr>
            <w:r>
              <w:rPr>
                <w:rFonts w:eastAsia="Calibri"/>
                <w:sz w:val="18"/>
                <w:szCs w:val="18"/>
              </w:rPr>
              <w:t>Цена Контракта (руб.)   включая в себя стоимость товара, тары, упаковки, транспортные расходы, расходы на страхование, уплату налогов, в том числе НДС (либо НДС не облагается), сборов и других обязательных платежей, а также гарантийные обязательства</w:t>
            </w:r>
          </w:p>
        </w:tc>
      </w:tr>
      <w:tr w14:paraId="1E0BC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249" w:type="pct"/>
            <w:shd w:val="clear" w:color="auto" w:fill="auto"/>
            <w:vAlign w:val="center"/>
          </w:tcPr>
          <w:p w14:paraId="5E840502">
            <w:pPr>
              <w:numPr>
                <w:ilvl w:val="0"/>
                <w:numId w:val="5"/>
              </w:numPr>
              <w:rPr>
                <w:rFonts w:eastAsia="Calibri"/>
                <w:sz w:val="18"/>
                <w:szCs w:val="18"/>
              </w:rPr>
            </w:pPr>
          </w:p>
        </w:tc>
        <w:tc>
          <w:tcPr>
            <w:tcW w:w="948" w:type="pct"/>
            <w:tcBorders>
              <w:top w:val="single" w:color="auto" w:sz="4" w:space="0"/>
              <w:left w:val="single" w:color="auto" w:sz="4" w:space="0"/>
              <w:bottom w:val="single" w:color="auto" w:sz="4" w:space="0"/>
              <w:right w:val="single" w:color="auto" w:sz="4" w:space="0"/>
            </w:tcBorders>
            <w:shd w:val="clear" w:color="auto" w:fill="auto"/>
          </w:tcPr>
          <w:p w14:paraId="1A6C3AF3">
            <w:pPr>
              <w:jc w:val="center"/>
              <w:rPr>
                <w:color w:val="000000"/>
                <w:sz w:val="18"/>
                <w:szCs w:val="18"/>
              </w:rPr>
            </w:pPr>
            <w:r>
              <w:rPr>
                <w:color w:val="000000"/>
                <w:sz w:val="18"/>
                <w:szCs w:val="18"/>
              </w:rPr>
              <w:t xml:space="preserve">Песок </w:t>
            </w:r>
          </w:p>
        </w:tc>
        <w:tc>
          <w:tcPr>
            <w:tcW w:w="800" w:type="pct"/>
            <w:vAlign w:val="center"/>
          </w:tcPr>
          <w:p w14:paraId="662B86E7">
            <w:pPr>
              <w:jc w:val="center"/>
              <w:rPr>
                <w:color w:val="000000"/>
                <w:sz w:val="18"/>
                <w:szCs w:val="18"/>
              </w:rPr>
            </w:pPr>
            <w:r>
              <w:rPr>
                <w:color w:val="000000"/>
                <w:sz w:val="18"/>
                <w:szCs w:val="18"/>
              </w:rPr>
              <w:t>песок</w:t>
            </w:r>
          </w:p>
        </w:tc>
        <w:tc>
          <w:tcPr>
            <w:tcW w:w="541" w:type="pct"/>
            <w:shd w:val="clear" w:color="auto" w:fill="auto"/>
            <w:vAlign w:val="center"/>
          </w:tcPr>
          <w:p w14:paraId="6E952FD6">
            <w:pPr>
              <w:spacing w:line="259" w:lineRule="auto"/>
              <w:ind w:right="48"/>
              <w:jc w:val="center"/>
              <w:rPr>
                <w:color w:val="000000"/>
                <w:sz w:val="8"/>
                <w:szCs w:val="18"/>
              </w:rPr>
            </w:pPr>
          </w:p>
          <w:p w14:paraId="5C5E3522">
            <w:pPr>
              <w:spacing w:line="259" w:lineRule="auto"/>
              <w:ind w:right="48"/>
              <w:jc w:val="center"/>
              <w:rPr>
                <w:color w:val="000000"/>
                <w:sz w:val="18"/>
                <w:szCs w:val="18"/>
              </w:rPr>
            </w:pPr>
            <w:r>
              <w:rPr>
                <w:color w:val="000000"/>
                <w:sz w:val="18"/>
                <w:szCs w:val="18"/>
              </w:rPr>
              <w:t>08.12.11.190</w:t>
            </w:r>
          </w:p>
        </w:tc>
        <w:tc>
          <w:tcPr>
            <w:tcW w:w="194" w:type="pct"/>
            <w:tcBorders>
              <w:top w:val="single" w:color="auto" w:sz="4" w:space="0"/>
              <w:left w:val="single" w:color="auto" w:sz="4" w:space="0"/>
              <w:bottom w:val="single" w:color="auto" w:sz="4" w:space="0"/>
              <w:right w:val="single" w:color="auto" w:sz="4" w:space="0"/>
            </w:tcBorders>
            <w:shd w:val="clear" w:color="auto" w:fill="auto"/>
            <w:vAlign w:val="center"/>
          </w:tcPr>
          <w:p w14:paraId="2FEAD3DF">
            <w:pPr>
              <w:jc w:val="center"/>
              <w:rPr>
                <w:color w:val="000000"/>
                <w:sz w:val="18"/>
                <w:szCs w:val="18"/>
              </w:rPr>
            </w:pPr>
            <w:r>
              <w:rPr>
                <w:color w:val="000000"/>
                <w:sz w:val="18"/>
                <w:szCs w:val="18"/>
              </w:rPr>
              <w:t>т</w:t>
            </w:r>
          </w:p>
        </w:tc>
        <w:tc>
          <w:tcPr>
            <w:tcW w:w="233" w:type="pct"/>
            <w:tcBorders>
              <w:top w:val="single" w:color="auto" w:sz="4" w:space="0"/>
              <w:left w:val="nil"/>
              <w:bottom w:val="single" w:color="auto" w:sz="4" w:space="0"/>
              <w:right w:val="nil"/>
            </w:tcBorders>
            <w:shd w:val="clear" w:color="auto" w:fill="auto"/>
            <w:vAlign w:val="center"/>
          </w:tcPr>
          <w:p w14:paraId="727E39A2">
            <w:pPr>
              <w:jc w:val="center"/>
              <w:rPr>
                <w:rFonts w:hint="default"/>
                <w:color w:val="000000"/>
                <w:sz w:val="18"/>
                <w:szCs w:val="18"/>
                <w:lang w:val="ru-RU"/>
              </w:rPr>
            </w:pPr>
            <w:r>
              <w:rPr>
                <w:color w:val="000000"/>
                <w:sz w:val="18"/>
                <w:szCs w:val="18"/>
              </w:rPr>
              <w:t>1</w:t>
            </w:r>
            <w:r>
              <w:rPr>
                <w:rFonts w:hint="default"/>
                <w:color w:val="000000"/>
                <w:sz w:val="18"/>
                <w:szCs w:val="18"/>
                <w:lang w:val="ru-RU"/>
              </w:rPr>
              <w:t>0</w:t>
            </w:r>
          </w:p>
        </w:tc>
        <w:tc>
          <w:tcPr>
            <w:tcW w:w="982" w:type="pct"/>
            <w:shd w:val="clear" w:color="auto" w:fill="auto"/>
          </w:tcPr>
          <w:p w14:paraId="28B318C7">
            <w:pPr>
              <w:tabs>
                <w:tab w:val="left" w:pos="268"/>
              </w:tabs>
              <w:rPr>
                <w:sz w:val="18"/>
                <w:szCs w:val="18"/>
              </w:rPr>
            </w:pPr>
            <w:r>
              <w:rPr>
                <w:sz w:val="18"/>
                <w:szCs w:val="18"/>
              </w:rPr>
              <w:tab/>
            </w:r>
          </w:p>
        </w:tc>
        <w:tc>
          <w:tcPr>
            <w:tcW w:w="1052" w:type="pct"/>
            <w:shd w:val="clear" w:color="auto" w:fill="auto"/>
            <w:vAlign w:val="center"/>
          </w:tcPr>
          <w:p w14:paraId="5AA000A5">
            <w:pPr>
              <w:jc w:val="center"/>
              <w:rPr>
                <w:color w:val="000000"/>
                <w:sz w:val="18"/>
                <w:szCs w:val="18"/>
              </w:rPr>
            </w:pPr>
          </w:p>
        </w:tc>
      </w:tr>
    </w:tbl>
    <w:p w14:paraId="1F58DC07">
      <w:pPr>
        <w:widowControl w:val="0"/>
        <w:autoSpaceDE w:val="0"/>
        <w:autoSpaceDN w:val="0"/>
        <w:rPr>
          <w:b/>
          <w:sz w:val="18"/>
          <w:szCs w:val="18"/>
        </w:rPr>
      </w:pPr>
      <w:r>
        <w:rPr>
          <w:sz w:val="22"/>
          <w:szCs w:val="22"/>
        </w:rPr>
        <w:t xml:space="preserve">  </w:t>
      </w:r>
      <w:r>
        <w:rPr>
          <w:sz w:val="18"/>
          <w:szCs w:val="18"/>
        </w:rPr>
        <w:t>Сумма Контракта: ________________________________________________________________________</w:t>
      </w:r>
    </w:p>
    <w:p w14:paraId="4E4A1434">
      <w:pPr>
        <w:ind w:firstLine="426"/>
        <w:jc w:val="both"/>
        <w:rPr>
          <w:sz w:val="18"/>
          <w:szCs w:val="18"/>
        </w:rPr>
      </w:pPr>
      <w:r>
        <w:rPr>
          <w:color w:val="000000"/>
          <w:sz w:val="18"/>
          <w:szCs w:val="18"/>
        </w:rPr>
        <w:t xml:space="preserve">Поставляемый товар должен быть новым, не бывшим в употреблении. </w:t>
      </w:r>
      <w:r>
        <w:rPr>
          <w:sz w:val="18"/>
          <w:szCs w:val="18"/>
        </w:rPr>
        <w:t>Весь товар должен быть должным образом упакован. Упаковка должна предохранять товар от порчи во время транспортировки, перегрузки и хранения в необходимых условиях. Товар должен быть упакован в потребительскую и транспортную тару, изготовленную из материала, разрешенную к применению в соответствии с требованиями ТР ТС 005/2011 «О безопасности упаковки».</w:t>
      </w:r>
    </w:p>
    <w:p w14:paraId="72361C69">
      <w:pPr>
        <w:ind w:firstLine="426"/>
        <w:jc w:val="both"/>
        <w:rPr>
          <w:color w:val="000000"/>
          <w:sz w:val="18"/>
          <w:szCs w:val="18"/>
        </w:rPr>
      </w:pPr>
      <w:r>
        <w:rPr>
          <w:color w:val="000000"/>
          <w:sz w:val="18"/>
          <w:szCs w:val="18"/>
        </w:rPr>
        <w:t>Поставка товара осуществляется за счет Поставщика до склада ФКУ ИК-3 ГУФСИН России по Новосибирской области</w:t>
      </w:r>
      <w:r>
        <w:rPr>
          <w:sz w:val="18"/>
          <w:szCs w:val="18"/>
        </w:rPr>
        <w:t xml:space="preserve"> по адресу: 630097, </w:t>
      </w:r>
      <w:r>
        <w:rPr>
          <w:sz w:val="18"/>
          <w:szCs w:val="18"/>
        </w:rPr>
        <w:br w:type="textWrapping"/>
      </w:r>
      <w:r>
        <w:rPr>
          <w:sz w:val="18"/>
          <w:szCs w:val="18"/>
        </w:rPr>
        <w:t xml:space="preserve">г. Новосибирск, ул. Звездная, 34, в </w:t>
      </w:r>
      <w:r>
        <w:rPr>
          <w:b/>
          <w:sz w:val="18"/>
          <w:szCs w:val="18"/>
        </w:rPr>
        <w:t xml:space="preserve">срок с момента заключения Государственного контракта в течение </w:t>
      </w:r>
      <w:r>
        <w:rPr>
          <w:rFonts w:hint="default"/>
          <w:b/>
          <w:sz w:val="18"/>
          <w:szCs w:val="18"/>
          <w:lang w:val="ru-RU"/>
        </w:rPr>
        <w:t>1</w:t>
      </w:r>
      <w:r>
        <w:rPr>
          <w:b/>
          <w:sz w:val="18"/>
          <w:szCs w:val="18"/>
        </w:rPr>
        <w:t xml:space="preserve">  рабоч</w:t>
      </w:r>
      <w:r>
        <w:rPr>
          <w:b/>
          <w:sz w:val="18"/>
          <w:szCs w:val="18"/>
          <w:lang w:val="ru-RU"/>
        </w:rPr>
        <w:t>его</w:t>
      </w:r>
      <w:r>
        <w:rPr>
          <w:b/>
          <w:sz w:val="18"/>
          <w:szCs w:val="18"/>
        </w:rPr>
        <w:t xml:space="preserve"> дн</w:t>
      </w:r>
      <w:r>
        <w:rPr>
          <w:b/>
          <w:sz w:val="18"/>
          <w:szCs w:val="18"/>
          <w:lang w:val="ru-RU"/>
        </w:rPr>
        <w:t>я</w:t>
      </w:r>
      <w:bookmarkStart w:id="2" w:name="_GoBack"/>
      <w:bookmarkEnd w:id="2"/>
      <w:r>
        <w:rPr>
          <w:color w:val="000000"/>
          <w:sz w:val="18"/>
          <w:szCs w:val="18"/>
        </w:rPr>
        <w:t xml:space="preserve">. Доставка товара производится транспортом Поставщика. </w:t>
      </w:r>
    </w:p>
    <w:p w14:paraId="44475BC5">
      <w:pPr>
        <w:ind w:firstLine="426"/>
        <w:jc w:val="both"/>
        <w:rPr>
          <w:sz w:val="18"/>
          <w:szCs w:val="18"/>
        </w:rPr>
      </w:pPr>
      <w:r>
        <w:rPr>
          <w:b/>
          <w:sz w:val="18"/>
          <w:szCs w:val="18"/>
        </w:rPr>
        <w:t xml:space="preserve">Адрес и контактный телефон Государственного заказчика: </w:t>
      </w:r>
      <w:r>
        <w:rPr>
          <w:sz w:val="18"/>
          <w:szCs w:val="18"/>
        </w:rPr>
        <w:t xml:space="preserve">630097, г. Новосибирск, ул. Звездная, 34.  тел. +7 (383) 337-78-26.         </w:t>
      </w:r>
    </w:p>
    <w:p w14:paraId="73BC8048">
      <w:pPr>
        <w:ind w:firstLine="426"/>
        <w:jc w:val="both"/>
        <w:rPr>
          <w:vanish/>
          <w:sz w:val="18"/>
          <w:szCs w:val="18"/>
        </w:rPr>
      </w:pPr>
      <w:r>
        <w:rPr>
          <w:b/>
          <w:bCs/>
          <w:sz w:val="18"/>
          <w:szCs w:val="18"/>
        </w:rPr>
        <w:t>Место поставки товара</w:t>
      </w:r>
      <w:r>
        <w:rPr>
          <w:sz w:val="18"/>
          <w:szCs w:val="18"/>
        </w:rPr>
        <w:t xml:space="preserve">: ФКУ ИК-3 ГУФСИН России по Новосибирской области,630097,г.Новосибирск,ул.Звездная,34.   </w:t>
      </w:r>
    </w:p>
    <w:tbl>
      <w:tblPr>
        <w:tblStyle w:val="5"/>
        <w:tblpPr w:leftFromText="180" w:rightFromText="180" w:vertAnchor="text" w:horzAnchor="margin" w:tblpY="14"/>
        <w:tblOverlap w:val="never"/>
        <w:tblW w:w="5000" w:type="pct"/>
        <w:tblInd w:w="0" w:type="dxa"/>
        <w:tblLayout w:type="autofit"/>
        <w:tblCellMar>
          <w:top w:w="0" w:type="dxa"/>
          <w:left w:w="108" w:type="dxa"/>
          <w:bottom w:w="0" w:type="dxa"/>
          <w:right w:w="108" w:type="dxa"/>
        </w:tblCellMar>
      </w:tblPr>
      <w:tblGrid>
        <w:gridCol w:w="5357"/>
        <w:gridCol w:w="4491"/>
        <w:gridCol w:w="5677"/>
      </w:tblGrid>
      <w:tr w14:paraId="0F581401">
        <w:tblPrEx>
          <w:tblCellMar>
            <w:top w:w="0" w:type="dxa"/>
            <w:left w:w="108" w:type="dxa"/>
            <w:bottom w:w="0" w:type="dxa"/>
            <w:right w:w="108" w:type="dxa"/>
          </w:tblCellMar>
        </w:tblPrEx>
        <w:trPr>
          <w:trHeight w:val="100" w:hRule="atLeast"/>
        </w:trPr>
        <w:tc>
          <w:tcPr>
            <w:tcW w:w="1725" w:type="pct"/>
            <w:tcBorders>
              <w:top w:val="nil"/>
              <w:left w:val="nil"/>
              <w:bottom w:val="nil"/>
              <w:right w:val="nil"/>
            </w:tcBorders>
          </w:tcPr>
          <w:p w14:paraId="720C718C">
            <w:pPr>
              <w:widowControl w:val="0"/>
              <w:ind w:right="-315"/>
              <w:jc w:val="both"/>
              <w:rPr>
                <w:b/>
                <w:bCs/>
              </w:rPr>
            </w:pPr>
            <w:r>
              <w:rPr>
                <w:b/>
                <w:bCs/>
              </w:rPr>
              <w:t>ГОСУДАРСТВЕННЫЙ ЗАКАЗЧИК</w:t>
            </w:r>
          </w:p>
        </w:tc>
        <w:tc>
          <w:tcPr>
            <w:tcW w:w="1446" w:type="pct"/>
            <w:tcBorders>
              <w:top w:val="nil"/>
              <w:left w:val="nil"/>
              <w:bottom w:val="nil"/>
              <w:right w:val="nil"/>
            </w:tcBorders>
          </w:tcPr>
          <w:p w14:paraId="72646582">
            <w:pPr>
              <w:widowControl w:val="0"/>
              <w:ind w:right="-315"/>
              <w:jc w:val="both"/>
              <w:rPr>
                <w:b/>
                <w:bCs/>
              </w:rPr>
            </w:pPr>
          </w:p>
        </w:tc>
        <w:tc>
          <w:tcPr>
            <w:tcW w:w="1828" w:type="pct"/>
            <w:tcBorders>
              <w:top w:val="nil"/>
              <w:left w:val="nil"/>
              <w:right w:val="nil"/>
            </w:tcBorders>
          </w:tcPr>
          <w:p w14:paraId="0002BA09">
            <w:pPr>
              <w:widowControl w:val="0"/>
              <w:ind w:right="-315"/>
              <w:jc w:val="both"/>
              <w:rPr>
                <w:b/>
                <w:bCs/>
              </w:rPr>
            </w:pPr>
            <w:r>
              <w:rPr>
                <w:b/>
                <w:bCs/>
              </w:rPr>
              <w:t>ПОСТАВЩИК</w:t>
            </w:r>
          </w:p>
        </w:tc>
      </w:tr>
      <w:tr w14:paraId="1379E965">
        <w:tblPrEx>
          <w:tblCellMar>
            <w:top w:w="0" w:type="dxa"/>
            <w:left w:w="108" w:type="dxa"/>
            <w:bottom w:w="0" w:type="dxa"/>
            <w:right w:w="108" w:type="dxa"/>
          </w:tblCellMar>
        </w:tblPrEx>
        <w:trPr>
          <w:trHeight w:val="421" w:hRule="atLeast"/>
        </w:trPr>
        <w:tc>
          <w:tcPr>
            <w:tcW w:w="1725" w:type="pct"/>
            <w:tcBorders>
              <w:top w:val="nil"/>
              <w:left w:val="nil"/>
              <w:bottom w:val="nil"/>
              <w:right w:val="nil"/>
            </w:tcBorders>
          </w:tcPr>
          <w:p w14:paraId="694D3182">
            <w:pPr>
              <w:widowControl w:val="0"/>
              <w:ind w:right="-315"/>
              <w:jc w:val="both"/>
            </w:pPr>
          </w:p>
          <w:p w14:paraId="7F8D2399">
            <w:pPr>
              <w:widowControl w:val="0"/>
              <w:ind w:right="-315"/>
              <w:jc w:val="both"/>
            </w:pPr>
            <w:r>
              <w:t>__________________________ Ф.И.О.</w:t>
            </w:r>
          </w:p>
          <w:p w14:paraId="2B19A403">
            <w:pPr>
              <w:widowControl w:val="0"/>
              <w:ind w:right="-315"/>
              <w:jc w:val="both"/>
            </w:pPr>
            <w:r>
              <w:t>МП</w:t>
            </w:r>
          </w:p>
        </w:tc>
        <w:tc>
          <w:tcPr>
            <w:tcW w:w="1446" w:type="pct"/>
            <w:tcBorders>
              <w:top w:val="nil"/>
              <w:left w:val="nil"/>
              <w:bottom w:val="nil"/>
            </w:tcBorders>
          </w:tcPr>
          <w:p w14:paraId="4629A76C">
            <w:pPr>
              <w:widowControl w:val="0"/>
              <w:ind w:right="-315"/>
              <w:rPr>
                <w:snapToGrid w:val="0"/>
              </w:rPr>
            </w:pPr>
          </w:p>
        </w:tc>
        <w:tc>
          <w:tcPr>
            <w:tcW w:w="1828" w:type="pct"/>
          </w:tcPr>
          <w:p w14:paraId="759E6F99">
            <w:pPr>
              <w:widowControl w:val="0"/>
              <w:ind w:right="-315"/>
              <w:rPr>
                <w:snapToGrid w:val="0"/>
              </w:rPr>
            </w:pPr>
          </w:p>
          <w:p w14:paraId="4520E310">
            <w:pPr>
              <w:widowControl w:val="0"/>
              <w:ind w:right="-315"/>
              <w:jc w:val="both"/>
              <w:rPr>
                <w:snapToGrid w:val="0"/>
              </w:rPr>
            </w:pPr>
            <w:r>
              <w:rPr>
                <w:snapToGrid w:val="0"/>
              </w:rPr>
              <w:t>___________________________ Ф.И.О.</w:t>
            </w:r>
          </w:p>
          <w:p w14:paraId="23A592F4">
            <w:pPr>
              <w:widowControl w:val="0"/>
              <w:ind w:right="-315"/>
              <w:jc w:val="both"/>
              <w:rPr>
                <w:snapToGrid w:val="0"/>
              </w:rPr>
            </w:pPr>
            <w:r>
              <w:rPr>
                <w:snapToGrid w:val="0"/>
              </w:rPr>
              <w:t>МП</w:t>
            </w:r>
          </w:p>
        </w:tc>
      </w:tr>
    </w:tbl>
    <w:p w14:paraId="72FD23A1">
      <w:pPr>
        <w:widowControl w:val="0"/>
        <w:outlineLvl w:val="0"/>
        <w:rPr>
          <w:b/>
        </w:rPr>
      </w:pPr>
    </w:p>
    <w:p w14:paraId="5E1E1847">
      <w:pPr>
        <w:widowControl w:val="0"/>
        <w:outlineLvl w:val="0"/>
        <w:rPr>
          <w:b/>
        </w:rPr>
      </w:pPr>
    </w:p>
    <w:p w14:paraId="2C91C7A6">
      <w:pPr>
        <w:widowControl w:val="0"/>
        <w:outlineLvl w:val="0"/>
        <w:rPr>
          <w:b/>
        </w:rPr>
      </w:pPr>
    </w:p>
    <w:p w14:paraId="1ADD38DD">
      <w:pPr>
        <w:widowControl w:val="0"/>
        <w:outlineLvl w:val="0"/>
        <w:rPr>
          <w:b/>
        </w:rPr>
      </w:pPr>
    </w:p>
    <w:p w14:paraId="51630482">
      <w:pPr>
        <w:widowControl w:val="0"/>
        <w:outlineLvl w:val="0"/>
        <w:rPr>
          <w:b/>
        </w:rPr>
      </w:pPr>
    </w:p>
    <w:p w14:paraId="2D607237">
      <w:pPr>
        <w:widowControl w:val="0"/>
        <w:outlineLvl w:val="0"/>
        <w:rPr>
          <w:b/>
        </w:rPr>
      </w:pPr>
    </w:p>
    <w:p w14:paraId="4771B689">
      <w:pPr>
        <w:widowControl w:val="0"/>
        <w:outlineLvl w:val="0"/>
        <w:rPr>
          <w:b/>
        </w:rPr>
      </w:pPr>
    </w:p>
    <w:p w14:paraId="04EA5025">
      <w:pPr>
        <w:widowControl w:val="0"/>
        <w:outlineLvl w:val="0"/>
        <w:rPr>
          <w:b/>
        </w:rPr>
      </w:pPr>
    </w:p>
    <w:p w14:paraId="33CD8398">
      <w:pPr>
        <w:widowControl w:val="0"/>
        <w:outlineLvl w:val="0"/>
        <w:rPr>
          <w:b/>
        </w:rPr>
      </w:pPr>
    </w:p>
    <w:p w14:paraId="2EFB8570">
      <w:pPr>
        <w:widowControl w:val="0"/>
        <w:outlineLvl w:val="0"/>
        <w:rPr>
          <w:b/>
        </w:rPr>
      </w:pPr>
    </w:p>
    <w:p w14:paraId="5BD75795">
      <w:pPr>
        <w:widowControl w:val="0"/>
        <w:outlineLvl w:val="0"/>
        <w:rPr>
          <w:b/>
        </w:rPr>
      </w:pPr>
    </w:p>
    <w:p w14:paraId="076CAC66">
      <w:pPr>
        <w:widowControl w:val="0"/>
        <w:outlineLvl w:val="0"/>
        <w:rPr>
          <w:b/>
        </w:rPr>
      </w:pPr>
    </w:p>
    <w:p w14:paraId="44BEE08D">
      <w:pPr>
        <w:widowControl w:val="0"/>
        <w:outlineLvl w:val="0"/>
        <w:rPr>
          <w:b/>
        </w:rPr>
      </w:pPr>
    </w:p>
    <w:p w14:paraId="0D64736B">
      <w:pPr>
        <w:widowControl w:val="0"/>
        <w:jc w:val="right"/>
        <w:outlineLvl w:val="0"/>
      </w:pPr>
      <w:r>
        <w:rPr>
          <w:b/>
        </w:rPr>
        <w:t>Приложение № 2</w:t>
      </w:r>
    </w:p>
    <w:p w14:paraId="5CF6CA32">
      <w:pPr>
        <w:widowControl w:val="0"/>
        <w:jc w:val="right"/>
      </w:pPr>
      <w:r>
        <w:t xml:space="preserve">к Государственному контракту на поставку товара </w:t>
      </w:r>
    </w:p>
    <w:p w14:paraId="4C32A92E">
      <w:pPr>
        <w:widowControl w:val="0"/>
        <w:tabs>
          <w:tab w:val="left" w:pos="0"/>
          <w:tab w:val="right" w:pos="14644"/>
        </w:tabs>
        <w:jc w:val="right"/>
      </w:pPr>
      <w:r>
        <w:tab/>
      </w:r>
      <w:r>
        <w:t>от « __ » _______ 2026г.  № _______</w:t>
      </w:r>
    </w:p>
    <w:p w14:paraId="0FA4744B">
      <w:pPr>
        <w:widowControl w:val="0"/>
        <w:tabs>
          <w:tab w:val="left" w:pos="0"/>
          <w:tab w:val="right" w:pos="14644"/>
        </w:tabs>
        <w:jc w:val="center"/>
        <w:rPr>
          <w:sz w:val="22"/>
          <w:szCs w:val="22"/>
        </w:rPr>
      </w:pPr>
      <w:r>
        <w:rPr>
          <w:b/>
        </w:rPr>
        <w:t>(</w:t>
      </w:r>
      <w:r>
        <w:rPr>
          <w:b/>
          <w:sz w:val="22"/>
          <w:szCs w:val="22"/>
        </w:rPr>
        <w:t>форма)</w:t>
      </w:r>
    </w:p>
    <w:p w14:paraId="0D38C1E1">
      <w:pPr>
        <w:jc w:val="center"/>
        <w:rPr>
          <w:b/>
          <w:sz w:val="22"/>
          <w:szCs w:val="22"/>
        </w:rPr>
      </w:pPr>
      <w:r>
        <w:rPr>
          <w:b/>
          <w:sz w:val="22"/>
          <w:szCs w:val="22"/>
        </w:rPr>
        <w:t xml:space="preserve">Акт приема-передачи товара № ____ </w:t>
      </w:r>
    </w:p>
    <w:p w14:paraId="290EF495">
      <w:pPr>
        <w:spacing w:after="120"/>
        <w:jc w:val="center"/>
        <w:rPr>
          <w:sz w:val="22"/>
          <w:szCs w:val="22"/>
        </w:rPr>
      </w:pPr>
      <w:r>
        <w:rPr>
          <w:sz w:val="22"/>
          <w:szCs w:val="22"/>
        </w:rPr>
        <w:t>по Государственному контракту от « __ » ___________ 2026 г. № ________</w:t>
      </w:r>
    </w:p>
    <w:p w14:paraId="761B2A98">
      <w:pPr>
        <w:tabs>
          <w:tab w:val="left" w:pos="600"/>
        </w:tabs>
        <w:ind w:firstLine="567"/>
        <w:jc w:val="both"/>
        <w:rPr>
          <w:sz w:val="22"/>
          <w:szCs w:val="22"/>
        </w:rPr>
      </w:pPr>
      <w:r>
        <w:rPr>
          <w:sz w:val="22"/>
          <w:szCs w:val="22"/>
        </w:rPr>
        <w:t>Мы, нижеподписавшиеся, представитель Поставщика в лице __________, действующий на основании _____ с одной стороны, представитель Государственного заказчика в лице __________, действующий на основании _______________ с другой стороны, составили настоящий Акт о нижеследующем:</w:t>
      </w:r>
    </w:p>
    <w:p w14:paraId="572DA9DC">
      <w:pPr>
        <w:ind w:firstLine="567"/>
        <w:jc w:val="both"/>
        <w:rPr>
          <w:sz w:val="22"/>
          <w:szCs w:val="22"/>
        </w:rPr>
      </w:pPr>
      <w:r>
        <w:rPr>
          <w:sz w:val="22"/>
          <w:szCs w:val="22"/>
        </w:rPr>
        <w:t>В соответствии с условиями Государственного контракта от «__</w:t>
      </w:r>
      <w:r>
        <w:rPr>
          <w:sz w:val="22"/>
          <w:szCs w:val="22"/>
          <w:shd w:val="clear" w:color="auto" w:fill="FFFFFF"/>
        </w:rPr>
        <w:t>__»__</w:t>
      </w:r>
      <w:r>
        <w:rPr>
          <w:sz w:val="22"/>
          <w:szCs w:val="22"/>
        </w:rPr>
        <w:t>_____ 2026 г. № ____, Поставщик поставил, а Государственный заказчик принял и оприходовал товар, указанный в нижеприведенной таблице:</w:t>
      </w:r>
    </w:p>
    <w:tbl>
      <w:tblPr>
        <w:tblStyle w:val="5"/>
        <w:tblW w:w="14983" w:type="dxa"/>
        <w:jc w:val="center"/>
        <w:tblBorders>
          <w:top w:val="single" w:color="000001" w:sz="4" w:space="0"/>
          <w:left w:val="single" w:color="000001" w:sz="4" w:space="0"/>
          <w:bottom w:val="single" w:color="000001" w:sz="4" w:space="0"/>
          <w:right w:val="single" w:color="000001" w:sz="4" w:space="0"/>
          <w:insideH w:val="single" w:color="000001" w:sz="4" w:space="0"/>
          <w:insideV w:val="single" w:color="000001" w:sz="4" w:space="0"/>
        </w:tblBorders>
        <w:tblLayout w:type="autofit"/>
        <w:tblCellMar>
          <w:top w:w="0" w:type="dxa"/>
          <w:left w:w="103" w:type="dxa"/>
          <w:bottom w:w="0" w:type="dxa"/>
          <w:right w:w="108" w:type="dxa"/>
        </w:tblCellMar>
      </w:tblPr>
      <w:tblGrid>
        <w:gridCol w:w="535"/>
        <w:gridCol w:w="2582"/>
        <w:gridCol w:w="653"/>
        <w:gridCol w:w="713"/>
        <w:gridCol w:w="5044"/>
        <w:gridCol w:w="5456"/>
      </w:tblGrid>
      <w:tr w14:paraId="116430CF">
        <w:tblPrEx>
          <w:tblBorders>
            <w:top w:val="single" w:color="000001" w:sz="4" w:space="0"/>
            <w:left w:val="single" w:color="000001" w:sz="4" w:space="0"/>
            <w:bottom w:val="single" w:color="000001" w:sz="4" w:space="0"/>
            <w:right w:val="single" w:color="000001" w:sz="4" w:space="0"/>
            <w:insideH w:val="single" w:color="000001" w:sz="4" w:space="0"/>
            <w:insideV w:val="single" w:color="000001" w:sz="4" w:space="0"/>
          </w:tblBorders>
          <w:tblCellMar>
            <w:top w:w="0" w:type="dxa"/>
            <w:left w:w="103" w:type="dxa"/>
            <w:bottom w:w="0" w:type="dxa"/>
            <w:right w:w="108" w:type="dxa"/>
          </w:tblCellMar>
        </w:tblPrEx>
        <w:trPr>
          <w:trHeight w:val="885" w:hRule="atLeast"/>
          <w:jc w:val="center"/>
        </w:trPr>
        <w:tc>
          <w:tcPr>
            <w:tcW w:w="535" w:type="dxa"/>
            <w:tcBorders>
              <w:top w:val="single" w:color="000001" w:sz="4" w:space="0"/>
              <w:left w:val="single" w:color="000001" w:sz="4" w:space="0"/>
              <w:bottom w:val="single" w:color="000001" w:sz="4" w:space="0"/>
              <w:right w:val="single" w:color="000001" w:sz="4" w:space="0"/>
            </w:tcBorders>
            <w:shd w:val="clear" w:color="auto" w:fill="auto"/>
            <w:tcMar>
              <w:left w:w="103" w:type="dxa"/>
            </w:tcMar>
            <w:vAlign w:val="center"/>
          </w:tcPr>
          <w:p w14:paraId="5D5A709B">
            <w:pPr>
              <w:tabs>
                <w:tab w:val="left" w:pos="1065"/>
              </w:tabs>
              <w:jc w:val="center"/>
              <w:rPr>
                <w:sz w:val="20"/>
                <w:szCs w:val="20"/>
              </w:rPr>
            </w:pPr>
            <w:r>
              <w:rPr>
                <w:sz w:val="20"/>
                <w:szCs w:val="20"/>
              </w:rPr>
              <w:t>№ п/п</w:t>
            </w:r>
          </w:p>
        </w:tc>
        <w:tc>
          <w:tcPr>
            <w:tcW w:w="2582" w:type="dxa"/>
            <w:tcBorders>
              <w:top w:val="single" w:color="000001" w:sz="4" w:space="0"/>
              <w:left w:val="single" w:color="000001" w:sz="4" w:space="0"/>
              <w:bottom w:val="single" w:color="000001" w:sz="4" w:space="0"/>
              <w:right w:val="single" w:color="000001" w:sz="4" w:space="0"/>
            </w:tcBorders>
            <w:shd w:val="clear" w:color="auto" w:fill="auto"/>
            <w:tcMar>
              <w:left w:w="103" w:type="dxa"/>
            </w:tcMar>
            <w:vAlign w:val="center"/>
          </w:tcPr>
          <w:p w14:paraId="554F45F8">
            <w:pPr>
              <w:tabs>
                <w:tab w:val="left" w:pos="1065"/>
              </w:tabs>
              <w:jc w:val="center"/>
              <w:rPr>
                <w:sz w:val="20"/>
                <w:szCs w:val="20"/>
              </w:rPr>
            </w:pPr>
            <w:r>
              <w:rPr>
                <w:sz w:val="20"/>
                <w:szCs w:val="20"/>
              </w:rPr>
              <w:t>Наименование товара</w:t>
            </w:r>
          </w:p>
        </w:tc>
        <w:tc>
          <w:tcPr>
            <w:tcW w:w="653" w:type="dxa"/>
            <w:tcBorders>
              <w:top w:val="single" w:color="000001" w:sz="4" w:space="0"/>
              <w:left w:val="single" w:color="000001" w:sz="4" w:space="0"/>
              <w:bottom w:val="single" w:color="000001" w:sz="4" w:space="0"/>
              <w:right w:val="single" w:color="000001" w:sz="4" w:space="0"/>
            </w:tcBorders>
            <w:shd w:val="clear" w:color="auto" w:fill="auto"/>
            <w:tcMar>
              <w:left w:w="103" w:type="dxa"/>
            </w:tcMar>
            <w:vAlign w:val="center"/>
          </w:tcPr>
          <w:p w14:paraId="7ED89DCB">
            <w:pPr>
              <w:tabs>
                <w:tab w:val="left" w:pos="1065"/>
              </w:tabs>
              <w:jc w:val="center"/>
              <w:rPr>
                <w:sz w:val="20"/>
                <w:szCs w:val="20"/>
              </w:rPr>
            </w:pPr>
            <w:r>
              <w:rPr>
                <w:sz w:val="20"/>
                <w:szCs w:val="20"/>
              </w:rPr>
              <w:t>Ед. изм.</w:t>
            </w:r>
          </w:p>
        </w:tc>
        <w:tc>
          <w:tcPr>
            <w:tcW w:w="713" w:type="dxa"/>
            <w:tcBorders>
              <w:top w:val="single" w:color="000001" w:sz="4" w:space="0"/>
              <w:left w:val="single" w:color="000001" w:sz="4" w:space="0"/>
              <w:bottom w:val="single" w:color="000001" w:sz="4" w:space="0"/>
              <w:right w:val="single" w:color="000001" w:sz="4" w:space="0"/>
            </w:tcBorders>
            <w:shd w:val="clear" w:color="auto" w:fill="auto"/>
            <w:tcMar>
              <w:left w:w="103" w:type="dxa"/>
            </w:tcMar>
            <w:vAlign w:val="center"/>
          </w:tcPr>
          <w:p w14:paraId="6C1AAAD7">
            <w:pPr>
              <w:tabs>
                <w:tab w:val="left" w:pos="1065"/>
              </w:tabs>
              <w:jc w:val="center"/>
              <w:rPr>
                <w:sz w:val="20"/>
                <w:szCs w:val="20"/>
              </w:rPr>
            </w:pPr>
            <w:r>
              <w:rPr>
                <w:sz w:val="20"/>
                <w:szCs w:val="20"/>
              </w:rPr>
              <w:t>Кол-во</w:t>
            </w:r>
          </w:p>
        </w:tc>
        <w:tc>
          <w:tcPr>
            <w:tcW w:w="5044" w:type="dxa"/>
            <w:tcBorders>
              <w:top w:val="single" w:color="auto" w:sz="4" w:space="0"/>
              <w:left w:val="single" w:color="auto" w:sz="4" w:space="0"/>
              <w:bottom w:val="single" w:color="auto" w:sz="4" w:space="0"/>
              <w:right w:val="single" w:color="auto" w:sz="4" w:space="0"/>
            </w:tcBorders>
            <w:tcMar>
              <w:left w:w="103" w:type="dxa"/>
            </w:tcMar>
          </w:tcPr>
          <w:p w14:paraId="249EFA0E">
            <w:pPr>
              <w:rPr>
                <w:sz w:val="20"/>
                <w:szCs w:val="20"/>
              </w:rPr>
            </w:pPr>
            <w:r>
              <w:rPr>
                <w:sz w:val="20"/>
                <w:szCs w:val="20"/>
              </w:rPr>
              <w:t>Цена (руб.) за ед. изм.,  включая в себя стоимость товара, тары, упаковки, транспортные расходы, расходы на страхование, уплату налогов, в том числе НДС (либо НДС не облагается), сборов и других обязательных платежей, а также гарантийные обязательства</w:t>
            </w:r>
          </w:p>
        </w:tc>
        <w:tc>
          <w:tcPr>
            <w:tcW w:w="5456" w:type="dxa"/>
            <w:tcBorders>
              <w:top w:val="single" w:color="auto" w:sz="4" w:space="0"/>
              <w:left w:val="single" w:color="auto" w:sz="4" w:space="0"/>
              <w:bottom w:val="single" w:color="auto" w:sz="4" w:space="0"/>
              <w:right w:val="single" w:color="auto" w:sz="4" w:space="0"/>
            </w:tcBorders>
            <w:tcMar>
              <w:left w:w="103" w:type="dxa"/>
            </w:tcMar>
          </w:tcPr>
          <w:p w14:paraId="07DF871C">
            <w:pPr>
              <w:rPr>
                <w:sz w:val="20"/>
                <w:szCs w:val="20"/>
              </w:rPr>
            </w:pPr>
            <w:r>
              <w:rPr>
                <w:sz w:val="20"/>
                <w:szCs w:val="20"/>
              </w:rPr>
              <w:t>Цена Контракта (руб.)   включая в себя стоимость товара, тары, упаковки, транспортные расходы, расходы на страхование, уплату налогов, в том числе НДС (либо НДС не облагается) ,сборов и других обязательных платежей, а также гарантийные обязательства</w:t>
            </w:r>
          </w:p>
        </w:tc>
      </w:tr>
      <w:tr w14:paraId="1968FC7D">
        <w:tblPrEx>
          <w:tblBorders>
            <w:top w:val="single" w:color="000001" w:sz="4" w:space="0"/>
            <w:left w:val="single" w:color="000001" w:sz="4" w:space="0"/>
            <w:bottom w:val="single" w:color="000001" w:sz="4" w:space="0"/>
            <w:right w:val="single" w:color="000001" w:sz="4" w:space="0"/>
            <w:insideH w:val="single" w:color="000001" w:sz="4" w:space="0"/>
            <w:insideV w:val="single" w:color="000001" w:sz="4" w:space="0"/>
          </w:tblBorders>
          <w:tblCellMar>
            <w:top w:w="0" w:type="dxa"/>
            <w:left w:w="103" w:type="dxa"/>
            <w:bottom w:w="0" w:type="dxa"/>
            <w:right w:w="108" w:type="dxa"/>
          </w:tblCellMar>
        </w:tblPrEx>
        <w:trPr>
          <w:trHeight w:val="355" w:hRule="atLeast"/>
          <w:jc w:val="center"/>
        </w:trPr>
        <w:tc>
          <w:tcPr>
            <w:tcW w:w="535" w:type="dxa"/>
            <w:tcBorders>
              <w:top w:val="single" w:color="000001" w:sz="4" w:space="0"/>
              <w:left w:val="single" w:color="000001" w:sz="4" w:space="0"/>
              <w:bottom w:val="single" w:color="000001" w:sz="4" w:space="0"/>
              <w:right w:val="single" w:color="000001" w:sz="4" w:space="0"/>
            </w:tcBorders>
            <w:shd w:val="clear" w:color="auto" w:fill="auto"/>
            <w:tcMar>
              <w:left w:w="103" w:type="dxa"/>
            </w:tcMar>
            <w:vAlign w:val="center"/>
          </w:tcPr>
          <w:p w14:paraId="41549CC3">
            <w:pPr>
              <w:tabs>
                <w:tab w:val="left" w:pos="1065"/>
              </w:tabs>
              <w:rPr>
                <w:sz w:val="20"/>
                <w:szCs w:val="20"/>
              </w:rPr>
            </w:pPr>
          </w:p>
        </w:tc>
        <w:tc>
          <w:tcPr>
            <w:tcW w:w="2582" w:type="dxa"/>
            <w:tcBorders>
              <w:top w:val="single" w:color="000001" w:sz="4" w:space="0"/>
              <w:left w:val="single" w:color="000001" w:sz="4" w:space="0"/>
              <w:bottom w:val="single" w:color="000001" w:sz="4" w:space="0"/>
              <w:right w:val="single" w:color="000001" w:sz="4" w:space="0"/>
            </w:tcBorders>
            <w:shd w:val="clear" w:color="auto" w:fill="auto"/>
            <w:tcMar>
              <w:left w:w="103" w:type="dxa"/>
            </w:tcMar>
            <w:vAlign w:val="center"/>
          </w:tcPr>
          <w:p w14:paraId="0575581F">
            <w:pPr>
              <w:rPr>
                <w:color w:val="000000"/>
                <w:sz w:val="20"/>
                <w:szCs w:val="20"/>
              </w:rPr>
            </w:pPr>
          </w:p>
        </w:tc>
        <w:tc>
          <w:tcPr>
            <w:tcW w:w="653" w:type="dxa"/>
            <w:tcBorders>
              <w:top w:val="single" w:color="000001" w:sz="4" w:space="0"/>
              <w:left w:val="single" w:color="000001" w:sz="4" w:space="0"/>
              <w:bottom w:val="single" w:color="000001" w:sz="4" w:space="0"/>
              <w:right w:val="single" w:color="000001" w:sz="4" w:space="0"/>
            </w:tcBorders>
            <w:shd w:val="clear" w:color="auto" w:fill="auto"/>
            <w:tcMar>
              <w:left w:w="103" w:type="dxa"/>
            </w:tcMar>
            <w:vAlign w:val="center"/>
          </w:tcPr>
          <w:p w14:paraId="52F39579">
            <w:pPr>
              <w:jc w:val="center"/>
              <w:rPr>
                <w:sz w:val="20"/>
                <w:szCs w:val="20"/>
              </w:rPr>
            </w:pPr>
          </w:p>
        </w:tc>
        <w:tc>
          <w:tcPr>
            <w:tcW w:w="713" w:type="dxa"/>
            <w:tcBorders>
              <w:top w:val="single" w:color="000001" w:sz="4" w:space="0"/>
              <w:left w:val="single" w:color="000001" w:sz="4" w:space="0"/>
              <w:bottom w:val="single" w:color="000001" w:sz="4" w:space="0"/>
              <w:right w:val="single" w:color="000001" w:sz="4" w:space="0"/>
            </w:tcBorders>
            <w:shd w:val="clear" w:color="auto" w:fill="auto"/>
            <w:tcMar>
              <w:left w:w="103" w:type="dxa"/>
            </w:tcMar>
            <w:vAlign w:val="center"/>
          </w:tcPr>
          <w:p w14:paraId="3ECC143E">
            <w:pPr>
              <w:jc w:val="center"/>
              <w:rPr>
                <w:sz w:val="20"/>
                <w:szCs w:val="20"/>
              </w:rPr>
            </w:pPr>
          </w:p>
        </w:tc>
        <w:tc>
          <w:tcPr>
            <w:tcW w:w="5044" w:type="dxa"/>
            <w:tcBorders>
              <w:top w:val="single" w:color="000001" w:sz="4" w:space="0"/>
              <w:left w:val="single" w:color="000001" w:sz="4" w:space="0"/>
              <w:bottom w:val="single" w:color="000001" w:sz="4" w:space="0"/>
              <w:right w:val="single" w:color="000001" w:sz="4" w:space="0"/>
            </w:tcBorders>
            <w:shd w:val="clear" w:color="auto" w:fill="auto"/>
            <w:tcMar>
              <w:left w:w="103" w:type="dxa"/>
            </w:tcMar>
          </w:tcPr>
          <w:p w14:paraId="044A3E63">
            <w:pPr>
              <w:jc w:val="center"/>
              <w:rPr>
                <w:sz w:val="20"/>
                <w:szCs w:val="20"/>
              </w:rPr>
            </w:pPr>
          </w:p>
        </w:tc>
        <w:tc>
          <w:tcPr>
            <w:tcW w:w="5456" w:type="dxa"/>
            <w:tcBorders>
              <w:top w:val="single" w:color="000001" w:sz="4" w:space="0"/>
              <w:left w:val="single" w:color="000001" w:sz="4" w:space="0"/>
              <w:bottom w:val="single" w:color="000001" w:sz="4" w:space="0"/>
              <w:right w:val="single" w:color="000001" w:sz="4" w:space="0"/>
            </w:tcBorders>
            <w:shd w:val="clear" w:color="auto" w:fill="auto"/>
            <w:tcMar>
              <w:left w:w="103" w:type="dxa"/>
            </w:tcMar>
          </w:tcPr>
          <w:p w14:paraId="197B7FED">
            <w:pPr>
              <w:jc w:val="center"/>
              <w:rPr>
                <w:sz w:val="20"/>
                <w:szCs w:val="20"/>
              </w:rPr>
            </w:pPr>
          </w:p>
        </w:tc>
      </w:tr>
      <w:tr w14:paraId="461720CB">
        <w:tblPrEx>
          <w:tblBorders>
            <w:top w:val="single" w:color="000001" w:sz="4" w:space="0"/>
            <w:left w:val="single" w:color="000001" w:sz="4" w:space="0"/>
            <w:bottom w:val="single" w:color="000001" w:sz="4" w:space="0"/>
            <w:right w:val="single" w:color="000001" w:sz="4" w:space="0"/>
            <w:insideH w:val="single" w:color="000001" w:sz="4" w:space="0"/>
            <w:insideV w:val="single" w:color="000001" w:sz="4" w:space="0"/>
          </w:tblBorders>
          <w:tblCellMar>
            <w:top w:w="0" w:type="dxa"/>
            <w:left w:w="103" w:type="dxa"/>
            <w:bottom w:w="0" w:type="dxa"/>
            <w:right w:w="108" w:type="dxa"/>
          </w:tblCellMar>
        </w:tblPrEx>
        <w:trPr>
          <w:trHeight w:val="250" w:hRule="atLeast"/>
          <w:jc w:val="center"/>
        </w:trPr>
        <w:tc>
          <w:tcPr>
            <w:tcW w:w="14983" w:type="dxa"/>
            <w:gridSpan w:val="6"/>
            <w:tcBorders>
              <w:top w:val="single" w:color="000001" w:sz="4" w:space="0"/>
              <w:left w:val="single" w:color="000001" w:sz="4" w:space="0"/>
              <w:bottom w:val="single" w:color="000001" w:sz="4" w:space="0"/>
              <w:right w:val="single" w:color="000001" w:sz="4" w:space="0"/>
            </w:tcBorders>
            <w:shd w:val="clear" w:color="auto" w:fill="auto"/>
          </w:tcPr>
          <w:p w14:paraId="01724059">
            <w:pPr>
              <w:tabs>
                <w:tab w:val="left" w:pos="1065"/>
              </w:tabs>
              <w:rPr>
                <w:sz w:val="20"/>
                <w:szCs w:val="20"/>
              </w:rPr>
            </w:pPr>
            <w:r>
              <w:rPr>
                <w:b/>
                <w:sz w:val="20"/>
                <w:szCs w:val="20"/>
              </w:rPr>
              <w:t>Итого:</w:t>
            </w:r>
            <w:r>
              <w:rPr>
                <w:sz w:val="20"/>
                <w:szCs w:val="20"/>
              </w:rPr>
              <w:t xml:space="preserve"> </w:t>
            </w:r>
          </w:p>
        </w:tc>
      </w:tr>
    </w:tbl>
    <w:p w14:paraId="615E5204">
      <w:pPr>
        <w:ind w:firstLine="567"/>
        <w:rPr>
          <w:sz w:val="22"/>
          <w:szCs w:val="22"/>
        </w:rPr>
      </w:pPr>
      <w:r>
        <w:rPr>
          <w:sz w:val="22"/>
          <w:szCs w:val="22"/>
        </w:rPr>
        <w:t>Сопроводительные документы: товарная накладная (универсальный передаточный документ) от _________№__________; счет-фактура от_________№_________; счет от _______№____________.</w:t>
      </w:r>
    </w:p>
    <w:p w14:paraId="6345F1EB">
      <w:pPr>
        <w:ind w:firstLine="567"/>
        <w:rPr>
          <w:sz w:val="22"/>
          <w:szCs w:val="22"/>
        </w:rPr>
      </w:pPr>
      <w:r>
        <w:rPr>
          <w:sz w:val="22"/>
          <w:szCs w:val="22"/>
        </w:rPr>
        <w:t>Вместе с товаром переданы также следующие документы: _______________________________</w:t>
      </w:r>
    </w:p>
    <w:p w14:paraId="16F3C31A">
      <w:pPr>
        <w:ind w:firstLine="567"/>
        <w:jc w:val="both"/>
        <w:rPr>
          <w:sz w:val="22"/>
          <w:szCs w:val="22"/>
        </w:rPr>
      </w:pPr>
      <w:r>
        <w:rPr>
          <w:sz w:val="22"/>
          <w:szCs w:val="22"/>
        </w:rPr>
        <w:t>На основании п. 3 ст. 94 Федерального закона от 05.04.2013 №44-ФЗ «О контрактной системе в сфере закупок товаров, работ, услуг для государственных и муниципальных нужд», для проверки предоставленных Поставщиком результатов, предусмотренных Контрактом в части их соответствия условиям Контракта проведена экспертиза.</w:t>
      </w:r>
    </w:p>
    <w:p w14:paraId="25BB0A35">
      <w:pPr>
        <w:spacing w:after="120"/>
        <w:ind w:firstLine="567"/>
        <w:jc w:val="both"/>
        <w:rPr>
          <w:sz w:val="22"/>
          <w:szCs w:val="22"/>
        </w:rPr>
      </w:pPr>
      <w:r>
        <w:rPr>
          <w:sz w:val="22"/>
          <w:szCs w:val="22"/>
        </w:rPr>
        <w:t>Настоящий Акт составлен и подписан Поставщиком, Заказчиком в двух подлинных экземплярах: 1-й экземпляр - Заказчику, 2-й экземпляр – Поставщику.</w:t>
      </w:r>
    </w:p>
    <w:p w14:paraId="7C023A2E">
      <w:pPr>
        <w:jc w:val="both"/>
        <w:rPr>
          <w:sz w:val="22"/>
          <w:szCs w:val="22"/>
        </w:rPr>
      </w:pPr>
      <w:r>
        <w:rPr>
          <w:sz w:val="22"/>
          <w:szCs w:val="22"/>
        </w:rPr>
        <w:t xml:space="preserve"> Государственный заказчик:                                                                                                             Поставщик:                </w:t>
      </w:r>
    </w:p>
    <w:p w14:paraId="55ED0186">
      <w:pPr>
        <w:jc w:val="both"/>
        <w:rPr>
          <w:sz w:val="22"/>
          <w:szCs w:val="22"/>
        </w:rPr>
      </w:pPr>
      <w:r>
        <w:rPr>
          <w:sz w:val="22"/>
          <w:szCs w:val="22"/>
        </w:rPr>
        <w:t xml:space="preserve">  </w:t>
      </w:r>
      <w:r>
        <w:rPr>
          <w:i/>
          <w:sz w:val="22"/>
          <w:szCs w:val="22"/>
        </w:rPr>
        <w:t>_____________________</w:t>
      </w:r>
      <w:r>
        <w:rPr>
          <w:sz w:val="22"/>
          <w:szCs w:val="22"/>
        </w:rPr>
        <w:t xml:space="preserve"> / Ф.И.О. /                                                                                                _____________________ / Ф.И.О. / </w:t>
      </w:r>
    </w:p>
    <w:p w14:paraId="55983505">
      <w:pPr>
        <w:jc w:val="both"/>
        <w:rPr>
          <w:sz w:val="22"/>
          <w:szCs w:val="22"/>
        </w:rPr>
      </w:pPr>
      <w:r>
        <w:rPr>
          <w:sz w:val="22"/>
          <w:szCs w:val="22"/>
        </w:rPr>
        <w:t xml:space="preserve"> «__» ____________ 2026 г.                                                                                                               «__» ____________ 2026 г.</w:t>
      </w:r>
    </w:p>
    <w:p w14:paraId="70303F6F">
      <w:pPr>
        <w:jc w:val="both"/>
        <w:rPr>
          <w:sz w:val="22"/>
          <w:szCs w:val="22"/>
        </w:rPr>
      </w:pPr>
      <w:r>
        <w:rPr>
          <w:sz w:val="22"/>
          <w:szCs w:val="22"/>
        </w:rPr>
        <w:t xml:space="preserve">М.П.                                                                                                                                                      М.П.       </w:t>
      </w:r>
    </w:p>
    <w:p w14:paraId="0157032D">
      <w:pPr>
        <w:jc w:val="center"/>
        <w:rPr>
          <w:b/>
          <w:sz w:val="22"/>
          <w:szCs w:val="22"/>
        </w:rPr>
      </w:pPr>
      <w:r>
        <w:rPr>
          <w:b/>
          <w:sz w:val="22"/>
          <w:szCs w:val="22"/>
        </w:rPr>
        <w:t>ФОРМА АКТА ПРИЕМА-ПЕРЕДАЧИ СОГЛАСОВАНА:</w:t>
      </w:r>
    </w:p>
    <w:tbl>
      <w:tblPr>
        <w:tblStyle w:val="5"/>
        <w:tblW w:w="15701" w:type="dxa"/>
        <w:tblInd w:w="0" w:type="dxa"/>
        <w:tblLayout w:type="autofit"/>
        <w:tblCellMar>
          <w:top w:w="0" w:type="dxa"/>
          <w:left w:w="108" w:type="dxa"/>
          <w:bottom w:w="0" w:type="dxa"/>
          <w:right w:w="108" w:type="dxa"/>
        </w:tblCellMar>
      </w:tblPr>
      <w:tblGrid>
        <w:gridCol w:w="7338"/>
        <w:gridCol w:w="8363"/>
      </w:tblGrid>
      <w:tr w14:paraId="12AB19F6">
        <w:tblPrEx>
          <w:tblCellMar>
            <w:top w:w="0" w:type="dxa"/>
            <w:left w:w="108" w:type="dxa"/>
            <w:bottom w:w="0" w:type="dxa"/>
            <w:right w:w="108" w:type="dxa"/>
          </w:tblCellMar>
        </w:tblPrEx>
        <w:trPr>
          <w:trHeight w:val="538" w:hRule="atLeast"/>
        </w:trPr>
        <w:tc>
          <w:tcPr>
            <w:tcW w:w="7338" w:type="dxa"/>
          </w:tcPr>
          <w:p w14:paraId="3CB06160">
            <w:pPr>
              <w:contextualSpacing/>
              <w:rPr>
                <w:sz w:val="22"/>
                <w:szCs w:val="22"/>
              </w:rPr>
            </w:pPr>
            <w:r>
              <w:rPr>
                <w:sz w:val="22"/>
                <w:szCs w:val="22"/>
              </w:rPr>
              <w:t>ГОСУДАРСТВЕННЫЙ ЗАКАЗЧИК</w:t>
            </w:r>
          </w:p>
          <w:p w14:paraId="1616C914">
            <w:pPr>
              <w:contextualSpacing/>
              <w:rPr>
                <w:bCs/>
                <w:sz w:val="22"/>
                <w:szCs w:val="22"/>
              </w:rPr>
            </w:pPr>
            <w:r>
              <w:rPr>
                <w:bCs/>
                <w:sz w:val="22"/>
                <w:szCs w:val="22"/>
              </w:rPr>
              <w:t>ФКУ ИК-3 ГУФСИН России</w:t>
            </w:r>
          </w:p>
          <w:p w14:paraId="6AD1101E">
            <w:pPr>
              <w:contextualSpacing/>
              <w:rPr>
                <w:bCs/>
                <w:sz w:val="22"/>
                <w:szCs w:val="22"/>
              </w:rPr>
            </w:pPr>
            <w:r>
              <w:rPr>
                <w:bCs/>
                <w:sz w:val="22"/>
                <w:szCs w:val="22"/>
              </w:rPr>
              <w:t>____________________________</w:t>
            </w:r>
          </w:p>
        </w:tc>
        <w:tc>
          <w:tcPr>
            <w:tcW w:w="8363" w:type="dxa"/>
          </w:tcPr>
          <w:p w14:paraId="29EA97B0">
            <w:pPr>
              <w:widowControl w:val="0"/>
              <w:contextualSpacing/>
              <w:rPr>
                <w:snapToGrid w:val="0"/>
                <w:sz w:val="22"/>
                <w:szCs w:val="22"/>
              </w:rPr>
            </w:pPr>
            <w:r>
              <w:rPr>
                <w:snapToGrid w:val="0"/>
                <w:sz w:val="22"/>
                <w:szCs w:val="22"/>
              </w:rPr>
              <w:t>ИСПОЛНИТЕЛЬ</w:t>
            </w:r>
          </w:p>
          <w:p w14:paraId="61CE09AC">
            <w:pPr>
              <w:widowControl w:val="0"/>
              <w:contextualSpacing/>
              <w:rPr>
                <w:snapToGrid w:val="0"/>
                <w:sz w:val="22"/>
                <w:szCs w:val="22"/>
              </w:rPr>
            </w:pPr>
          </w:p>
          <w:p w14:paraId="1E4E2EA2">
            <w:pPr>
              <w:widowControl w:val="0"/>
              <w:contextualSpacing/>
              <w:rPr>
                <w:snapToGrid w:val="0"/>
                <w:sz w:val="22"/>
                <w:szCs w:val="22"/>
              </w:rPr>
            </w:pPr>
            <w:r>
              <w:rPr>
                <w:snapToGrid w:val="0"/>
                <w:sz w:val="22"/>
                <w:szCs w:val="22"/>
              </w:rPr>
              <w:t>__________________________________</w:t>
            </w:r>
          </w:p>
        </w:tc>
      </w:tr>
      <w:tr w14:paraId="44B80DBE">
        <w:tblPrEx>
          <w:tblCellMar>
            <w:top w:w="0" w:type="dxa"/>
            <w:left w:w="108" w:type="dxa"/>
            <w:bottom w:w="0" w:type="dxa"/>
            <w:right w:w="108" w:type="dxa"/>
          </w:tblCellMar>
        </w:tblPrEx>
        <w:trPr>
          <w:trHeight w:val="314" w:hRule="atLeast"/>
        </w:trPr>
        <w:tc>
          <w:tcPr>
            <w:tcW w:w="7338" w:type="dxa"/>
          </w:tcPr>
          <w:p w14:paraId="7A73CD71">
            <w:pPr>
              <w:widowControl w:val="0"/>
              <w:jc w:val="both"/>
              <w:rPr>
                <w:sz w:val="22"/>
                <w:szCs w:val="22"/>
              </w:rPr>
            </w:pPr>
          </w:p>
        </w:tc>
        <w:tc>
          <w:tcPr>
            <w:tcW w:w="8363" w:type="dxa"/>
          </w:tcPr>
          <w:p w14:paraId="43CD32B7">
            <w:pPr>
              <w:widowControl w:val="0"/>
              <w:tabs>
                <w:tab w:val="left" w:pos="5860"/>
              </w:tabs>
              <w:contextualSpacing/>
              <w:rPr>
                <w:snapToGrid w:val="0"/>
                <w:sz w:val="22"/>
                <w:szCs w:val="22"/>
              </w:rPr>
            </w:pPr>
            <w:r>
              <w:rPr>
                <w:snapToGrid w:val="0"/>
                <w:sz w:val="22"/>
                <w:szCs w:val="22"/>
              </w:rPr>
              <w:tab/>
            </w:r>
          </w:p>
        </w:tc>
      </w:tr>
      <w:tr w14:paraId="199626D5">
        <w:tblPrEx>
          <w:tblCellMar>
            <w:top w:w="0" w:type="dxa"/>
            <w:left w:w="108" w:type="dxa"/>
            <w:bottom w:w="0" w:type="dxa"/>
            <w:right w:w="108" w:type="dxa"/>
          </w:tblCellMar>
        </w:tblPrEx>
        <w:trPr>
          <w:trHeight w:val="74" w:hRule="atLeast"/>
        </w:trPr>
        <w:tc>
          <w:tcPr>
            <w:tcW w:w="7338" w:type="dxa"/>
          </w:tcPr>
          <w:p w14:paraId="2B7159C8">
            <w:pPr>
              <w:contextualSpacing/>
              <w:rPr>
                <w:sz w:val="22"/>
                <w:szCs w:val="22"/>
              </w:rPr>
            </w:pPr>
            <w:r>
              <w:rPr>
                <w:sz w:val="22"/>
                <w:szCs w:val="22"/>
              </w:rPr>
              <w:t>М.П.</w:t>
            </w:r>
          </w:p>
        </w:tc>
        <w:tc>
          <w:tcPr>
            <w:tcW w:w="8363" w:type="dxa"/>
          </w:tcPr>
          <w:p w14:paraId="4947F254">
            <w:pPr>
              <w:widowControl w:val="0"/>
              <w:contextualSpacing/>
              <w:rPr>
                <w:snapToGrid w:val="0"/>
                <w:sz w:val="22"/>
                <w:szCs w:val="22"/>
              </w:rPr>
            </w:pPr>
            <w:r>
              <w:rPr>
                <w:snapToGrid w:val="0"/>
                <w:sz w:val="22"/>
                <w:szCs w:val="22"/>
              </w:rPr>
              <w:t xml:space="preserve"> М.П.</w:t>
            </w:r>
          </w:p>
        </w:tc>
      </w:tr>
    </w:tbl>
    <w:p w14:paraId="7846283B">
      <w:pPr>
        <w:spacing w:after="120"/>
        <w:jc w:val="both"/>
        <w:rPr>
          <w:sz w:val="22"/>
          <w:szCs w:val="22"/>
        </w:rPr>
      </w:pPr>
    </w:p>
    <w:sectPr>
      <w:footerReference r:id="rId3" w:type="default"/>
      <w:pgSz w:w="16838" w:h="11906" w:orient="landscape"/>
      <w:pgMar w:top="993" w:right="536" w:bottom="568" w:left="993" w:header="426" w:footer="572" w:gutter="0"/>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Courier New">
    <w:panose1 w:val="02070309020205020404"/>
    <w:charset w:val="CC"/>
    <w:family w:val="modern"/>
    <w:pitch w:val="default"/>
    <w:sig w:usb0="E0002EFF" w:usb1="C0007843" w:usb2="00000009" w:usb3="00000000" w:csb0="400001FF" w:csb1="FFFF0000"/>
  </w:font>
  <w:font w:name="Tahoma">
    <w:panose1 w:val="020B0604030504040204"/>
    <w:charset w:val="CC"/>
    <w:family w:val="swiss"/>
    <w:pitch w:val="default"/>
    <w:sig w:usb0="E1002EFF" w:usb1="C000605B" w:usb2="00000029" w:usb3="00000000" w:csb0="200101FF" w:csb1="20280000"/>
  </w:font>
  <w:font w:name="Calibri">
    <w:panose1 w:val="020F0502020204030204"/>
    <w:charset w:val="CC"/>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1A21A4">
    <w:pPr>
      <w:pStyle w:val="2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7E5A06"/>
    <w:multiLevelType w:val="multilevel"/>
    <w:tmpl w:val="107E5A06"/>
    <w:lvl w:ilvl="0" w:tentative="0">
      <w:start w:val="13"/>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
    <w:nsid w:val="14E70B10"/>
    <w:multiLevelType w:val="multilevel"/>
    <w:tmpl w:val="14E70B10"/>
    <w:lvl w:ilvl="0" w:tentative="0">
      <w:start w:val="5"/>
      <w:numFmt w:val="decimal"/>
      <w:lvlText w:val="%1."/>
      <w:lvlJc w:val="left"/>
      <w:pPr>
        <w:ind w:left="360" w:hanging="360"/>
      </w:pPr>
      <w:rPr>
        <w:rFonts w:hint="default"/>
      </w:rPr>
    </w:lvl>
    <w:lvl w:ilvl="1" w:tentative="0">
      <w:start w:val="3"/>
      <w:numFmt w:val="decimal"/>
      <w:lvlText w:val="%1.%2."/>
      <w:lvlJc w:val="left"/>
      <w:pPr>
        <w:ind w:left="1070" w:hanging="360"/>
      </w:pPr>
      <w:rPr>
        <w:rFonts w:hint="default"/>
      </w:rPr>
    </w:lvl>
    <w:lvl w:ilvl="2" w:tentative="0">
      <w:start w:val="1"/>
      <w:numFmt w:val="decimal"/>
      <w:lvlText w:val="%1.%2.%3."/>
      <w:lvlJc w:val="left"/>
      <w:pPr>
        <w:ind w:left="2140" w:hanging="720"/>
      </w:pPr>
      <w:rPr>
        <w:rFonts w:hint="default"/>
      </w:rPr>
    </w:lvl>
    <w:lvl w:ilvl="3" w:tentative="0">
      <w:start w:val="1"/>
      <w:numFmt w:val="decimal"/>
      <w:lvlText w:val="%1.%2.%3.%4."/>
      <w:lvlJc w:val="left"/>
      <w:pPr>
        <w:ind w:left="2850" w:hanging="720"/>
      </w:pPr>
      <w:rPr>
        <w:rFonts w:hint="default"/>
      </w:rPr>
    </w:lvl>
    <w:lvl w:ilvl="4" w:tentative="0">
      <w:start w:val="1"/>
      <w:numFmt w:val="decimal"/>
      <w:lvlText w:val="%1.%2.%3.%4.%5."/>
      <w:lvlJc w:val="left"/>
      <w:pPr>
        <w:ind w:left="3920" w:hanging="1080"/>
      </w:pPr>
      <w:rPr>
        <w:rFonts w:hint="default"/>
      </w:rPr>
    </w:lvl>
    <w:lvl w:ilvl="5" w:tentative="0">
      <w:start w:val="1"/>
      <w:numFmt w:val="decimal"/>
      <w:lvlText w:val="%1.%2.%3.%4.%5.%6."/>
      <w:lvlJc w:val="left"/>
      <w:pPr>
        <w:ind w:left="4630" w:hanging="1080"/>
      </w:pPr>
      <w:rPr>
        <w:rFonts w:hint="default"/>
      </w:rPr>
    </w:lvl>
    <w:lvl w:ilvl="6" w:tentative="0">
      <w:start w:val="1"/>
      <w:numFmt w:val="decimal"/>
      <w:lvlText w:val="%1.%2.%3.%4.%5.%6.%7."/>
      <w:lvlJc w:val="left"/>
      <w:pPr>
        <w:ind w:left="5700" w:hanging="1440"/>
      </w:pPr>
      <w:rPr>
        <w:rFonts w:hint="default"/>
      </w:rPr>
    </w:lvl>
    <w:lvl w:ilvl="7" w:tentative="0">
      <w:start w:val="1"/>
      <w:numFmt w:val="decimal"/>
      <w:lvlText w:val="%1.%2.%3.%4.%5.%6.%7.%8."/>
      <w:lvlJc w:val="left"/>
      <w:pPr>
        <w:ind w:left="6410" w:hanging="1440"/>
      </w:pPr>
      <w:rPr>
        <w:rFonts w:hint="default"/>
      </w:rPr>
    </w:lvl>
    <w:lvl w:ilvl="8" w:tentative="0">
      <w:start w:val="1"/>
      <w:numFmt w:val="decimal"/>
      <w:lvlText w:val="%1.%2.%3.%4.%5.%6.%7.%8.%9."/>
      <w:lvlJc w:val="left"/>
      <w:pPr>
        <w:ind w:left="7480" w:hanging="1800"/>
      </w:pPr>
      <w:rPr>
        <w:rFonts w:hint="default"/>
      </w:rPr>
    </w:lvl>
  </w:abstractNum>
  <w:abstractNum w:abstractNumId="2">
    <w:nsid w:val="562B66C8"/>
    <w:multiLevelType w:val="multilevel"/>
    <w:tmpl w:val="562B66C8"/>
    <w:lvl w:ilvl="0" w:tentative="0">
      <w:start w:val="2"/>
      <w:numFmt w:val="decimal"/>
      <w:lvlText w:val="%1."/>
      <w:lvlJc w:val="left"/>
      <w:pPr>
        <w:ind w:left="720" w:hanging="360"/>
      </w:pPr>
      <w:rPr>
        <w:rFonts w:hint="default"/>
      </w:rPr>
    </w:lvl>
    <w:lvl w:ilvl="1" w:tentative="0">
      <w:start w:val="1"/>
      <w:numFmt w:val="decimal"/>
      <w:isLgl/>
      <w:lvlText w:val="%1.%2."/>
      <w:lvlJc w:val="left"/>
      <w:pPr>
        <w:ind w:left="1429" w:hanging="720"/>
      </w:pPr>
      <w:rPr>
        <w:rFonts w:hint="default"/>
      </w:rPr>
    </w:lvl>
    <w:lvl w:ilvl="2" w:tentative="0">
      <w:start w:val="1"/>
      <w:numFmt w:val="decimal"/>
      <w:isLgl/>
      <w:lvlText w:val="%1.%2.%3."/>
      <w:lvlJc w:val="left"/>
      <w:pPr>
        <w:ind w:left="1778" w:hanging="720"/>
      </w:pPr>
      <w:rPr>
        <w:rFonts w:hint="default"/>
      </w:rPr>
    </w:lvl>
    <w:lvl w:ilvl="3" w:tentative="0">
      <w:start w:val="1"/>
      <w:numFmt w:val="decimal"/>
      <w:isLgl/>
      <w:lvlText w:val="%1.%2.%3.%4."/>
      <w:lvlJc w:val="left"/>
      <w:pPr>
        <w:ind w:left="2127" w:hanging="720"/>
      </w:pPr>
      <w:rPr>
        <w:rFonts w:hint="default"/>
      </w:rPr>
    </w:lvl>
    <w:lvl w:ilvl="4" w:tentative="0">
      <w:start w:val="1"/>
      <w:numFmt w:val="decimal"/>
      <w:isLgl/>
      <w:lvlText w:val="%1.%2.%3.%4.%5."/>
      <w:lvlJc w:val="left"/>
      <w:pPr>
        <w:ind w:left="2836" w:hanging="1080"/>
      </w:pPr>
      <w:rPr>
        <w:rFonts w:hint="default"/>
      </w:rPr>
    </w:lvl>
    <w:lvl w:ilvl="5" w:tentative="0">
      <w:start w:val="1"/>
      <w:numFmt w:val="decimal"/>
      <w:isLgl/>
      <w:lvlText w:val="%1.%2.%3.%4.%5.%6."/>
      <w:lvlJc w:val="left"/>
      <w:pPr>
        <w:ind w:left="3185" w:hanging="1080"/>
      </w:pPr>
      <w:rPr>
        <w:rFonts w:hint="default"/>
      </w:rPr>
    </w:lvl>
    <w:lvl w:ilvl="6" w:tentative="0">
      <w:start w:val="1"/>
      <w:numFmt w:val="decimal"/>
      <w:isLgl/>
      <w:lvlText w:val="%1.%2.%3.%4.%5.%6.%7."/>
      <w:lvlJc w:val="left"/>
      <w:pPr>
        <w:ind w:left="3894" w:hanging="1440"/>
      </w:pPr>
      <w:rPr>
        <w:rFonts w:hint="default"/>
      </w:rPr>
    </w:lvl>
    <w:lvl w:ilvl="7" w:tentative="0">
      <w:start w:val="1"/>
      <w:numFmt w:val="decimal"/>
      <w:isLgl/>
      <w:lvlText w:val="%1.%2.%3.%4.%5.%6.%7.%8."/>
      <w:lvlJc w:val="left"/>
      <w:pPr>
        <w:ind w:left="4243" w:hanging="1440"/>
      </w:pPr>
      <w:rPr>
        <w:rFonts w:hint="default"/>
      </w:rPr>
    </w:lvl>
    <w:lvl w:ilvl="8" w:tentative="0">
      <w:start w:val="1"/>
      <w:numFmt w:val="decimal"/>
      <w:isLgl/>
      <w:lvlText w:val="%1.%2.%3.%4.%5.%6.%7.%8.%9."/>
      <w:lvlJc w:val="left"/>
      <w:pPr>
        <w:ind w:left="4952" w:hanging="1800"/>
      </w:pPr>
      <w:rPr>
        <w:rFonts w:hint="default"/>
      </w:rPr>
    </w:lvl>
  </w:abstractNum>
  <w:abstractNum w:abstractNumId="3">
    <w:nsid w:val="5A0C4F8D"/>
    <w:multiLevelType w:val="multilevel"/>
    <w:tmpl w:val="5A0C4F8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5E1D5175"/>
    <w:multiLevelType w:val="multilevel"/>
    <w:tmpl w:val="5E1D5175"/>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08"/>
  <w:doNotHyphenateCaps/>
  <w:drawingGridHorizontalSpacing w:val="120"/>
  <w:displayHorizont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93322"/>
    <w:rsid w:val="000015FD"/>
    <w:rsid w:val="00002545"/>
    <w:rsid w:val="00004CC5"/>
    <w:rsid w:val="00006946"/>
    <w:rsid w:val="00007527"/>
    <w:rsid w:val="00007944"/>
    <w:rsid w:val="0001204B"/>
    <w:rsid w:val="00014695"/>
    <w:rsid w:val="0001502B"/>
    <w:rsid w:val="00015112"/>
    <w:rsid w:val="000156C1"/>
    <w:rsid w:val="00017B7C"/>
    <w:rsid w:val="000213BE"/>
    <w:rsid w:val="000224F4"/>
    <w:rsid w:val="00026EAE"/>
    <w:rsid w:val="00030EA6"/>
    <w:rsid w:val="00031216"/>
    <w:rsid w:val="00031B6D"/>
    <w:rsid w:val="000328F8"/>
    <w:rsid w:val="00032BC5"/>
    <w:rsid w:val="00033DA7"/>
    <w:rsid w:val="0003408E"/>
    <w:rsid w:val="00035C0A"/>
    <w:rsid w:val="00036635"/>
    <w:rsid w:val="000378F8"/>
    <w:rsid w:val="00043942"/>
    <w:rsid w:val="00043AEA"/>
    <w:rsid w:val="000443CD"/>
    <w:rsid w:val="00044A92"/>
    <w:rsid w:val="0004509B"/>
    <w:rsid w:val="00045211"/>
    <w:rsid w:val="00046E07"/>
    <w:rsid w:val="00047554"/>
    <w:rsid w:val="000545B4"/>
    <w:rsid w:val="000579D0"/>
    <w:rsid w:val="00057F8B"/>
    <w:rsid w:val="0006022A"/>
    <w:rsid w:val="000632C0"/>
    <w:rsid w:val="000639FA"/>
    <w:rsid w:val="00065BAB"/>
    <w:rsid w:val="00066A0F"/>
    <w:rsid w:val="00067D14"/>
    <w:rsid w:val="00067DED"/>
    <w:rsid w:val="00067F25"/>
    <w:rsid w:val="0007019F"/>
    <w:rsid w:val="00070294"/>
    <w:rsid w:val="00071456"/>
    <w:rsid w:val="00073830"/>
    <w:rsid w:val="00073C1C"/>
    <w:rsid w:val="00074028"/>
    <w:rsid w:val="00075CC7"/>
    <w:rsid w:val="00077291"/>
    <w:rsid w:val="00077387"/>
    <w:rsid w:val="00080B62"/>
    <w:rsid w:val="00081449"/>
    <w:rsid w:val="000820B8"/>
    <w:rsid w:val="00084529"/>
    <w:rsid w:val="0008574D"/>
    <w:rsid w:val="000859BA"/>
    <w:rsid w:val="00086152"/>
    <w:rsid w:val="00086B51"/>
    <w:rsid w:val="0009012D"/>
    <w:rsid w:val="000903EE"/>
    <w:rsid w:val="0009127D"/>
    <w:rsid w:val="00092518"/>
    <w:rsid w:val="00093CEB"/>
    <w:rsid w:val="00094319"/>
    <w:rsid w:val="00096692"/>
    <w:rsid w:val="0009721E"/>
    <w:rsid w:val="000A0348"/>
    <w:rsid w:val="000A05CC"/>
    <w:rsid w:val="000A1A0E"/>
    <w:rsid w:val="000A2D4C"/>
    <w:rsid w:val="000A30C8"/>
    <w:rsid w:val="000A37CA"/>
    <w:rsid w:val="000A4EE3"/>
    <w:rsid w:val="000A5DB9"/>
    <w:rsid w:val="000A6190"/>
    <w:rsid w:val="000A7943"/>
    <w:rsid w:val="000B027A"/>
    <w:rsid w:val="000B1634"/>
    <w:rsid w:val="000B1C31"/>
    <w:rsid w:val="000B2D2C"/>
    <w:rsid w:val="000B7358"/>
    <w:rsid w:val="000C00B7"/>
    <w:rsid w:val="000C0C0A"/>
    <w:rsid w:val="000D07B4"/>
    <w:rsid w:val="000D0E1B"/>
    <w:rsid w:val="000D143F"/>
    <w:rsid w:val="000D385E"/>
    <w:rsid w:val="000D4A94"/>
    <w:rsid w:val="000D4D2E"/>
    <w:rsid w:val="000D5D16"/>
    <w:rsid w:val="000D5D63"/>
    <w:rsid w:val="000D786A"/>
    <w:rsid w:val="000E0350"/>
    <w:rsid w:val="000E2EFF"/>
    <w:rsid w:val="000E342C"/>
    <w:rsid w:val="000E3E1A"/>
    <w:rsid w:val="000E42C3"/>
    <w:rsid w:val="000E6DB6"/>
    <w:rsid w:val="000E736C"/>
    <w:rsid w:val="000F1FB3"/>
    <w:rsid w:val="000F40B6"/>
    <w:rsid w:val="000F40CE"/>
    <w:rsid w:val="000F5FF4"/>
    <w:rsid w:val="000F6237"/>
    <w:rsid w:val="000F795A"/>
    <w:rsid w:val="0010020F"/>
    <w:rsid w:val="00101E5B"/>
    <w:rsid w:val="00102C8A"/>
    <w:rsid w:val="001041BE"/>
    <w:rsid w:val="00104383"/>
    <w:rsid w:val="00104F67"/>
    <w:rsid w:val="00110754"/>
    <w:rsid w:val="00111283"/>
    <w:rsid w:val="001123DC"/>
    <w:rsid w:val="0011351B"/>
    <w:rsid w:val="00113CBD"/>
    <w:rsid w:val="00116079"/>
    <w:rsid w:val="00117DA6"/>
    <w:rsid w:val="0012153D"/>
    <w:rsid w:val="00123A7B"/>
    <w:rsid w:val="00125652"/>
    <w:rsid w:val="00126A57"/>
    <w:rsid w:val="00130837"/>
    <w:rsid w:val="001310EA"/>
    <w:rsid w:val="00131CA2"/>
    <w:rsid w:val="00131EE2"/>
    <w:rsid w:val="00132353"/>
    <w:rsid w:val="00132E39"/>
    <w:rsid w:val="00132EA4"/>
    <w:rsid w:val="001345AD"/>
    <w:rsid w:val="00134D32"/>
    <w:rsid w:val="00135CFB"/>
    <w:rsid w:val="00136F86"/>
    <w:rsid w:val="00137168"/>
    <w:rsid w:val="00137A38"/>
    <w:rsid w:val="00137E03"/>
    <w:rsid w:val="00137F9B"/>
    <w:rsid w:val="0014054E"/>
    <w:rsid w:val="00141843"/>
    <w:rsid w:val="00141EC5"/>
    <w:rsid w:val="00145663"/>
    <w:rsid w:val="0014622B"/>
    <w:rsid w:val="00146B4A"/>
    <w:rsid w:val="00147765"/>
    <w:rsid w:val="001500A1"/>
    <w:rsid w:val="0015421A"/>
    <w:rsid w:val="001548CC"/>
    <w:rsid w:val="0015598D"/>
    <w:rsid w:val="001605B4"/>
    <w:rsid w:val="001613BF"/>
    <w:rsid w:val="00161541"/>
    <w:rsid w:val="00161948"/>
    <w:rsid w:val="00162A55"/>
    <w:rsid w:val="00163162"/>
    <w:rsid w:val="00164D3D"/>
    <w:rsid w:val="00167A14"/>
    <w:rsid w:val="00170EA1"/>
    <w:rsid w:val="001715DB"/>
    <w:rsid w:val="00171810"/>
    <w:rsid w:val="00171BA6"/>
    <w:rsid w:val="00171C9D"/>
    <w:rsid w:val="00172F88"/>
    <w:rsid w:val="001737E9"/>
    <w:rsid w:val="00174278"/>
    <w:rsid w:val="00174B59"/>
    <w:rsid w:val="0018445D"/>
    <w:rsid w:val="0018546C"/>
    <w:rsid w:val="001860DD"/>
    <w:rsid w:val="00191DC1"/>
    <w:rsid w:val="00192461"/>
    <w:rsid w:val="00193077"/>
    <w:rsid w:val="00193442"/>
    <w:rsid w:val="00193BCA"/>
    <w:rsid w:val="001943B8"/>
    <w:rsid w:val="001943BC"/>
    <w:rsid w:val="00195E61"/>
    <w:rsid w:val="001978E7"/>
    <w:rsid w:val="001A14FA"/>
    <w:rsid w:val="001A2118"/>
    <w:rsid w:val="001A387F"/>
    <w:rsid w:val="001A399A"/>
    <w:rsid w:val="001A3C40"/>
    <w:rsid w:val="001A409C"/>
    <w:rsid w:val="001B2741"/>
    <w:rsid w:val="001B2A14"/>
    <w:rsid w:val="001B749E"/>
    <w:rsid w:val="001C000E"/>
    <w:rsid w:val="001C1C87"/>
    <w:rsid w:val="001C34C1"/>
    <w:rsid w:val="001C6A6C"/>
    <w:rsid w:val="001C706D"/>
    <w:rsid w:val="001C7DB3"/>
    <w:rsid w:val="001D0612"/>
    <w:rsid w:val="001D1996"/>
    <w:rsid w:val="001D1F38"/>
    <w:rsid w:val="001D3745"/>
    <w:rsid w:val="001D47AB"/>
    <w:rsid w:val="001D5F51"/>
    <w:rsid w:val="001D7FC0"/>
    <w:rsid w:val="001E2928"/>
    <w:rsid w:val="001E5383"/>
    <w:rsid w:val="001E6BF8"/>
    <w:rsid w:val="001F01FD"/>
    <w:rsid w:val="001F1DCD"/>
    <w:rsid w:val="001F2DBE"/>
    <w:rsid w:val="001F4D03"/>
    <w:rsid w:val="001F5172"/>
    <w:rsid w:val="001F5F06"/>
    <w:rsid w:val="001F63BC"/>
    <w:rsid w:val="001F6B5D"/>
    <w:rsid w:val="001F72F6"/>
    <w:rsid w:val="001F7F5A"/>
    <w:rsid w:val="00200ACA"/>
    <w:rsid w:val="002010C7"/>
    <w:rsid w:val="00204697"/>
    <w:rsid w:val="00205DEE"/>
    <w:rsid w:val="00207389"/>
    <w:rsid w:val="00211A2B"/>
    <w:rsid w:val="00212A1F"/>
    <w:rsid w:val="0021300F"/>
    <w:rsid w:val="00214ED2"/>
    <w:rsid w:val="0021593C"/>
    <w:rsid w:val="002173F5"/>
    <w:rsid w:val="00217DB6"/>
    <w:rsid w:val="002215D7"/>
    <w:rsid w:val="0022349E"/>
    <w:rsid w:val="00223C99"/>
    <w:rsid w:val="00224231"/>
    <w:rsid w:val="00224869"/>
    <w:rsid w:val="00224F5C"/>
    <w:rsid w:val="00226443"/>
    <w:rsid w:val="002265E6"/>
    <w:rsid w:val="00226D23"/>
    <w:rsid w:val="00226F08"/>
    <w:rsid w:val="002307BF"/>
    <w:rsid w:val="00230D26"/>
    <w:rsid w:val="00230D68"/>
    <w:rsid w:val="0023153A"/>
    <w:rsid w:val="00232072"/>
    <w:rsid w:val="00232466"/>
    <w:rsid w:val="002324BB"/>
    <w:rsid w:val="00232D55"/>
    <w:rsid w:val="00234481"/>
    <w:rsid w:val="00235663"/>
    <w:rsid w:val="00236659"/>
    <w:rsid w:val="00236996"/>
    <w:rsid w:val="00236A12"/>
    <w:rsid w:val="00241F16"/>
    <w:rsid w:val="002435B9"/>
    <w:rsid w:val="00244E11"/>
    <w:rsid w:val="002451BF"/>
    <w:rsid w:val="00246A87"/>
    <w:rsid w:val="00247D01"/>
    <w:rsid w:val="00250225"/>
    <w:rsid w:val="0025027B"/>
    <w:rsid w:val="0025091E"/>
    <w:rsid w:val="00250949"/>
    <w:rsid w:val="00250F2E"/>
    <w:rsid w:val="0026124D"/>
    <w:rsid w:val="00261461"/>
    <w:rsid w:val="002626E7"/>
    <w:rsid w:val="0026325C"/>
    <w:rsid w:val="00263373"/>
    <w:rsid w:val="002634E1"/>
    <w:rsid w:val="002635E8"/>
    <w:rsid w:val="00264306"/>
    <w:rsid w:val="002645B5"/>
    <w:rsid w:val="00265381"/>
    <w:rsid w:val="002656A4"/>
    <w:rsid w:val="00265759"/>
    <w:rsid w:val="002669E2"/>
    <w:rsid w:val="00270AC3"/>
    <w:rsid w:val="00271DCB"/>
    <w:rsid w:val="00272FE6"/>
    <w:rsid w:val="002737C9"/>
    <w:rsid w:val="00276DBA"/>
    <w:rsid w:val="00285AEF"/>
    <w:rsid w:val="00286173"/>
    <w:rsid w:val="002876F2"/>
    <w:rsid w:val="00290791"/>
    <w:rsid w:val="0029160A"/>
    <w:rsid w:val="00291709"/>
    <w:rsid w:val="00292916"/>
    <w:rsid w:val="00293322"/>
    <w:rsid w:val="002934AB"/>
    <w:rsid w:val="002935A4"/>
    <w:rsid w:val="0029420C"/>
    <w:rsid w:val="00294E11"/>
    <w:rsid w:val="00295783"/>
    <w:rsid w:val="00296403"/>
    <w:rsid w:val="0029662C"/>
    <w:rsid w:val="00296D34"/>
    <w:rsid w:val="00297C29"/>
    <w:rsid w:val="002A084D"/>
    <w:rsid w:val="002A0E02"/>
    <w:rsid w:val="002A1539"/>
    <w:rsid w:val="002A15A5"/>
    <w:rsid w:val="002A2073"/>
    <w:rsid w:val="002A28FB"/>
    <w:rsid w:val="002A4867"/>
    <w:rsid w:val="002A4900"/>
    <w:rsid w:val="002A51ED"/>
    <w:rsid w:val="002A58DC"/>
    <w:rsid w:val="002A677C"/>
    <w:rsid w:val="002B1245"/>
    <w:rsid w:val="002B40BE"/>
    <w:rsid w:val="002B40FA"/>
    <w:rsid w:val="002B562D"/>
    <w:rsid w:val="002B566D"/>
    <w:rsid w:val="002B77D4"/>
    <w:rsid w:val="002C3E32"/>
    <w:rsid w:val="002C470D"/>
    <w:rsid w:val="002C526C"/>
    <w:rsid w:val="002C5BA9"/>
    <w:rsid w:val="002C6363"/>
    <w:rsid w:val="002D04C5"/>
    <w:rsid w:val="002D1B49"/>
    <w:rsid w:val="002D1D15"/>
    <w:rsid w:val="002D4FC0"/>
    <w:rsid w:val="002D5D22"/>
    <w:rsid w:val="002D71DE"/>
    <w:rsid w:val="002E0814"/>
    <w:rsid w:val="002E14FA"/>
    <w:rsid w:val="002E190E"/>
    <w:rsid w:val="002E2AB8"/>
    <w:rsid w:val="002F18EB"/>
    <w:rsid w:val="002F1D96"/>
    <w:rsid w:val="002F260E"/>
    <w:rsid w:val="002F2931"/>
    <w:rsid w:val="002F440B"/>
    <w:rsid w:val="002F4D29"/>
    <w:rsid w:val="002F5201"/>
    <w:rsid w:val="002F56E8"/>
    <w:rsid w:val="002F5CCE"/>
    <w:rsid w:val="002F5F24"/>
    <w:rsid w:val="0030071A"/>
    <w:rsid w:val="003013A7"/>
    <w:rsid w:val="00305553"/>
    <w:rsid w:val="00306581"/>
    <w:rsid w:val="003066B6"/>
    <w:rsid w:val="00306AEC"/>
    <w:rsid w:val="00313A15"/>
    <w:rsid w:val="0031684D"/>
    <w:rsid w:val="00317000"/>
    <w:rsid w:val="00320F01"/>
    <w:rsid w:val="00321607"/>
    <w:rsid w:val="003218FB"/>
    <w:rsid w:val="00322780"/>
    <w:rsid w:val="00322782"/>
    <w:rsid w:val="003229BA"/>
    <w:rsid w:val="00324965"/>
    <w:rsid w:val="00325C98"/>
    <w:rsid w:val="00326141"/>
    <w:rsid w:val="00326335"/>
    <w:rsid w:val="00327292"/>
    <w:rsid w:val="00330A6D"/>
    <w:rsid w:val="00331F08"/>
    <w:rsid w:val="00332756"/>
    <w:rsid w:val="00334FA4"/>
    <w:rsid w:val="003367D7"/>
    <w:rsid w:val="0033688E"/>
    <w:rsid w:val="003409AE"/>
    <w:rsid w:val="003421C8"/>
    <w:rsid w:val="00342F2A"/>
    <w:rsid w:val="00344470"/>
    <w:rsid w:val="00346582"/>
    <w:rsid w:val="003465A5"/>
    <w:rsid w:val="00347CC4"/>
    <w:rsid w:val="003539A8"/>
    <w:rsid w:val="003555EE"/>
    <w:rsid w:val="00356F21"/>
    <w:rsid w:val="00361166"/>
    <w:rsid w:val="00361F9E"/>
    <w:rsid w:val="003625FF"/>
    <w:rsid w:val="00362916"/>
    <w:rsid w:val="00364D86"/>
    <w:rsid w:val="00365343"/>
    <w:rsid w:val="003665ED"/>
    <w:rsid w:val="0037273F"/>
    <w:rsid w:val="0037488F"/>
    <w:rsid w:val="003760E0"/>
    <w:rsid w:val="00380C90"/>
    <w:rsid w:val="003819AC"/>
    <w:rsid w:val="00387DE1"/>
    <w:rsid w:val="0039021D"/>
    <w:rsid w:val="0039034A"/>
    <w:rsid w:val="00390A4C"/>
    <w:rsid w:val="00391259"/>
    <w:rsid w:val="003923E4"/>
    <w:rsid w:val="00392F8F"/>
    <w:rsid w:val="0039419B"/>
    <w:rsid w:val="003947A5"/>
    <w:rsid w:val="00395B71"/>
    <w:rsid w:val="003964B6"/>
    <w:rsid w:val="00396672"/>
    <w:rsid w:val="003A1FB0"/>
    <w:rsid w:val="003A24A5"/>
    <w:rsid w:val="003A35F8"/>
    <w:rsid w:val="003A4D0E"/>
    <w:rsid w:val="003A5549"/>
    <w:rsid w:val="003A7CF5"/>
    <w:rsid w:val="003B1D47"/>
    <w:rsid w:val="003B24C3"/>
    <w:rsid w:val="003B2A78"/>
    <w:rsid w:val="003B2E1A"/>
    <w:rsid w:val="003B58CF"/>
    <w:rsid w:val="003B6844"/>
    <w:rsid w:val="003B6EA4"/>
    <w:rsid w:val="003C05D6"/>
    <w:rsid w:val="003C0C76"/>
    <w:rsid w:val="003C0CCE"/>
    <w:rsid w:val="003C10B4"/>
    <w:rsid w:val="003C1A32"/>
    <w:rsid w:val="003C2081"/>
    <w:rsid w:val="003C2FB1"/>
    <w:rsid w:val="003C323A"/>
    <w:rsid w:val="003C36F0"/>
    <w:rsid w:val="003C51FA"/>
    <w:rsid w:val="003C7028"/>
    <w:rsid w:val="003D0097"/>
    <w:rsid w:val="003D2B21"/>
    <w:rsid w:val="003D39B9"/>
    <w:rsid w:val="003D7A70"/>
    <w:rsid w:val="003E1167"/>
    <w:rsid w:val="003E75EB"/>
    <w:rsid w:val="003E75FF"/>
    <w:rsid w:val="003F04E2"/>
    <w:rsid w:val="003F0536"/>
    <w:rsid w:val="003F0D75"/>
    <w:rsid w:val="003F1ECC"/>
    <w:rsid w:val="003F3F85"/>
    <w:rsid w:val="003F49F8"/>
    <w:rsid w:val="003F705D"/>
    <w:rsid w:val="0040003A"/>
    <w:rsid w:val="004003B6"/>
    <w:rsid w:val="0040174E"/>
    <w:rsid w:val="00402D82"/>
    <w:rsid w:val="00402F68"/>
    <w:rsid w:val="0040475A"/>
    <w:rsid w:val="00405407"/>
    <w:rsid w:val="00406B79"/>
    <w:rsid w:val="004073DD"/>
    <w:rsid w:val="00407693"/>
    <w:rsid w:val="0040788C"/>
    <w:rsid w:val="00407FD4"/>
    <w:rsid w:val="00410190"/>
    <w:rsid w:val="004105C4"/>
    <w:rsid w:val="00410C70"/>
    <w:rsid w:val="0041146A"/>
    <w:rsid w:val="00413181"/>
    <w:rsid w:val="00413474"/>
    <w:rsid w:val="00413F0C"/>
    <w:rsid w:val="0041403E"/>
    <w:rsid w:val="004151D1"/>
    <w:rsid w:val="0041664A"/>
    <w:rsid w:val="004204A0"/>
    <w:rsid w:val="00421977"/>
    <w:rsid w:val="00423418"/>
    <w:rsid w:val="004239D5"/>
    <w:rsid w:val="00423C5D"/>
    <w:rsid w:val="00423D5D"/>
    <w:rsid w:val="00423E1D"/>
    <w:rsid w:val="00423EA3"/>
    <w:rsid w:val="00426989"/>
    <w:rsid w:val="00426E0D"/>
    <w:rsid w:val="00432B86"/>
    <w:rsid w:val="0043345E"/>
    <w:rsid w:val="00434DA8"/>
    <w:rsid w:val="00437FD8"/>
    <w:rsid w:val="00441001"/>
    <w:rsid w:val="00441CF1"/>
    <w:rsid w:val="004431FF"/>
    <w:rsid w:val="00446C30"/>
    <w:rsid w:val="00447420"/>
    <w:rsid w:val="00447FCB"/>
    <w:rsid w:val="00452FD7"/>
    <w:rsid w:val="004538AA"/>
    <w:rsid w:val="0045452B"/>
    <w:rsid w:val="00454C3C"/>
    <w:rsid w:val="00455232"/>
    <w:rsid w:val="004573BC"/>
    <w:rsid w:val="00457AAA"/>
    <w:rsid w:val="00460109"/>
    <w:rsid w:val="00460360"/>
    <w:rsid w:val="004605E9"/>
    <w:rsid w:val="004624C3"/>
    <w:rsid w:val="00464D83"/>
    <w:rsid w:val="00465339"/>
    <w:rsid w:val="0046603B"/>
    <w:rsid w:val="00467712"/>
    <w:rsid w:val="004714A5"/>
    <w:rsid w:val="00471681"/>
    <w:rsid w:val="00472664"/>
    <w:rsid w:val="0047267F"/>
    <w:rsid w:val="00473082"/>
    <w:rsid w:val="0047674F"/>
    <w:rsid w:val="00477B35"/>
    <w:rsid w:val="0048081F"/>
    <w:rsid w:val="00481893"/>
    <w:rsid w:val="00481E19"/>
    <w:rsid w:val="0048491B"/>
    <w:rsid w:val="004903DD"/>
    <w:rsid w:val="00490DC7"/>
    <w:rsid w:val="0049328C"/>
    <w:rsid w:val="004960DF"/>
    <w:rsid w:val="00496349"/>
    <w:rsid w:val="00496ACE"/>
    <w:rsid w:val="00497225"/>
    <w:rsid w:val="00497716"/>
    <w:rsid w:val="00497A0E"/>
    <w:rsid w:val="004A1870"/>
    <w:rsid w:val="004A1A2C"/>
    <w:rsid w:val="004A2228"/>
    <w:rsid w:val="004A24CF"/>
    <w:rsid w:val="004A3218"/>
    <w:rsid w:val="004A345D"/>
    <w:rsid w:val="004A3E06"/>
    <w:rsid w:val="004A3FBD"/>
    <w:rsid w:val="004A52A5"/>
    <w:rsid w:val="004A5850"/>
    <w:rsid w:val="004A5C59"/>
    <w:rsid w:val="004A5F96"/>
    <w:rsid w:val="004A7D90"/>
    <w:rsid w:val="004B1784"/>
    <w:rsid w:val="004B193F"/>
    <w:rsid w:val="004B1C28"/>
    <w:rsid w:val="004B2407"/>
    <w:rsid w:val="004B2414"/>
    <w:rsid w:val="004B2C97"/>
    <w:rsid w:val="004B4467"/>
    <w:rsid w:val="004B5168"/>
    <w:rsid w:val="004B593A"/>
    <w:rsid w:val="004B6575"/>
    <w:rsid w:val="004C0B30"/>
    <w:rsid w:val="004C171D"/>
    <w:rsid w:val="004C2F3B"/>
    <w:rsid w:val="004C3F59"/>
    <w:rsid w:val="004C4897"/>
    <w:rsid w:val="004C6570"/>
    <w:rsid w:val="004D0D75"/>
    <w:rsid w:val="004D145C"/>
    <w:rsid w:val="004D1DB8"/>
    <w:rsid w:val="004D26F2"/>
    <w:rsid w:val="004D358A"/>
    <w:rsid w:val="004D4551"/>
    <w:rsid w:val="004D4E46"/>
    <w:rsid w:val="004D6508"/>
    <w:rsid w:val="004D7284"/>
    <w:rsid w:val="004D7BBC"/>
    <w:rsid w:val="004E354B"/>
    <w:rsid w:val="004E4273"/>
    <w:rsid w:val="004E483B"/>
    <w:rsid w:val="004E49E9"/>
    <w:rsid w:val="004E5E96"/>
    <w:rsid w:val="004E74D4"/>
    <w:rsid w:val="004F120B"/>
    <w:rsid w:val="004F1BAE"/>
    <w:rsid w:val="004F3342"/>
    <w:rsid w:val="004F5C9A"/>
    <w:rsid w:val="004F66F0"/>
    <w:rsid w:val="004F6C12"/>
    <w:rsid w:val="004F7401"/>
    <w:rsid w:val="005024CC"/>
    <w:rsid w:val="00503386"/>
    <w:rsid w:val="00503724"/>
    <w:rsid w:val="0050570F"/>
    <w:rsid w:val="00507099"/>
    <w:rsid w:val="005115D9"/>
    <w:rsid w:val="00511E54"/>
    <w:rsid w:val="00512742"/>
    <w:rsid w:val="0051307E"/>
    <w:rsid w:val="0051390B"/>
    <w:rsid w:val="00513FC3"/>
    <w:rsid w:val="005160ED"/>
    <w:rsid w:val="00517FA2"/>
    <w:rsid w:val="005205FA"/>
    <w:rsid w:val="0052437A"/>
    <w:rsid w:val="005273D5"/>
    <w:rsid w:val="00533DB6"/>
    <w:rsid w:val="00535B05"/>
    <w:rsid w:val="00535D82"/>
    <w:rsid w:val="0053764B"/>
    <w:rsid w:val="00541D42"/>
    <w:rsid w:val="00544764"/>
    <w:rsid w:val="0054478F"/>
    <w:rsid w:val="00544A90"/>
    <w:rsid w:val="005453ED"/>
    <w:rsid w:val="00545824"/>
    <w:rsid w:val="00546FE2"/>
    <w:rsid w:val="0055397C"/>
    <w:rsid w:val="0055549E"/>
    <w:rsid w:val="00556590"/>
    <w:rsid w:val="00556D7F"/>
    <w:rsid w:val="00561F39"/>
    <w:rsid w:val="005631E8"/>
    <w:rsid w:val="005646AC"/>
    <w:rsid w:val="0056604D"/>
    <w:rsid w:val="00566EF2"/>
    <w:rsid w:val="0056761C"/>
    <w:rsid w:val="005705C1"/>
    <w:rsid w:val="005714CD"/>
    <w:rsid w:val="0057158D"/>
    <w:rsid w:val="005717A7"/>
    <w:rsid w:val="00571D8B"/>
    <w:rsid w:val="00571E94"/>
    <w:rsid w:val="00573E7E"/>
    <w:rsid w:val="00574405"/>
    <w:rsid w:val="00581B8A"/>
    <w:rsid w:val="00581DB4"/>
    <w:rsid w:val="00590107"/>
    <w:rsid w:val="005910DE"/>
    <w:rsid w:val="0059241D"/>
    <w:rsid w:val="005929A9"/>
    <w:rsid w:val="00592B6A"/>
    <w:rsid w:val="00595330"/>
    <w:rsid w:val="005966B4"/>
    <w:rsid w:val="00596AB4"/>
    <w:rsid w:val="00597062"/>
    <w:rsid w:val="005A21A6"/>
    <w:rsid w:val="005A2C94"/>
    <w:rsid w:val="005A69B3"/>
    <w:rsid w:val="005A6CC1"/>
    <w:rsid w:val="005B0BDD"/>
    <w:rsid w:val="005B3396"/>
    <w:rsid w:val="005B44D9"/>
    <w:rsid w:val="005B52A0"/>
    <w:rsid w:val="005B7958"/>
    <w:rsid w:val="005B7B7D"/>
    <w:rsid w:val="005B7C76"/>
    <w:rsid w:val="005C1FA4"/>
    <w:rsid w:val="005C1FE8"/>
    <w:rsid w:val="005C20B6"/>
    <w:rsid w:val="005C31EA"/>
    <w:rsid w:val="005C3CDE"/>
    <w:rsid w:val="005C3E53"/>
    <w:rsid w:val="005C4208"/>
    <w:rsid w:val="005C4BE3"/>
    <w:rsid w:val="005C58E6"/>
    <w:rsid w:val="005C5C1F"/>
    <w:rsid w:val="005C6D10"/>
    <w:rsid w:val="005C7AE4"/>
    <w:rsid w:val="005D17CD"/>
    <w:rsid w:val="005D3D44"/>
    <w:rsid w:val="005D4B59"/>
    <w:rsid w:val="005D728B"/>
    <w:rsid w:val="005D7811"/>
    <w:rsid w:val="005E2B2C"/>
    <w:rsid w:val="005E3356"/>
    <w:rsid w:val="005E3814"/>
    <w:rsid w:val="005E4A69"/>
    <w:rsid w:val="005E7B34"/>
    <w:rsid w:val="005F0DC3"/>
    <w:rsid w:val="005F1F97"/>
    <w:rsid w:val="005F21BE"/>
    <w:rsid w:val="005F4C55"/>
    <w:rsid w:val="005F534C"/>
    <w:rsid w:val="005F6B9B"/>
    <w:rsid w:val="00600A3F"/>
    <w:rsid w:val="00600F08"/>
    <w:rsid w:val="006021BA"/>
    <w:rsid w:val="0060334E"/>
    <w:rsid w:val="00604D94"/>
    <w:rsid w:val="0060523F"/>
    <w:rsid w:val="00605338"/>
    <w:rsid w:val="006078D9"/>
    <w:rsid w:val="00610DF8"/>
    <w:rsid w:val="00611B66"/>
    <w:rsid w:val="00612A0A"/>
    <w:rsid w:val="00614C67"/>
    <w:rsid w:val="00614E24"/>
    <w:rsid w:val="006151BE"/>
    <w:rsid w:val="006158D2"/>
    <w:rsid w:val="00620982"/>
    <w:rsid w:val="0062155C"/>
    <w:rsid w:val="006227AD"/>
    <w:rsid w:val="00622F24"/>
    <w:rsid w:val="00624CBB"/>
    <w:rsid w:val="006252E8"/>
    <w:rsid w:val="00626874"/>
    <w:rsid w:val="00627407"/>
    <w:rsid w:val="00627B59"/>
    <w:rsid w:val="00630753"/>
    <w:rsid w:val="0063201F"/>
    <w:rsid w:val="00632468"/>
    <w:rsid w:val="00632680"/>
    <w:rsid w:val="0063354B"/>
    <w:rsid w:val="00637DDF"/>
    <w:rsid w:val="00640439"/>
    <w:rsid w:val="0064198D"/>
    <w:rsid w:val="006420A6"/>
    <w:rsid w:val="006428C5"/>
    <w:rsid w:val="006431E6"/>
    <w:rsid w:val="006434D5"/>
    <w:rsid w:val="00643A15"/>
    <w:rsid w:val="00643C6C"/>
    <w:rsid w:val="00644B65"/>
    <w:rsid w:val="00645AF7"/>
    <w:rsid w:val="006471E7"/>
    <w:rsid w:val="00650450"/>
    <w:rsid w:val="006505E5"/>
    <w:rsid w:val="00651AD1"/>
    <w:rsid w:val="00651EC1"/>
    <w:rsid w:val="00653209"/>
    <w:rsid w:val="00653E76"/>
    <w:rsid w:val="00654DA9"/>
    <w:rsid w:val="00656348"/>
    <w:rsid w:val="006569C5"/>
    <w:rsid w:val="00656BBB"/>
    <w:rsid w:val="006615C0"/>
    <w:rsid w:val="00661637"/>
    <w:rsid w:val="0066182C"/>
    <w:rsid w:val="00661EDB"/>
    <w:rsid w:val="00662D90"/>
    <w:rsid w:val="00663AB8"/>
    <w:rsid w:val="006643AB"/>
    <w:rsid w:val="00664B47"/>
    <w:rsid w:val="0066568C"/>
    <w:rsid w:val="00665A0C"/>
    <w:rsid w:val="00666F03"/>
    <w:rsid w:val="006671B0"/>
    <w:rsid w:val="00671507"/>
    <w:rsid w:val="00671535"/>
    <w:rsid w:val="006717B2"/>
    <w:rsid w:val="00675D5D"/>
    <w:rsid w:val="006836FD"/>
    <w:rsid w:val="00683FA6"/>
    <w:rsid w:val="0068567B"/>
    <w:rsid w:val="00690489"/>
    <w:rsid w:val="00690891"/>
    <w:rsid w:val="00696385"/>
    <w:rsid w:val="00697AC1"/>
    <w:rsid w:val="006A0B67"/>
    <w:rsid w:val="006A0C87"/>
    <w:rsid w:val="006A3816"/>
    <w:rsid w:val="006A3A33"/>
    <w:rsid w:val="006B0432"/>
    <w:rsid w:val="006B0B7F"/>
    <w:rsid w:val="006B1416"/>
    <w:rsid w:val="006B1C8B"/>
    <w:rsid w:val="006B22B8"/>
    <w:rsid w:val="006B2698"/>
    <w:rsid w:val="006B29E3"/>
    <w:rsid w:val="006B2B25"/>
    <w:rsid w:val="006B45F9"/>
    <w:rsid w:val="006B5831"/>
    <w:rsid w:val="006B61C4"/>
    <w:rsid w:val="006B7A7F"/>
    <w:rsid w:val="006B7B52"/>
    <w:rsid w:val="006B7B90"/>
    <w:rsid w:val="006B7D17"/>
    <w:rsid w:val="006B7F6B"/>
    <w:rsid w:val="006C0FF6"/>
    <w:rsid w:val="006C1A56"/>
    <w:rsid w:val="006C6C26"/>
    <w:rsid w:val="006C7134"/>
    <w:rsid w:val="006D07C1"/>
    <w:rsid w:val="006D126F"/>
    <w:rsid w:val="006D2800"/>
    <w:rsid w:val="006D42E8"/>
    <w:rsid w:val="006D4F28"/>
    <w:rsid w:val="006D5101"/>
    <w:rsid w:val="006D5182"/>
    <w:rsid w:val="006D774A"/>
    <w:rsid w:val="006E008A"/>
    <w:rsid w:val="006E05D2"/>
    <w:rsid w:val="006E07DF"/>
    <w:rsid w:val="006E455C"/>
    <w:rsid w:val="006E570F"/>
    <w:rsid w:val="006E58ED"/>
    <w:rsid w:val="006F0E8A"/>
    <w:rsid w:val="006F1F51"/>
    <w:rsid w:val="006F694E"/>
    <w:rsid w:val="006F6969"/>
    <w:rsid w:val="006F6EDD"/>
    <w:rsid w:val="006F707C"/>
    <w:rsid w:val="0070244B"/>
    <w:rsid w:val="00703B4D"/>
    <w:rsid w:val="007042C5"/>
    <w:rsid w:val="007044B2"/>
    <w:rsid w:val="00704B76"/>
    <w:rsid w:val="0070601C"/>
    <w:rsid w:val="00707272"/>
    <w:rsid w:val="007104B6"/>
    <w:rsid w:val="00710C8A"/>
    <w:rsid w:val="007134A2"/>
    <w:rsid w:val="00715F64"/>
    <w:rsid w:val="007209A7"/>
    <w:rsid w:val="00720F48"/>
    <w:rsid w:val="00721580"/>
    <w:rsid w:val="00721904"/>
    <w:rsid w:val="007222D1"/>
    <w:rsid w:val="00722309"/>
    <w:rsid w:val="00722B92"/>
    <w:rsid w:val="00722FDC"/>
    <w:rsid w:val="0072379D"/>
    <w:rsid w:val="00723C2D"/>
    <w:rsid w:val="00726D8B"/>
    <w:rsid w:val="007339A4"/>
    <w:rsid w:val="007339DF"/>
    <w:rsid w:val="00733E16"/>
    <w:rsid w:val="007348E2"/>
    <w:rsid w:val="00736CB7"/>
    <w:rsid w:val="00737142"/>
    <w:rsid w:val="007404D4"/>
    <w:rsid w:val="00740CDA"/>
    <w:rsid w:val="007412C8"/>
    <w:rsid w:val="00742247"/>
    <w:rsid w:val="0074290B"/>
    <w:rsid w:val="00743223"/>
    <w:rsid w:val="007455E9"/>
    <w:rsid w:val="00745D11"/>
    <w:rsid w:val="00751840"/>
    <w:rsid w:val="00751A46"/>
    <w:rsid w:val="00752764"/>
    <w:rsid w:val="0075406B"/>
    <w:rsid w:val="007552E2"/>
    <w:rsid w:val="00756E4B"/>
    <w:rsid w:val="00757399"/>
    <w:rsid w:val="00760217"/>
    <w:rsid w:val="007618E8"/>
    <w:rsid w:val="007639E6"/>
    <w:rsid w:val="00764043"/>
    <w:rsid w:val="007654E4"/>
    <w:rsid w:val="007666B2"/>
    <w:rsid w:val="00767AA1"/>
    <w:rsid w:val="00767B16"/>
    <w:rsid w:val="00770893"/>
    <w:rsid w:val="00772955"/>
    <w:rsid w:val="00772D5A"/>
    <w:rsid w:val="00774389"/>
    <w:rsid w:val="007746E2"/>
    <w:rsid w:val="0077676B"/>
    <w:rsid w:val="0077718A"/>
    <w:rsid w:val="007772E9"/>
    <w:rsid w:val="00780227"/>
    <w:rsid w:val="00781D30"/>
    <w:rsid w:val="00784E05"/>
    <w:rsid w:val="00785995"/>
    <w:rsid w:val="007868E9"/>
    <w:rsid w:val="0078693E"/>
    <w:rsid w:val="00787297"/>
    <w:rsid w:val="007905B9"/>
    <w:rsid w:val="007912BF"/>
    <w:rsid w:val="00793160"/>
    <w:rsid w:val="00793880"/>
    <w:rsid w:val="00793F96"/>
    <w:rsid w:val="00796F36"/>
    <w:rsid w:val="007971CF"/>
    <w:rsid w:val="007A046B"/>
    <w:rsid w:val="007A0AD1"/>
    <w:rsid w:val="007A0DEE"/>
    <w:rsid w:val="007A1685"/>
    <w:rsid w:val="007A1B66"/>
    <w:rsid w:val="007A321E"/>
    <w:rsid w:val="007A39E8"/>
    <w:rsid w:val="007A6244"/>
    <w:rsid w:val="007A6CDA"/>
    <w:rsid w:val="007A6F47"/>
    <w:rsid w:val="007A70A5"/>
    <w:rsid w:val="007B01C4"/>
    <w:rsid w:val="007B27C7"/>
    <w:rsid w:val="007B2F12"/>
    <w:rsid w:val="007B5F4A"/>
    <w:rsid w:val="007B5FBA"/>
    <w:rsid w:val="007B6E9C"/>
    <w:rsid w:val="007B7428"/>
    <w:rsid w:val="007C0563"/>
    <w:rsid w:val="007C2691"/>
    <w:rsid w:val="007C2AB1"/>
    <w:rsid w:val="007C4D28"/>
    <w:rsid w:val="007C5E7D"/>
    <w:rsid w:val="007C72FC"/>
    <w:rsid w:val="007C7399"/>
    <w:rsid w:val="007C7F4F"/>
    <w:rsid w:val="007D1484"/>
    <w:rsid w:val="007D1904"/>
    <w:rsid w:val="007D20B5"/>
    <w:rsid w:val="007D5444"/>
    <w:rsid w:val="007D5F63"/>
    <w:rsid w:val="007D6852"/>
    <w:rsid w:val="007D7062"/>
    <w:rsid w:val="007E0C4D"/>
    <w:rsid w:val="007E0CEA"/>
    <w:rsid w:val="007E1272"/>
    <w:rsid w:val="007E2DB7"/>
    <w:rsid w:val="007E2F66"/>
    <w:rsid w:val="007E358E"/>
    <w:rsid w:val="007E54AE"/>
    <w:rsid w:val="007E5877"/>
    <w:rsid w:val="007E6E30"/>
    <w:rsid w:val="007F0754"/>
    <w:rsid w:val="007F3573"/>
    <w:rsid w:val="007F3663"/>
    <w:rsid w:val="007F37CE"/>
    <w:rsid w:val="007F39FC"/>
    <w:rsid w:val="007F3B1A"/>
    <w:rsid w:val="007F5FDF"/>
    <w:rsid w:val="007F6EA8"/>
    <w:rsid w:val="007F751B"/>
    <w:rsid w:val="0080041B"/>
    <w:rsid w:val="00800768"/>
    <w:rsid w:val="008007BD"/>
    <w:rsid w:val="00800FC1"/>
    <w:rsid w:val="00801AF4"/>
    <w:rsid w:val="0080219D"/>
    <w:rsid w:val="008037FE"/>
    <w:rsid w:val="00805298"/>
    <w:rsid w:val="0080664C"/>
    <w:rsid w:val="0080741E"/>
    <w:rsid w:val="00807CB2"/>
    <w:rsid w:val="00810A2A"/>
    <w:rsid w:val="00810ADF"/>
    <w:rsid w:val="00810CAD"/>
    <w:rsid w:val="00811B39"/>
    <w:rsid w:val="00812107"/>
    <w:rsid w:val="008127EA"/>
    <w:rsid w:val="00812D03"/>
    <w:rsid w:val="00814566"/>
    <w:rsid w:val="00814D4E"/>
    <w:rsid w:val="00815211"/>
    <w:rsid w:val="00816438"/>
    <w:rsid w:val="008170DD"/>
    <w:rsid w:val="00820021"/>
    <w:rsid w:val="008204CF"/>
    <w:rsid w:val="00820E63"/>
    <w:rsid w:val="008212FC"/>
    <w:rsid w:val="0082166B"/>
    <w:rsid w:val="00821B97"/>
    <w:rsid w:val="008252B3"/>
    <w:rsid w:val="008257F9"/>
    <w:rsid w:val="00825D97"/>
    <w:rsid w:val="00826085"/>
    <w:rsid w:val="0082623A"/>
    <w:rsid w:val="00827A01"/>
    <w:rsid w:val="008304E3"/>
    <w:rsid w:val="00830B7F"/>
    <w:rsid w:val="00830F69"/>
    <w:rsid w:val="00831AB3"/>
    <w:rsid w:val="00832163"/>
    <w:rsid w:val="00832BA5"/>
    <w:rsid w:val="00834375"/>
    <w:rsid w:val="00834C52"/>
    <w:rsid w:val="00835B32"/>
    <w:rsid w:val="00835BBB"/>
    <w:rsid w:val="00835CDA"/>
    <w:rsid w:val="008360BB"/>
    <w:rsid w:val="0083658E"/>
    <w:rsid w:val="008378D7"/>
    <w:rsid w:val="008406C5"/>
    <w:rsid w:val="00840A26"/>
    <w:rsid w:val="00840B07"/>
    <w:rsid w:val="00841BF6"/>
    <w:rsid w:val="00844DF4"/>
    <w:rsid w:val="008461AD"/>
    <w:rsid w:val="0084742E"/>
    <w:rsid w:val="00847D28"/>
    <w:rsid w:val="00850A80"/>
    <w:rsid w:val="00850DBF"/>
    <w:rsid w:val="00850F85"/>
    <w:rsid w:val="00850FEE"/>
    <w:rsid w:val="0085249B"/>
    <w:rsid w:val="00852A5A"/>
    <w:rsid w:val="00852A9F"/>
    <w:rsid w:val="00855ECB"/>
    <w:rsid w:val="0085787B"/>
    <w:rsid w:val="00860FF3"/>
    <w:rsid w:val="0086111F"/>
    <w:rsid w:val="008616EC"/>
    <w:rsid w:val="00861972"/>
    <w:rsid w:val="00862059"/>
    <w:rsid w:val="008627F6"/>
    <w:rsid w:val="0086313F"/>
    <w:rsid w:val="008635BB"/>
    <w:rsid w:val="00863FC3"/>
    <w:rsid w:val="0086444A"/>
    <w:rsid w:val="008648F9"/>
    <w:rsid w:val="00864F3D"/>
    <w:rsid w:val="00865BCB"/>
    <w:rsid w:val="00867944"/>
    <w:rsid w:val="00870015"/>
    <w:rsid w:val="00871DB8"/>
    <w:rsid w:val="00875968"/>
    <w:rsid w:val="008760C4"/>
    <w:rsid w:val="008768E0"/>
    <w:rsid w:val="00876D4C"/>
    <w:rsid w:val="008846EA"/>
    <w:rsid w:val="008916F1"/>
    <w:rsid w:val="00891F53"/>
    <w:rsid w:val="00894433"/>
    <w:rsid w:val="0089538C"/>
    <w:rsid w:val="00895A00"/>
    <w:rsid w:val="00895C3B"/>
    <w:rsid w:val="00895C75"/>
    <w:rsid w:val="0089712F"/>
    <w:rsid w:val="00897351"/>
    <w:rsid w:val="008A1287"/>
    <w:rsid w:val="008A31DC"/>
    <w:rsid w:val="008A3F2E"/>
    <w:rsid w:val="008A5B81"/>
    <w:rsid w:val="008A5C96"/>
    <w:rsid w:val="008A6703"/>
    <w:rsid w:val="008A6C16"/>
    <w:rsid w:val="008A7882"/>
    <w:rsid w:val="008B136C"/>
    <w:rsid w:val="008B26B6"/>
    <w:rsid w:val="008B28F6"/>
    <w:rsid w:val="008B4A8D"/>
    <w:rsid w:val="008B4F0C"/>
    <w:rsid w:val="008B6606"/>
    <w:rsid w:val="008B6E9B"/>
    <w:rsid w:val="008C3E56"/>
    <w:rsid w:val="008C5A49"/>
    <w:rsid w:val="008C5DDA"/>
    <w:rsid w:val="008C653B"/>
    <w:rsid w:val="008C65D8"/>
    <w:rsid w:val="008C6DB9"/>
    <w:rsid w:val="008C737A"/>
    <w:rsid w:val="008D0760"/>
    <w:rsid w:val="008D1E60"/>
    <w:rsid w:val="008D29A6"/>
    <w:rsid w:val="008D3541"/>
    <w:rsid w:val="008D3915"/>
    <w:rsid w:val="008D3E70"/>
    <w:rsid w:val="008D3EB9"/>
    <w:rsid w:val="008D461F"/>
    <w:rsid w:val="008D59B9"/>
    <w:rsid w:val="008E1918"/>
    <w:rsid w:val="008E1FDD"/>
    <w:rsid w:val="008E26B1"/>
    <w:rsid w:val="008E2D26"/>
    <w:rsid w:val="008E2D56"/>
    <w:rsid w:val="008E6923"/>
    <w:rsid w:val="008E791D"/>
    <w:rsid w:val="008F5914"/>
    <w:rsid w:val="008F6094"/>
    <w:rsid w:val="008F6FA8"/>
    <w:rsid w:val="009028D3"/>
    <w:rsid w:val="0090440B"/>
    <w:rsid w:val="00905064"/>
    <w:rsid w:val="00905312"/>
    <w:rsid w:val="009058A6"/>
    <w:rsid w:val="00905E90"/>
    <w:rsid w:val="00912B4E"/>
    <w:rsid w:val="0091373E"/>
    <w:rsid w:val="00913FAB"/>
    <w:rsid w:val="00913FC7"/>
    <w:rsid w:val="009165AC"/>
    <w:rsid w:val="00917FF5"/>
    <w:rsid w:val="0092089C"/>
    <w:rsid w:val="00921C5E"/>
    <w:rsid w:val="00925920"/>
    <w:rsid w:val="009261C8"/>
    <w:rsid w:val="00927530"/>
    <w:rsid w:val="009320C5"/>
    <w:rsid w:val="00933513"/>
    <w:rsid w:val="00933D4D"/>
    <w:rsid w:val="00933FB9"/>
    <w:rsid w:val="00934218"/>
    <w:rsid w:val="00934CCF"/>
    <w:rsid w:val="00937276"/>
    <w:rsid w:val="00940742"/>
    <w:rsid w:val="00942548"/>
    <w:rsid w:val="00942BE7"/>
    <w:rsid w:val="00944175"/>
    <w:rsid w:val="0094614A"/>
    <w:rsid w:val="009462D9"/>
    <w:rsid w:val="00947E46"/>
    <w:rsid w:val="00947E6D"/>
    <w:rsid w:val="0095205C"/>
    <w:rsid w:val="00953E44"/>
    <w:rsid w:val="0095404C"/>
    <w:rsid w:val="0095649B"/>
    <w:rsid w:val="00957B84"/>
    <w:rsid w:val="00962686"/>
    <w:rsid w:val="0096287C"/>
    <w:rsid w:val="00963A78"/>
    <w:rsid w:val="00964A34"/>
    <w:rsid w:val="00964BF2"/>
    <w:rsid w:val="009650D3"/>
    <w:rsid w:val="00965709"/>
    <w:rsid w:val="00967533"/>
    <w:rsid w:val="00970253"/>
    <w:rsid w:val="00971069"/>
    <w:rsid w:val="0097153B"/>
    <w:rsid w:val="009715AF"/>
    <w:rsid w:val="00971D58"/>
    <w:rsid w:val="0097214C"/>
    <w:rsid w:val="009737DA"/>
    <w:rsid w:val="00980124"/>
    <w:rsid w:val="009803A2"/>
    <w:rsid w:val="00980913"/>
    <w:rsid w:val="00981272"/>
    <w:rsid w:val="009845E9"/>
    <w:rsid w:val="009848CF"/>
    <w:rsid w:val="00986168"/>
    <w:rsid w:val="00992E33"/>
    <w:rsid w:val="00993207"/>
    <w:rsid w:val="0099392E"/>
    <w:rsid w:val="0099693C"/>
    <w:rsid w:val="009A116B"/>
    <w:rsid w:val="009A12DA"/>
    <w:rsid w:val="009A4BF7"/>
    <w:rsid w:val="009A53FC"/>
    <w:rsid w:val="009A7333"/>
    <w:rsid w:val="009A7471"/>
    <w:rsid w:val="009B0E8C"/>
    <w:rsid w:val="009B2EB0"/>
    <w:rsid w:val="009B3F98"/>
    <w:rsid w:val="009B485C"/>
    <w:rsid w:val="009B492B"/>
    <w:rsid w:val="009B5A4A"/>
    <w:rsid w:val="009B79A3"/>
    <w:rsid w:val="009C0740"/>
    <w:rsid w:val="009C16D9"/>
    <w:rsid w:val="009C3D07"/>
    <w:rsid w:val="009C4E21"/>
    <w:rsid w:val="009C57CA"/>
    <w:rsid w:val="009C5B11"/>
    <w:rsid w:val="009C5C15"/>
    <w:rsid w:val="009C742B"/>
    <w:rsid w:val="009C791C"/>
    <w:rsid w:val="009D0274"/>
    <w:rsid w:val="009D2BA6"/>
    <w:rsid w:val="009D3D67"/>
    <w:rsid w:val="009D4526"/>
    <w:rsid w:val="009D4CD1"/>
    <w:rsid w:val="009D56BD"/>
    <w:rsid w:val="009D6134"/>
    <w:rsid w:val="009D7DF8"/>
    <w:rsid w:val="009E0B14"/>
    <w:rsid w:val="009E1001"/>
    <w:rsid w:val="009E12CC"/>
    <w:rsid w:val="009E1E31"/>
    <w:rsid w:val="009F0BF6"/>
    <w:rsid w:val="009F214D"/>
    <w:rsid w:val="009F476E"/>
    <w:rsid w:val="009F73DF"/>
    <w:rsid w:val="009F78B0"/>
    <w:rsid w:val="009F7E20"/>
    <w:rsid w:val="00A0089B"/>
    <w:rsid w:val="00A008E4"/>
    <w:rsid w:val="00A0123C"/>
    <w:rsid w:val="00A0173D"/>
    <w:rsid w:val="00A01A5C"/>
    <w:rsid w:val="00A01AB9"/>
    <w:rsid w:val="00A033AF"/>
    <w:rsid w:val="00A04B24"/>
    <w:rsid w:val="00A0582A"/>
    <w:rsid w:val="00A060BA"/>
    <w:rsid w:val="00A06301"/>
    <w:rsid w:val="00A110BA"/>
    <w:rsid w:val="00A1194B"/>
    <w:rsid w:val="00A13C68"/>
    <w:rsid w:val="00A13F06"/>
    <w:rsid w:val="00A15401"/>
    <w:rsid w:val="00A15D5D"/>
    <w:rsid w:val="00A16708"/>
    <w:rsid w:val="00A16828"/>
    <w:rsid w:val="00A169BA"/>
    <w:rsid w:val="00A20962"/>
    <w:rsid w:val="00A2368D"/>
    <w:rsid w:val="00A2407B"/>
    <w:rsid w:val="00A24761"/>
    <w:rsid w:val="00A262B6"/>
    <w:rsid w:val="00A264F4"/>
    <w:rsid w:val="00A27C92"/>
    <w:rsid w:val="00A3102E"/>
    <w:rsid w:val="00A3151A"/>
    <w:rsid w:val="00A31916"/>
    <w:rsid w:val="00A31E9D"/>
    <w:rsid w:val="00A36C5B"/>
    <w:rsid w:val="00A36EA0"/>
    <w:rsid w:val="00A37D6A"/>
    <w:rsid w:val="00A4034A"/>
    <w:rsid w:val="00A4145A"/>
    <w:rsid w:val="00A44364"/>
    <w:rsid w:val="00A44531"/>
    <w:rsid w:val="00A44B6E"/>
    <w:rsid w:val="00A47D39"/>
    <w:rsid w:val="00A50AE9"/>
    <w:rsid w:val="00A50DDA"/>
    <w:rsid w:val="00A50E61"/>
    <w:rsid w:val="00A5111E"/>
    <w:rsid w:val="00A5386B"/>
    <w:rsid w:val="00A54361"/>
    <w:rsid w:val="00A54B5E"/>
    <w:rsid w:val="00A5512D"/>
    <w:rsid w:val="00A55498"/>
    <w:rsid w:val="00A55D67"/>
    <w:rsid w:val="00A55FF8"/>
    <w:rsid w:val="00A57EC8"/>
    <w:rsid w:val="00A60142"/>
    <w:rsid w:val="00A60D2E"/>
    <w:rsid w:val="00A610D7"/>
    <w:rsid w:val="00A611D7"/>
    <w:rsid w:val="00A6171F"/>
    <w:rsid w:val="00A64461"/>
    <w:rsid w:val="00A651C0"/>
    <w:rsid w:val="00A65C0E"/>
    <w:rsid w:val="00A70F9A"/>
    <w:rsid w:val="00A7424D"/>
    <w:rsid w:val="00A74787"/>
    <w:rsid w:val="00A751D1"/>
    <w:rsid w:val="00A76137"/>
    <w:rsid w:val="00A7650E"/>
    <w:rsid w:val="00A76638"/>
    <w:rsid w:val="00A77EE3"/>
    <w:rsid w:val="00A849EC"/>
    <w:rsid w:val="00A84D7D"/>
    <w:rsid w:val="00A87BDA"/>
    <w:rsid w:val="00A90F2A"/>
    <w:rsid w:val="00A939A8"/>
    <w:rsid w:val="00A93B61"/>
    <w:rsid w:val="00A95DD2"/>
    <w:rsid w:val="00A9743C"/>
    <w:rsid w:val="00A97EC8"/>
    <w:rsid w:val="00AA06B8"/>
    <w:rsid w:val="00AA06DC"/>
    <w:rsid w:val="00AA1E81"/>
    <w:rsid w:val="00AA1EC4"/>
    <w:rsid w:val="00AA2A96"/>
    <w:rsid w:val="00AA2CD2"/>
    <w:rsid w:val="00AA34B5"/>
    <w:rsid w:val="00AA50B9"/>
    <w:rsid w:val="00AA5296"/>
    <w:rsid w:val="00AA57BE"/>
    <w:rsid w:val="00AA6155"/>
    <w:rsid w:val="00AA6889"/>
    <w:rsid w:val="00AA774C"/>
    <w:rsid w:val="00AA7C25"/>
    <w:rsid w:val="00AB0ACB"/>
    <w:rsid w:val="00AB0D93"/>
    <w:rsid w:val="00AB1A68"/>
    <w:rsid w:val="00AB2E53"/>
    <w:rsid w:val="00AB3223"/>
    <w:rsid w:val="00AB4C6A"/>
    <w:rsid w:val="00AB50F1"/>
    <w:rsid w:val="00AB56FA"/>
    <w:rsid w:val="00AB7F75"/>
    <w:rsid w:val="00AC2EDC"/>
    <w:rsid w:val="00AC3862"/>
    <w:rsid w:val="00AC3B35"/>
    <w:rsid w:val="00AC40DA"/>
    <w:rsid w:val="00AC4CEE"/>
    <w:rsid w:val="00AC5446"/>
    <w:rsid w:val="00AC59F0"/>
    <w:rsid w:val="00AC72A4"/>
    <w:rsid w:val="00AD3275"/>
    <w:rsid w:val="00AD40A7"/>
    <w:rsid w:val="00AD45D9"/>
    <w:rsid w:val="00AD49B7"/>
    <w:rsid w:val="00AD5000"/>
    <w:rsid w:val="00AD73E3"/>
    <w:rsid w:val="00AE094F"/>
    <w:rsid w:val="00AE175E"/>
    <w:rsid w:val="00AE2A1D"/>
    <w:rsid w:val="00AE2F58"/>
    <w:rsid w:val="00AE31A0"/>
    <w:rsid w:val="00AE32B3"/>
    <w:rsid w:val="00AE36B8"/>
    <w:rsid w:val="00AE704E"/>
    <w:rsid w:val="00AF35D5"/>
    <w:rsid w:val="00AF43A9"/>
    <w:rsid w:val="00AF6B6C"/>
    <w:rsid w:val="00B002CD"/>
    <w:rsid w:val="00B004C6"/>
    <w:rsid w:val="00B03753"/>
    <w:rsid w:val="00B06B40"/>
    <w:rsid w:val="00B06BE6"/>
    <w:rsid w:val="00B0711D"/>
    <w:rsid w:val="00B0716A"/>
    <w:rsid w:val="00B10677"/>
    <w:rsid w:val="00B119E5"/>
    <w:rsid w:val="00B126A1"/>
    <w:rsid w:val="00B131DB"/>
    <w:rsid w:val="00B1416D"/>
    <w:rsid w:val="00B14471"/>
    <w:rsid w:val="00B15130"/>
    <w:rsid w:val="00B1587F"/>
    <w:rsid w:val="00B1589D"/>
    <w:rsid w:val="00B16610"/>
    <w:rsid w:val="00B16DB3"/>
    <w:rsid w:val="00B16EC9"/>
    <w:rsid w:val="00B20239"/>
    <w:rsid w:val="00B2024D"/>
    <w:rsid w:val="00B2102C"/>
    <w:rsid w:val="00B21710"/>
    <w:rsid w:val="00B217FA"/>
    <w:rsid w:val="00B231D5"/>
    <w:rsid w:val="00B24009"/>
    <w:rsid w:val="00B24870"/>
    <w:rsid w:val="00B2527B"/>
    <w:rsid w:val="00B253D0"/>
    <w:rsid w:val="00B258F6"/>
    <w:rsid w:val="00B25DAC"/>
    <w:rsid w:val="00B31ED4"/>
    <w:rsid w:val="00B35EB3"/>
    <w:rsid w:val="00B366EC"/>
    <w:rsid w:val="00B3733F"/>
    <w:rsid w:val="00B41CD0"/>
    <w:rsid w:val="00B41E29"/>
    <w:rsid w:val="00B42A03"/>
    <w:rsid w:val="00B44F61"/>
    <w:rsid w:val="00B463C3"/>
    <w:rsid w:val="00B4662D"/>
    <w:rsid w:val="00B4714E"/>
    <w:rsid w:val="00B47F33"/>
    <w:rsid w:val="00B50305"/>
    <w:rsid w:val="00B53F20"/>
    <w:rsid w:val="00B54495"/>
    <w:rsid w:val="00B54FD3"/>
    <w:rsid w:val="00B558B9"/>
    <w:rsid w:val="00B56E5E"/>
    <w:rsid w:val="00B57575"/>
    <w:rsid w:val="00B61EE1"/>
    <w:rsid w:val="00B64985"/>
    <w:rsid w:val="00B65FBD"/>
    <w:rsid w:val="00B678BA"/>
    <w:rsid w:val="00B67EEE"/>
    <w:rsid w:val="00B70072"/>
    <w:rsid w:val="00B702A8"/>
    <w:rsid w:val="00B72165"/>
    <w:rsid w:val="00B73FF5"/>
    <w:rsid w:val="00B751D7"/>
    <w:rsid w:val="00B765E5"/>
    <w:rsid w:val="00B803B2"/>
    <w:rsid w:val="00B82755"/>
    <w:rsid w:val="00B856CD"/>
    <w:rsid w:val="00B87D03"/>
    <w:rsid w:val="00B92874"/>
    <w:rsid w:val="00B93E5B"/>
    <w:rsid w:val="00B95DFF"/>
    <w:rsid w:val="00BA01EF"/>
    <w:rsid w:val="00BA259C"/>
    <w:rsid w:val="00BA4DC8"/>
    <w:rsid w:val="00BA6939"/>
    <w:rsid w:val="00BA6A77"/>
    <w:rsid w:val="00BB071A"/>
    <w:rsid w:val="00BB111B"/>
    <w:rsid w:val="00BB17D8"/>
    <w:rsid w:val="00BB17FE"/>
    <w:rsid w:val="00BB2A40"/>
    <w:rsid w:val="00BB30D1"/>
    <w:rsid w:val="00BB472B"/>
    <w:rsid w:val="00BB5569"/>
    <w:rsid w:val="00BC1CBA"/>
    <w:rsid w:val="00BC6065"/>
    <w:rsid w:val="00BC6853"/>
    <w:rsid w:val="00BD07A7"/>
    <w:rsid w:val="00BD0CB7"/>
    <w:rsid w:val="00BD388F"/>
    <w:rsid w:val="00BD3A08"/>
    <w:rsid w:val="00BD3E9C"/>
    <w:rsid w:val="00BD44F9"/>
    <w:rsid w:val="00BD4615"/>
    <w:rsid w:val="00BD5B6A"/>
    <w:rsid w:val="00BD6FD5"/>
    <w:rsid w:val="00BD7A84"/>
    <w:rsid w:val="00BE2630"/>
    <w:rsid w:val="00BE29C1"/>
    <w:rsid w:val="00BE2C53"/>
    <w:rsid w:val="00BE58A9"/>
    <w:rsid w:val="00BE78BC"/>
    <w:rsid w:val="00BF0B48"/>
    <w:rsid w:val="00BF1E98"/>
    <w:rsid w:val="00BF42B2"/>
    <w:rsid w:val="00BF4A5A"/>
    <w:rsid w:val="00BF50FB"/>
    <w:rsid w:val="00BF55FE"/>
    <w:rsid w:val="00BF5BA2"/>
    <w:rsid w:val="00BF6D46"/>
    <w:rsid w:val="00BF76AA"/>
    <w:rsid w:val="00BF7F76"/>
    <w:rsid w:val="00C004D5"/>
    <w:rsid w:val="00C03C9A"/>
    <w:rsid w:val="00C04582"/>
    <w:rsid w:val="00C12B02"/>
    <w:rsid w:val="00C137B7"/>
    <w:rsid w:val="00C151C0"/>
    <w:rsid w:val="00C15219"/>
    <w:rsid w:val="00C1565E"/>
    <w:rsid w:val="00C174B7"/>
    <w:rsid w:val="00C17802"/>
    <w:rsid w:val="00C2007C"/>
    <w:rsid w:val="00C20C20"/>
    <w:rsid w:val="00C212B8"/>
    <w:rsid w:val="00C2182F"/>
    <w:rsid w:val="00C2201B"/>
    <w:rsid w:val="00C23031"/>
    <w:rsid w:val="00C232A3"/>
    <w:rsid w:val="00C23886"/>
    <w:rsid w:val="00C24241"/>
    <w:rsid w:val="00C244C1"/>
    <w:rsid w:val="00C244E2"/>
    <w:rsid w:val="00C25596"/>
    <w:rsid w:val="00C261D6"/>
    <w:rsid w:val="00C3069C"/>
    <w:rsid w:val="00C332BD"/>
    <w:rsid w:val="00C35D64"/>
    <w:rsid w:val="00C36175"/>
    <w:rsid w:val="00C3677A"/>
    <w:rsid w:val="00C424B9"/>
    <w:rsid w:val="00C43A35"/>
    <w:rsid w:val="00C45BDA"/>
    <w:rsid w:val="00C46F63"/>
    <w:rsid w:val="00C50BB2"/>
    <w:rsid w:val="00C512A8"/>
    <w:rsid w:val="00C51AC3"/>
    <w:rsid w:val="00C520FE"/>
    <w:rsid w:val="00C53B16"/>
    <w:rsid w:val="00C55473"/>
    <w:rsid w:val="00C556C0"/>
    <w:rsid w:val="00C56489"/>
    <w:rsid w:val="00C567C8"/>
    <w:rsid w:val="00C606DF"/>
    <w:rsid w:val="00C61AE7"/>
    <w:rsid w:val="00C6231A"/>
    <w:rsid w:val="00C62720"/>
    <w:rsid w:val="00C636DB"/>
    <w:rsid w:val="00C641D9"/>
    <w:rsid w:val="00C6445F"/>
    <w:rsid w:val="00C647FE"/>
    <w:rsid w:val="00C64A7D"/>
    <w:rsid w:val="00C650E8"/>
    <w:rsid w:val="00C65356"/>
    <w:rsid w:val="00C6548A"/>
    <w:rsid w:val="00C669E0"/>
    <w:rsid w:val="00C67BC2"/>
    <w:rsid w:val="00C72FE3"/>
    <w:rsid w:val="00C735A3"/>
    <w:rsid w:val="00C76A40"/>
    <w:rsid w:val="00C806CA"/>
    <w:rsid w:val="00C82306"/>
    <w:rsid w:val="00C84C7E"/>
    <w:rsid w:val="00C855B0"/>
    <w:rsid w:val="00C86523"/>
    <w:rsid w:val="00C86C58"/>
    <w:rsid w:val="00C92F19"/>
    <w:rsid w:val="00C936AB"/>
    <w:rsid w:val="00C93E98"/>
    <w:rsid w:val="00C94A2B"/>
    <w:rsid w:val="00C94CD6"/>
    <w:rsid w:val="00C96324"/>
    <w:rsid w:val="00C96568"/>
    <w:rsid w:val="00C968B9"/>
    <w:rsid w:val="00C97E3B"/>
    <w:rsid w:val="00CA0768"/>
    <w:rsid w:val="00CA69A0"/>
    <w:rsid w:val="00CB2420"/>
    <w:rsid w:val="00CB4BC0"/>
    <w:rsid w:val="00CB4CBB"/>
    <w:rsid w:val="00CB5CC1"/>
    <w:rsid w:val="00CC17D0"/>
    <w:rsid w:val="00CC2E80"/>
    <w:rsid w:val="00CC5D93"/>
    <w:rsid w:val="00CC604C"/>
    <w:rsid w:val="00CC7D39"/>
    <w:rsid w:val="00CD0633"/>
    <w:rsid w:val="00CD5B71"/>
    <w:rsid w:val="00CE085C"/>
    <w:rsid w:val="00CE0EBB"/>
    <w:rsid w:val="00CE460F"/>
    <w:rsid w:val="00CE5B89"/>
    <w:rsid w:val="00CE5D41"/>
    <w:rsid w:val="00CE631F"/>
    <w:rsid w:val="00CE6F1A"/>
    <w:rsid w:val="00CF01DE"/>
    <w:rsid w:val="00CF42B3"/>
    <w:rsid w:val="00CF4854"/>
    <w:rsid w:val="00CF617C"/>
    <w:rsid w:val="00D00290"/>
    <w:rsid w:val="00D00609"/>
    <w:rsid w:val="00D02275"/>
    <w:rsid w:val="00D03072"/>
    <w:rsid w:val="00D031E2"/>
    <w:rsid w:val="00D03ADC"/>
    <w:rsid w:val="00D03D66"/>
    <w:rsid w:val="00D052DB"/>
    <w:rsid w:val="00D05A2F"/>
    <w:rsid w:val="00D15282"/>
    <w:rsid w:val="00D15927"/>
    <w:rsid w:val="00D17DC3"/>
    <w:rsid w:val="00D22F34"/>
    <w:rsid w:val="00D24D22"/>
    <w:rsid w:val="00D26C8B"/>
    <w:rsid w:val="00D3173A"/>
    <w:rsid w:val="00D32E59"/>
    <w:rsid w:val="00D3366F"/>
    <w:rsid w:val="00D33753"/>
    <w:rsid w:val="00D33D2F"/>
    <w:rsid w:val="00D3588F"/>
    <w:rsid w:val="00D36CE8"/>
    <w:rsid w:val="00D37B5D"/>
    <w:rsid w:val="00D40787"/>
    <w:rsid w:val="00D40A5D"/>
    <w:rsid w:val="00D40C9E"/>
    <w:rsid w:val="00D439E0"/>
    <w:rsid w:val="00D44029"/>
    <w:rsid w:val="00D45283"/>
    <w:rsid w:val="00D47085"/>
    <w:rsid w:val="00D47A07"/>
    <w:rsid w:val="00D56462"/>
    <w:rsid w:val="00D57871"/>
    <w:rsid w:val="00D6011A"/>
    <w:rsid w:val="00D60B7A"/>
    <w:rsid w:val="00D60D33"/>
    <w:rsid w:val="00D61202"/>
    <w:rsid w:val="00D62350"/>
    <w:rsid w:val="00D629E2"/>
    <w:rsid w:val="00D648AE"/>
    <w:rsid w:val="00D6625C"/>
    <w:rsid w:val="00D66D2D"/>
    <w:rsid w:val="00D66FC2"/>
    <w:rsid w:val="00D67C5A"/>
    <w:rsid w:val="00D70207"/>
    <w:rsid w:val="00D71F0C"/>
    <w:rsid w:val="00D7287B"/>
    <w:rsid w:val="00D728A7"/>
    <w:rsid w:val="00D728B3"/>
    <w:rsid w:val="00D729D5"/>
    <w:rsid w:val="00D72C11"/>
    <w:rsid w:val="00D72C70"/>
    <w:rsid w:val="00D73F1A"/>
    <w:rsid w:val="00D7447E"/>
    <w:rsid w:val="00D74EC9"/>
    <w:rsid w:val="00D77242"/>
    <w:rsid w:val="00D81626"/>
    <w:rsid w:val="00D828AB"/>
    <w:rsid w:val="00D843B2"/>
    <w:rsid w:val="00D84AF1"/>
    <w:rsid w:val="00D85558"/>
    <w:rsid w:val="00D85784"/>
    <w:rsid w:val="00D8748E"/>
    <w:rsid w:val="00D9099A"/>
    <w:rsid w:val="00D91693"/>
    <w:rsid w:val="00D918E4"/>
    <w:rsid w:val="00D9255A"/>
    <w:rsid w:val="00D93540"/>
    <w:rsid w:val="00D93954"/>
    <w:rsid w:val="00D947CB"/>
    <w:rsid w:val="00D960AB"/>
    <w:rsid w:val="00DA0D37"/>
    <w:rsid w:val="00DA3B54"/>
    <w:rsid w:val="00DA3C73"/>
    <w:rsid w:val="00DA4A5E"/>
    <w:rsid w:val="00DA50DC"/>
    <w:rsid w:val="00DB0A9B"/>
    <w:rsid w:val="00DB0D86"/>
    <w:rsid w:val="00DB2128"/>
    <w:rsid w:val="00DB2AAF"/>
    <w:rsid w:val="00DB3C63"/>
    <w:rsid w:val="00DB3E7C"/>
    <w:rsid w:val="00DB44EA"/>
    <w:rsid w:val="00DB45D9"/>
    <w:rsid w:val="00DB4F83"/>
    <w:rsid w:val="00DB5807"/>
    <w:rsid w:val="00DB6A1C"/>
    <w:rsid w:val="00DC18BE"/>
    <w:rsid w:val="00DC1971"/>
    <w:rsid w:val="00DC3D54"/>
    <w:rsid w:val="00DC488A"/>
    <w:rsid w:val="00DC5F65"/>
    <w:rsid w:val="00DC7054"/>
    <w:rsid w:val="00DD0AF6"/>
    <w:rsid w:val="00DD1E45"/>
    <w:rsid w:val="00DD31EE"/>
    <w:rsid w:val="00DD6A6F"/>
    <w:rsid w:val="00DE0AD0"/>
    <w:rsid w:val="00DE15A3"/>
    <w:rsid w:val="00DE36D9"/>
    <w:rsid w:val="00DE37FA"/>
    <w:rsid w:val="00DE3CA9"/>
    <w:rsid w:val="00DE6431"/>
    <w:rsid w:val="00DE6CED"/>
    <w:rsid w:val="00DE79B8"/>
    <w:rsid w:val="00DF09B9"/>
    <w:rsid w:val="00DF0F65"/>
    <w:rsid w:val="00DF1190"/>
    <w:rsid w:val="00DF211F"/>
    <w:rsid w:val="00DF21D4"/>
    <w:rsid w:val="00DF3113"/>
    <w:rsid w:val="00DF37B9"/>
    <w:rsid w:val="00DF5B66"/>
    <w:rsid w:val="00DF70C2"/>
    <w:rsid w:val="00E024BC"/>
    <w:rsid w:val="00E02DB2"/>
    <w:rsid w:val="00E03B71"/>
    <w:rsid w:val="00E060FC"/>
    <w:rsid w:val="00E072B6"/>
    <w:rsid w:val="00E07606"/>
    <w:rsid w:val="00E10D8E"/>
    <w:rsid w:val="00E1289B"/>
    <w:rsid w:val="00E137E5"/>
    <w:rsid w:val="00E1493E"/>
    <w:rsid w:val="00E14F4A"/>
    <w:rsid w:val="00E16476"/>
    <w:rsid w:val="00E17458"/>
    <w:rsid w:val="00E225D5"/>
    <w:rsid w:val="00E24839"/>
    <w:rsid w:val="00E24FFD"/>
    <w:rsid w:val="00E30BB5"/>
    <w:rsid w:val="00E30C13"/>
    <w:rsid w:val="00E31C15"/>
    <w:rsid w:val="00E31D9B"/>
    <w:rsid w:val="00E329A7"/>
    <w:rsid w:val="00E3378E"/>
    <w:rsid w:val="00E3386C"/>
    <w:rsid w:val="00E340BB"/>
    <w:rsid w:val="00E342AC"/>
    <w:rsid w:val="00E37C38"/>
    <w:rsid w:val="00E408FC"/>
    <w:rsid w:val="00E45026"/>
    <w:rsid w:val="00E455C6"/>
    <w:rsid w:val="00E46E2C"/>
    <w:rsid w:val="00E50A4A"/>
    <w:rsid w:val="00E57BDF"/>
    <w:rsid w:val="00E60A22"/>
    <w:rsid w:val="00E60B0E"/>
    <w:rsid w:val="00E60CB0"/>
    <w:rsid w:val="00E62C1F"/>
    <w:rsid w:val="00E63418"/>
    <w:rsid w:val="00E70B32"/>
    <w:rsid w:val="00E70BC9"/>
    <w:rsid w:val="00E70F75"/>
    <w:rsid w:val="00E72AAE"/>
    <w:rsid w:val="00E734EA"/>
    <w:rsid w:val="00E73FB2"/>
    <w:rsid w:val="00E750D4"/>
    <w:rsid w:val="00E75C25"/>
    <w:rsid w:val="00E760DF"/>
    <w:rsid w:val="00E766F2"/>
    <w:rsid w:val="00E77DA6"/>
    <w:rsid w:val="00E80E32"/>
    <w:rsid w:val="00E82FD7"/>
    <w:rsid w:val="00E835ED"/>
    <w:rsid w:val="00E838AB"/>
    <w:rsid w:val="00E83BE4"/>
    <w:rsid w:val="00E83CB8"/>
    <w:rsid w:val="00E85ADB"/>
    <w:rsid w:val="00E85F16"/>
    <w:rsid w:val="00E90F0C"/>
    <w:rsid w:val="00E90FAE"/>
    <w:rsid w:val="00E918DD"/>
    <w:rsid w:val="00E92B67"/>
    <w:rsid w:val="00E93107"/>
    <w:rsid w:val="00E93A15"/>
    <w:rsid w:val="00E9493E"/>
    <w:rsid w:val="00E94D86"/>
    <w:rsid w:val="00E95959"/>
    <w:rsid w:val="00E95FFE"/>
    <w:rsid w:val="00E97B25"/>
    <w:rsid w:val="00EA08B6"/>
    <w:rsid w:val="00EA0EB2"/>
    <w:rsid w:val="00EA1141"/>
    <w:rsid w:val="00EA1664"/>
    <w:rsid w:val="00EA4CEA"/>
    <w:rsid w:val="00EA7537"/>
    <w:rsid w:val="00EA7947"/>
    <w:rsid w:val="00EA7A65"/>
    <w:rsid w:val="00EB0EEC"/>
    <w:rsid w:val="00EB1627"/>
    <w:rsid w:val="00EB5C38"/>
    <w:rsid w:val="00EB5D60"/>
    <w:rsid w:val="00EB6153"/>
    <w:rsid w:val="00EB7490"/>
    <w:rsid w:val="00EC11A2"/>
    <w:rsid w:val="00EC157F"/>
    <w:rsid w:val="00EC399D"/>
    <w:rsid w:val="00EC4056"/>
    <w:rsid w:val="00EC510C"/>
    <w:rsid w:val="00EC740D"/>
    <w:rsid w:val="00ED018B"/>
    <w:rsid w:val="00ED1F31"/>
    <w:rsid w:val="00ED2560"/>
    <w:rsid w:val="00ED2562"/>
    <w:rsid w:val="00ED550B"/>
    <w:rsid w:val="00EE14AE"/>
    <w:rsid w:val="00EE3C1E"/>
    <w:rsid w:val="00EE54F1"/>
    <w:rsid w:val="00EE5DFE"/>
    <w:rsid w:val="00EE67E3"/>
    <w:rsid w:val="00EE6922"/>
    <w:rsid w:val="00EE7947"/>
    <w:rsid w:val="00EF0A70"/>
    <w:rsid w:val="00EF1BB3"/>
    <w:rsid w:val="00EF2035"/>
    <w:rsid w:val="00EF2B6C"/>
    <w:rsid w:val="00EF5934"/>
    <w:rsid w:val="00F014D3"/>
    <w:rsid w:val="00F0277D"/>
    <w:rsid w:val="00F02AC5"/>
    <w:rsid w:val="00F02D19"/>
    <w:rsid w:val="00F046CC"/>
    <w:rsid w:val="00F04FD6"/>
    <w:rsid w:val="00F06491"/>
    <w:rsid w:val="00F06683"/>
    <w:rsid w:val="00F07589"/>
    <w:rsid w:val="00F0760D"/>
    <w:rsid w:val="00F07C3C"/>
    <w:rsid w:val="00F11758"/>
    <w:rsid w:val="00F118A3"/>
    <w:rsid w:val="00F142B9"/>
    <w:rsid w:val="00F14961"/>
    <w:rsid w:val="00F15132"/>
    <w:rsid w:val="00F16263"/>
    <w:rsid w:val="00F16C73"/>
    <w:rsid w:val="00F16F9C"/>
    <w:rsid w:val="00F16FA9"/>
    <w:rsid w:val="00F201FB"/>
    <w:rsid w:val="00F229B6"/>
    <w:rsid w:val="00F2375C"/>
    <w:rsid w:val="00F24134"/>
    <w:rsid w:val="00F25117"/>
    <w:rsid w:val="00F25209"/>
    <w:rsid w:val="00F25473"/>
    <w:rsid w:val="00F256CB"/>
    <w:rsid w:val="00F25E50"/>
    <w:rsid w:val="00F27151"/>
    <w:rsid w:val="00F3043F"/>
    <w:rsid w:val="00F3150C"/>
    <w:rsid w:val="00F32C95"/>
    <w:rsid w:val="00F33D49"/>
    <w:rsid w:val="00F34470"/>
    <w:rsid w:val="00F34EE0"/>
    <w:rsid w:val="00F36135"/>
    <w:rsid w:val="00F373FE"/>
    <w:rsid w:val="00F404B0"/>
    <w:rsid w:val="00F4082F"/>
    <w:rsid w:val="00F41A3B"/>
    <w:rsid w:val="00F43DDA"/>
    <w:rsid w:val="00F458F1"/>
    <w:rsid w:val="00F46184"/>
    <w:rsid w:val="00F46AC9"/>
    <w:rsid w:val="00F46EC9"/>
    <w:rsid w:val="00F475F5"/>
    <w:rsid w:val="00F47C44"/>
    <w:rsid w:val="00F51381"/>
    <w:rsid w:val="00F520B5"/>
    <w:rsid w:val="00F5260D"/>
    <w:rsid w:val="00F526E0"/>
    <w:rsid w:val="00F53127"/>
    <w:rsid w:val="00F541B3"/>
    <w:rsid w:val="00F55619"/>
    <w:rsid w:val="00F55B32"/>
    <w:rsid w:val="00F57D78"/>
    <w:rsid w:val="00F60875"/>
    <w:rsid w:val="00F60A04"/>
    <w:rsid w:val="00F612F0"/>
    <w:rsid w:val="00F642F0"/>
    <w:rsid w:val="00F65855"/>
    <w:rsid w:val="00F67090"/>
    <w:rsid w:val="00F7099E"/>
    <w:rsid w:val="00F719E1"/>
    <w:rsid w:val="00F72A0A"/>
    <w:rsid w:val="00F734E7"/>
    <w:rsid w:val="00F7533E"/>
    <w:rsid w:val="00F758C4"/>
    <w:rsid w:val="00F763EC"/>
    <w:rsid w:val="00F77242"/>
    <w:rsid w:val="00F802F9"/>
    <w:rsid w:val="00F81A1C"/>
    <w:rsid w:val="00F82A38"/>
    <w:rsid w:val="00F82C97"/>
    <w:rsid w:val="00F83360"/>
    <w:rsid w:val="00F83B4A"/>
    <w:rsid w:val="00F84406"/>
    <w:rsid w:val="00F859FB"/>
    <w:rsid w:val="00F85A25"/>
    <w:rsid w:val="00F85ED0"/>
    <w:rsid w:val="00F87168"/>
    <w:rsid w:val="00F91136"/>
    <w:rsid w:val="00F91BE9"/>
    <w:rsid w:val="00F92DB9"/>
    <w:rsid w:val="00F94BEE"/>
    <w:rsid w:val="00F95BC0"/>
    <w:rsid w:val="00F964D8"/>
    <w:rsid w:val="00F9698C"/>
    <w:rsid w:val="00FA1E80"/>
    <w:rsid w:val="00FA749C"/>
    <w:rsid w:val="00FB0CB4"/>
    <w:rsid w:val="00FB14DE"/>
    <w:rsid w:val="00FB4C7B"/>
    <w:rsid w:val="00FB6DE1"/>
    <w:rsid w:val="00FC0B7D"/>
    <w:rsid w:val="00FC2516"/>
    <w:rsid w:val="00FD107B"/>
    <w:rsid w:val="00FD1112"/>
    <w:rsid w:val="00FD3808"/>
    <w:rsid w:val="00FD3E2A"/>
    <w:rsid w:val="00FD7F87"/>
    <w:rsid w:val="00FE01CC"/>
    <w:rsid w:val="00FE197C"/>
    <w:rsid w:val="00FE1AA4"/>
    <w:rsid w:val="00FE1F2A"/>
    <w:rsid w:val="00FE3F6A"/>
    <w:rsid w:val="00FE5146"/>
    <w:rsid w:val="00FE6A6C"/>
    <w:rsid w:val="00FE7876"/>
    <w:rsid w:val="00FF0DF9"/>
    <w:rsid w:val="00FF1857"/>
    <w:rsid w:val="00FF21BD"/>
    <w:rsid w:val="00FF469F"/>
    <w:rsid w:val="00FF4997"/>
    <w:rsid w:val="00FF7B83"/>
    <w:rsid w:val="00FF7E4E"/>
    <w:rsid w:val="00FF7FCC"/>
    <w:rsid w:val="23BE5C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99"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qFormat="1" w:unhideWhenUsed="0" w:uiPriority="0" w:semiHidden="0" w:name="Table Grid"/>
    <w:lsdException w:unhideWhenUsed="0" w:uiPriority="0" w:semiHidden="0"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qFormat/>
    <w:uiPriority w:val="0"/>
    <w:pPr>
      <w:keepNext/>
      <w:spacing w:before="240" w:after="60"/>
      <w:outlineLvl w:val="0"/>
    </w:pPr>
    <w:rPr>
      <w:rFonts w:ascii="Arial" w:hAnsi="Arial" w:cs="Arial"/>
      <w:b/>
      <w:bCs/>
      <w:kern w:val="32"/>
      <w:sz w:val="32"/>
      <w:szCs w:val="32"/>
    </w:rPr>
  </w:style>
  <w:style w:type="paragraph" w:styleId="3">
    <w:name w:val="heading 2"/>
    <w:basedOn w:val="1"/>
    <w:next w:val="1"/>
    <w:qFormat/>
    <w:uiPriority w:val="0"/>
    <w:pPr>
      <w:keepNext/>
      <w:ind w:right="-365"/>
      <w:outlineLvl w:val="1"/>
    </w:pPr>
    <w:rPr>
      <w:b/>
      <w:bCs/>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footnote reference"/>
    <w:uiPriority w:val="99"/>
    <w:rPr>
      <w:vertAlign w:val="superscript"/>
    </w:rPr>
  </w:style>
  <w:style w:type="character" w:styleId="7">
    <w:name w:val="Emphasis"/>
    <w:qFormat/>
    <w:uiPriority w:val="0"/>
    <w:rPr>
      <w:i/>
    </w:rPr>
  </w:style>
  <w:style w:type="character" w:styleId="8">
    <w:name w:val="Hyperlink"/>
    <w:qFormat/>
    <w:uiPriority w:val="0"/>
    <w:rPr>
      <w:color w:val="0000FF"/>
      <w:u w:val="single"/>
    </w:rPr>
  </w:style>
  <w:style w:type="character" w:styleId="9">
    <w:name w:val="page number"/>
    <w:basedOn w:val="4"/>
    <w:uiPriority w:val="0"/>
  </w:style>
  <w:style w:type="character" w:styleId="10">
    <w:name w:val="Strong"/>
    <w:qFormat/>
    <w:uiPriority w:val="0"/>
    <w:rPr>
      <w:b/>
    </w:rPr>
  </w:style>
  <w:style w:type="paragraph" w:styleId="11">
    <w:name w:val="Balloon Text"/>
    <w:basedOn w:val="1"/>
    <w:link w:val="48"/>
    <w:semiHidden/>
    <w:uiPriority w:val="0"/>
    <w:rPr>
      <w:rFonts w:ascii="Tahoma" w:hAnsi="Tahoma"/>
      <w:sz w:val="16"/>
      <w:szCs w:val="16"/>
      <w:lang w:val="zh-CN" w:eastAsia="zh-CN"/>
    </w:rPr>
  </w:style>
  <w:style w:type="paragraph" w:styleId="12">
    <w:name w:val="Body Text 2"/>
    <w:basedOn w:val="1"/>
    <w:link w:val="29"/>
    <w:uiPriority w:val="0"/>
    <w:pPr>
      <w:spacing w:after="120" w:line="480" w:lineRule="auto"/>
    </w:pPr>
    <w:rPr>
      <w:szCs w:val="20"/>
      <w:lang w:val="zh-CN" w:eastAsia="zh-CN"/>
    </w:rPr>
  </w:style>
  <w:style w:type="paragraph" w:styleId="13">
    <w:name w:val="Body Text Indent 3"/>
    <w:basedOn w:val="1"/>
    <w:link w:val="42"/>
    <w:uiPriority w:val="0"/>
    <w:pPr>
      <w:spacing w:after="120"/>
      <w:ind w:left="283"/>
    </w:pPr>
    <w:rPr>
      <w:sz w:val="16"/>
      <w:szCs w:val="20"/>
      <w:lang w:val="zh-CN" w:eastAsia="zh-CN"/>
    </w:rPr>
  </w:style>
  <w:style w:type="paragraph" w:styleId="14">
    <w:name w:val="annotation text"/>
    <w:basedOn w:val="1"/>
    <w:link w:val="55"/>
    <w:uiPriority w:val="0"/>
    <w:rPr>
      <w:sz w:val="20"/>
      <w:szCs w:val="20"/>
      <w:lang w:val="zh-CN" w:eastAsia="zh-CN"/>
    </w:rPr>
  </w:style>
  <w:style w:type="paragraph" w:styleId="15">
    <w:name w:val="footnote text"/>
    <w:basedOn w:val="1"/>
    <w:link w:val="46"/>
    <w:uiPriority w:val="99"/>
    <w:pPr>
      <w:widowControl w:val="0"/>
      <w:autoSpaceDE w:val="0"/>
      <w:autoSpaceDN w:val="0"/>
      <w:adjustRightInd w:val="0"/>
    </w:pPr>
    <w:rPr>
      <w:sz w:val="20"/>
      <w:szCs w:val="20"/>
    </w:rPr>
  </w:style>
  <w:style w:type="paragraph" w:styleId="16">
    <w:name w:val="header"/>
    <w:basedOn w:val="1"/>
    <w:link w:val="40"/>
    <w:uiPriority w:val="0"/>
    <w:pPr>
      <w:tabs>
        <w:tab w:val="center" w:pos="4677"/>
        <w:tab w:val="right" w:pos="9355"/>
      </w:tabs>
    </w:pPr>
    <w:rPr>
      <w:szCs w:val="20"/>
      <w:lang w:val="zh-CN" w:eastAsia="zh-CN"/>
    </w:rPr>
  </w:style>
  <w:style w:type="paragraph" w:styleId="17">
    <w:name w:val="Body Text"/>
    <w:basedOn w:val="1"/>
    <w:uiPriority w:val="0"/>
    <w:pPr>
      <w:spacing w:after="120"/>
    </w:pPr>
  </w:style>
  <w:style w:type="paragraph" w:styleId="18">
    <w:name w:val="Body Text Indent"/>
    <w:basedOn w:val="1"/>
    <w:uiPriority w:val="0"/>
    <w:pPr>
      <w:spacing w:after="120"/>
      <w:ind w:left="283"/>
    </w:pPr>
  </w:style>
  <w:style w:type="paragraph" w:styleId="19">
    <w:name w:val="Title"/>
    <w:basedOn w:val="1"/>
    <w:link w:val="31"/>
    <w:qFormat/>
    <w:uiPriority w:val="0"/>
    <w:pPr>
      <w:jc w:val="center"/>
    </w:pPr>
    <w:rPr>
      <w:b/>
      <w:szCs w:val="20"/>
      <w:lang w:val="zh-CN" w:eastAsia="zh-CN"/>
    </w:rPr>
  </w:style>
  <w:style w:type="paragraph" w:styleId="20">
    <w:name w:val="footer"/>
    <w:basedOn w:val="1"/>
    <w:link w:val="41"/>
    <w:uiPriority w:val="99"/>
    <w:pPr>
      <w:tabs>
        <w:tab w:val="center" w:pos="4677"/>
        <w:tab w:val="right" w:pos="9355"/>
      </w:tabs>
    </w:pPr>
    <w:rPr>
      <w:szCs w:val="20"/>
      <w:lang w:val="zh-CN" w:eastAsia="zh-CN"/>
    </w:rPr>
  </w:style>
  <w:style w:type="paragraph" w:styleId="21">
    <w:name w:val="Normal (Web)"/>
    <w:basedOn w:val="1"/>
    <w:uiPriority w:val="99"/>
    <w:pPr>
      <w:spacing w:before="100" w:beforeAutospacing="1" w:after="100" w:afterAutospacing="1"/>
    </w:pPr>
  </w:style>
  <w:style w:type="paragraph" w:styleId="22">
    <w:name w:val="Body Text 3"/>
    <w:basedOn w:val="1"/>
    <w:link w:val="30"/>
    <w:uiPriority w:val="0"/>
    <w:pPr>
      <w:spacing w:after="120"/>
    </w:pPr>
    <w:rPr>
      <w:sz w:val="16"/>
      <w:szCs w:val="20"/>
      <w:lang w:val="zh-CN" w:eastAsia="zh-CN"/>
    </w:rPr>
  </w:style>
  <w:style w:type="paragraph" w:styleId="23">
    <w:name w:val="Block Text"/>
    <w:basedOn w:val="1"/>
    <w:uiPriority w:val="0"/>
    <w:pPr>
      <w:ind w:left="-1080" w:right="-365"/>
    </w:pPr>
  </w:style>
  <w:style w:type="table" w:styleId="24">
    <w:name w:val="Table Grid"/>
    <w:basedOn w:val="5"/>
    <w:qFormat/>
    <w:uiPriority w:val="0"/>
    <w:rPr>
      <w:lang w:val="ru-RU"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5">
    <w:name w:val="Тендерные данные"/>
    <w:basedOn w:val="1"/>
    <w:semiHidden/>
    <w:uiPriority w:val="0"/>
    <w:pPr>
      <w:tabs>
        <w:tab w:val="left" w:pos="1985"/>
      </w:tabs>
      <w:spacing w:before="120" w:after="60"/>
      <w:jc w:val="both"/>
    </w:pPr>
    <w:rPr>
      <w:b/>
      <w:szCs w:val="20"/>
    </w:rPr>
  </w:style>
  <w:style w:type="paragraph" w:customStyle="1" w:styleId="26">
    <w:name w:val="Preformat"/>
    <w:uiPriority w:val="0"/>
    <w:rPr>
      <w:rFonts w:ascii="Courier New" w:hAnsi="Courier New" w:eastAsia="Times New Roman" w:cs="Times New Roman"/>
      <w:lang w:val="ru-RU" w:eastAsia="ru-RU" w:bidi="ar-SA"/>
    </w:rPr>
  </w:style>
  <w:style w:type="paragraph" w:customStyle="1" w:styleId="27">
    <w:name w:val="Знак Знак Знак Знак Знак Знак Знак"/>
    <w:basedOn w:val="1"/>
    <w:qFormat/>
    <w:uiPriority w:val="0"/>
    <w:pPr>
      <w:spacing w:before="100" w:beforeAutospacing="1" w:after="100" w:afterAutospacing="1"/>
      <w:jc w:val="both"/>
    </w:pPr>
    <w:rPr>
      <w:rFonts w:ascii="Tahoma" w:hAnsi="Tahoma"/>
      <w:sz w:val="20"/>
      <w:szCs w:val="20"/>
      <w:lang w:val="en-US" w:eastAsia="en-US"/>
    </w:rPr>
  </w:style>
  <w:style w:type="paragraph" w:customStyle="1" w:styleId="28">
    <w:name w:val="ConsPlusNormal"/>
    <w:link w:val="45"/>
    <w:qFormat/>
    <w:uiPriority w:val="0"/>
    <w:pPr>
      <w:widowControl w:val="0"/>
      <w:autoSpaceDE w:val="0"/>
      <w:autoSpaceDN w:val="0"/>
      <w:adjustRightInd w:val="0"/>
    </w:pPr>
    <w:rPr>
      <w:rFonts w:ascii="Arial" w:hAnsi="Arial" w:eastAsia="Times New Roman" w:cs="Times New Roman"/>
      <w:lang w:val="ru-RU" w:eastAsia="ru-RU" w:bidi="ar-SA"/>
    </w:rPr>
  </w:style>
  <w:style w:type="character" w:customStyle="1" w:styleId="29">
    <w:name w:val="Основной текст 2 Знак"/>
    <w:link w:val="12"/>
    <w:qFormat/>
    <w:locked/>
    <w:uiPriority w:val="0"/>
    <w:rPr>
      <w:sz w:val="24"/>
    </w:rPr>
  </w:style>
  <w:style w:type="character" w:customStyle="1" w:styleId="30">
    <w:name w:val="Основной текст 3 Знак"/>
    <w:link w:val="22"/>
    <w:locked/>
    <w:uiPriority w:val="0"/>
    <w:rPr>
      <w:sz w:val="16"/>
    </w:rPr>
  </w:style>
  <w:style w:type="character" w:customStyle="1" w:styleId="31">
    <w:name w:val="Название Знак"/>
    <w:link w:val="19"/>
    <w:locked/>
    <w:uiPriority w:val="0"/>
    <w:rPr>
      <w:b/>
      <w:sz w:val="24"/>
    </w:rPr>
  </w:style>
  <w:style w:type="paragraph" w:customStyle="1" w:styleId="32">
    <w:name w:val="List Paragraph1"/>
    <w:basedOn w:val="1"/>
    <w:uiPriority w:val="0"/>
    <w:pPr>
      <w:spacing w:after="200" w:line="276" w:lineRule="auto"/>
      <w:ind w:left="720"/>
    </w:pPr>
    <w:rPr>
      <w:rFonts w:ascii="Calibri" w:hAnsi="Calibri"/>
      <w:sz w:val="22"/>
      <w:szCs w:val="22"/>
    </w:rPr>
  </w:style>
  <w:style w:type="paragraph" w:customStyle="1" w:styleId="33">
    <w:name w:val="No Spacing1"/>
    <w:link w:val="43"/>
    <w:uiPriority w:val="0"/>
    <w:rPr>
      <w:rFonts w:ascii="Calibri" w:hAnsi="Calibri" w:eastAsia="Times New Roman" w:cs="Times New Roman"/>
      <w:sz w:val="22"/>
      <w:lang w:val="ru-RU" w:eastAsia="ru-RU" w:bidi="ar-SA"/>
    </w:rPr>
  </w:style>
  <w:style w:type="paragraph" w:customStyle="1" w:styleId="34">
    <w:name w:val="Обычный1"/>
    <w:uiPriority w:val="0"/>
    <w:pPr>
      <w:widowControl w:val="0"/>
      <w:spacing w:line="300" w:lineRule="auto"/>
      <w:ind w:firstLine="720"/>
      <w:jc w:val="both"/>
    </w:pPr>
    <w:rPr>
      <w:rFonts w:ascii="Times New Roman" w:hAnsi="Times New Roman" w:eastAsia="Times New Roman" w:cs="Times New Roman"/>
      <w:sz w:val="24"/>
      <w:lang w:val="ru-RU" w:eastAsia="ru-RU" w:bidi="ar-SA"/>
    </w:rPr>
  </w:style>
  <w:style w:type="paragraph" w:customStyle="1" w:styleId="35">
    <w:name w:val="Обычный2"/>
    <w:uiPriority w:val="0"/>
    <w:pPr>
      <w:widowControl w:val="0"/>
      <w:spacing w:line="300" w:lineRule="auto"/>
      <w:ind w:firstLine="720"/>
      <w:jc w:val="both"/>
    </w:pPr>
    <w:rPr>
      <w:rFonts w:ascii="Times New Roman" w:hAnsi="Times New Roman" w:eastAsia="Times New Roman" w:cs="Times New Roman"/>
      <w:sz w:val="24"/>
      <w:lang w:val="ru-RU" w:eastAsia="ru-RU" w:bidi="ar-SA"/>
    </w:rPr>
  </w:style>
  <w:style w:type="paragraph" w:customStyle="1" w:styleId="36">
    <w:name w:val="FR1"/>
    <w:uiPriority w:val="0"/>
    <w:pPr>
      <w:widowControl w:val="0"/>
      <w:spacing w:before="700"/>
    </w:pPr>
    <w:rPr>
      <w:rFonts w:ascii="Times New Roman" w:hAnsi="Times New Roman" w:eastAsia="Times New Roman" w:cs="Times New Roman"/>
      <w:b/>
      <w:sz w:val="28"/>
      <w:lang w:val="ru-RU" w:eastAsia="ru-RU" w:bidi="ar-SA"/>
    </w:rPr>
  </w:style>
  <w:style w:type="paragraph" w:customStyle="1" w:styleId="37">
    <w:name w:val="Без интервала1"/>
    <w:qFormat/>
    <w:uiPriority w:val="99"/>
    <w:rPr>
      <w:rFonts w:ascii="Calibri" w:hAnsi="Calibri" w:eastAsia="Times New Roman" w:cs="Times New Roman"/>
      <w:sz w:val="22"/>
      <w:szCs w:val="22"/>
      <w:lang w:val="ru-RU" w:eastAsia="ru-RU" w:bidi="ar-SA"/>
    </w:rPr>
  </w:style>
  <w:style w:type="paragraph" w:customStyle="1" w:styleId="38">
    <w:name w:val="Iacaaiea"/>
    <w:basedOn w:val="1"/>
    <w:uiPriority w:val="99"/>
    <w:pPr>
      <w:tabs>
        <w:tab w:val="left" w:pos="426"/>
      </w:tabs>
      <w:spacing w:before="120" w:line="360" w:lineRule="atLeast"/>
      <w:jc w:val="center"/>
    </w:pPr>
    <w:rPr>
      <w:b/>
      <w:bCs/>
      <w:sz w:val="22"/>
      <w:szCs w:val="22"/>
    </w:rPr>
  </w:style>
  <w:style w:type="paragraph" w:customStyle="1" w:styleId="39">
    <w:name w:val="ConsPlusNonformat"/>
    <w:uiPriority w:val="0"/>
    <w:pPr>
      <w:widowControl w:val="0"/>
      <w:autoSpaceDE w:val="0"/>
      <w:autoSpaceDN w:val="0"/>
      <w:adjustRightInd w:val="0"/>
    </w:pPr>
    <w:rPr>
      <w:rFonts w:ascii="Courier New" w:hAnsi="Courier New" w:eastAsia="Times New Roman" w:cs="Courier New"/>
      <w:lang w:val="ru-RU" w:eastAsia="ru-RU" w:bidi="ar-SA"/>
    </w:rPr>
  </w:style>
  <w:style w:type="character" w:customStyle="1" w:styleId="40">
    <w:name w:val="Верхний колонтитул Знак"/>
    <w:link w:val="16"/>
    <w:locked/>
    <w:uiPriority w:val="0"/>
    <w:rPr>
      <w:sz w:val="24"/>
    </w:rPr>
  </w:style>
  <w:style w:type="character" w:customStyle="1" w:styleId="41">
    <w:name w:val="Нижний колонтитул Знак"/>
    <w:link w:val="20"/>
    <w:locked/>
    <w:uiPriority w:val="99"/>
    <w:rPr>
      <w:sz w:val="24"/>
    </w:rPr>
  </w:style>
  <w:style w:type="character" w:customStyle="1" w:styleId="42">
    <w:name w:val="Основной текст с отступом 3 Знак"/>
    <w:link w:val="13"/>
    <w:locked/>
    <w:uiPriority w:val="0"/>
    <w:rPr>
      <w:sz w:val="16"/>
    </w:rPr>
  </w:style>
  <w:style w:type="character" w:customStyle="1" w:styleId="43">
    <w:name w:val="No Spacing Char"/>
    <w:link w:val="33"/>
    <w:locked/>
    <w:uiPriority w:val="0"/>
    <w:rPr>
      <w:rFonts w:ascii="Calibri" w:hAnsi="Calibri"/>
      <w:sz w:val="22"/>
      <w:lang w:bidi="ar-SA"/>
    </w:rPr>
  </w:style>
  <w:style w:type="paragraph" w:customStyle="1" w:styleId="44">
    <w:name w:val="msonormalcxspmiddle"/>
    <w:basedOn w:val="1"/>
    <w:uiPriority w:val="0"/>
    <w:pPr>
      <w:spacing w:before="100" w:beforeAutospacing="1" w:after="100" w:afterAutospacing="1"/>
    </w:pPr>
  </w:style>
  <w:style w:type="character" w:customStyle="1" w:styleId="45">
    <w:name w:val="ConsPlusNormal Знак"/>
    <w:link w:val="28"/>
    <w:locked/>
    <w:uiPriority w:val="0"/>
    <w:rPr>
      <w:rFonts w:ascii="Arial" w:hAnsi="Arial"/>
      <w:lang w:val="ru-RU" w:eastAsia="ru-RU" w:bidi="ar-SA"/>
    </w:rPr>
  </w:style>
  <w:style w:type="character" w:customStyle="1" w:styleId="46">
    <w:name w:val="Текст сноски Знак"/>
    <w:link w:val="15"/>
    <w:locked/>
    <w:uiPriority w:val="99"/>
    <w:rPr>
      <w:lang w:val="ru-RU" w:eastAsia="ru-RU"/>
    </w:rPr>
  </w:style>
  <w:style w:type="character" w:customStyle="1" w:styleId="47">
    <w:name w:val="apple-converted-space"/>
    <w:uiPriority w:val="0"/>
    <w:rPr>
      <w:rFonts w:cs="Times New Roman"/>
    </w:rPr>
  </w:style>
  <w:style w:type="character" w:customStyle="1" w:styleId="48">
    <w:name w:val="Текст выноски Знак"/>
    <w:link w:val="11"/>
    <w:locked/>
    <w:uiPriority w:val="0"/>
    <w:rPr>
      <w:rFonts w:ascii="Tahoma" w:hAnsi="Tahoma" w:cs="Tahoma"/>
      <w:sz w:val="16"/>
      <w:szCs w:val="16"/>
    </w:rPr>
  </w:style>
  <w:style w:type="character" w:customStyle="1" w:styleId="49">
    <w:name w:val="Font Style16"/>
    <w:uiPriority w:val="99"/>
    <w:rPr>
      <w:rFonts w:ascii="Times New Roman" w:hAnsi="Times New Roman" w:cs="Times New Roman"/>
      <w:color w:val="000000"/>
      <w:sz w:val="26"/>
      <w:szCs w:val="26"/>
    </w:rPr>
  </w:style>
  <w:style w:type="paragraph" w:customStyle="1" w:styleId="50">
    <w:name w:val="Обычный + 11 пт"/>
    <w:basedOn w:val="1"/>
    <w:uiPriority w:val="0"/>
    <w:pPr>
      <w:ind w:firstLine="567"/>
      <w:jc w:val="both"/>
    </w:pPr>
    <w:rPr>
      <w:b/>
      <w:sz w:val="22"/>
      <w:szCs w:val="22"/>
    </w:rPr>
  </w:style>
  <w:style w:type="paragraph" w:styleId="51">
    <w:name w:val="No Spacing"/>
    <w:link w:val="54"/>
    <w:qFormat/>
    <w:uiPriority w:val="1"/>
    <w:rPr>
      <w:rFonts w:ascii="Calibri" w:hAnsi="Calibri" w:eastAsia="Times New Roman" w:cs="Times New Roman"/>
      <w:sz w:val="22"/>
      <w:szCs w:val="22"/>
      <w:lang w:val="ru-RU" w:eastAsia="ru-RU" w:bidi="ar-SA"/>
    </w:rPr>
  </w:style>
  <w:style w:type="paragraph" w:customStyle="1" w:styleId="52">
    <w:name w:val="Основной текст с отступом 31"/>
    <w:basedOn w:val="1"/>
    <w:uiPriority w:val="0"/>
    <w:pPr>
      <w:suppressAutoHyphens/>
      <w:ind w:firstLine="708"/>
      <w:jc w:val="both"/>
    </w:pPr>
    <w:rPr>
      <w:lang w:eastAsia="zh-CN"/>
    </w:rPr>
  </w:style>
  <w:style w:type="paragraph" w:customStyle="1" w:styleId="53">
    <w:name w:val="1"/>
    <w:basedOn w:val="1"/>
    <w:uiPriority w:val="0"/>
    <w:pPr>
      <w:spacing w:before="100" w:beforeAutospacing="1" w:after="100" w:afterAutospacing="1"/>
    </w:pPr>
  </w:style>
  <w:style w:type="character" w:customStyle="1" w:styleId="54">
    <w:name w:val="Без интервала Знак"/>
    <w:link w:val="51"/>
    <w:locked/>
    <w:uiPriority w:val="1"/>
    <w:rPr>
      <w:rFonts w:ascii="Calibri" w:hAnsi="Calibri"/>
      <w:sz w:val="22"/>
      <w:szCs w:val="22"/>
      <w:lang w:bidi="ar-SA"/>
    </w:rPr>
  </w:style>
  <w:style w:type="character" w:customStyle="1" w:styleId="55">
    <w:name w:val="Текст примечания Знак"/>
    <w:link w:val="14"/>
    <w:uiPriority w:val="0"/>
    <w:rPr>
      <w:lang w:val="zh-CN"/>
    </w:rPr>
  </w:style>
  <w:style w:type="character" w:customStyle="1" w:styleId="56">
    <w:name w:val="contctype"/>
    <w:uiPriority w:val="0"/>
  </w:style>
  <w:style w:type="paragraph" w:styleId="57">
    <w:name w:val="List Paragraph"/>
    <w:basedOn w:val="1"/>
    <w:qFormat/>
    <w:uiPriority w:val="34"/>
    <w:pPr>
      <w:widowControl w:val="0"/>
      <w:autoSpaceDE w:val="0"/>
      <w:autoSpaceDN w:val="0"/>
      <w:adjustRightInd w:val="0"/>
      <w:ind w:left="720"/>
      <w:contextualSpacing/>
    </w:pPr>
  </w:style>
  <w:style w:type="paragraph" w:customStyle="1" w:styleId="58">
    <w:name w:val="Обычный4"/>
    <w:uiPriority w:val="0"/>
    <w:pPr>
      <w:widowControl w:val="0"/>
      <w:spacing w:line="300" w:lineRule="auto"/>
      <w:ind w:firstLine="720"/>
      <w:jc w:val="both"/>
    </w:pPr>
    <w:rPr>
      <w:rFonts w:ascii="Times New Roman" w:hAnsi="Times New Roman" w:eastAsia="Times New Roman" w:cs="Times New Roman"/>
      <w:snapToGrid w:val="0"/>
      <w:sz w:val="24"/>
      <w:lang w:val="ru-RU" w:eastAsia="ru-RU" w:bidi="ar-SA"/>
    </w:rPr>
  </w:style>
  <w:style w:type="table" w:customStyle="1" w:styleId="59">
    <w:name w:val="Сетка таблицы1"/>
    <w:basedOn w:val="5"/>
    <w:uiPriority w:val="39"/>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0">
    <w:name w:val="Сетка таблицы11"/>
    <w:basedOn w:val="5"/>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1">
    <w:name w:val="Сетка таблицы2"/>
    <w:basedOn w:val="5"/>
    <w:uiPriority w:val="39"/>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2">
    <w:name w:val="Table Paragraph"/>
    <w:basedOn w:val="1"/>
    <w:qFormat/>
    <w:uiPriority w:val="1"/>
    <w:pPr>
      <w:widowControl w:val="0"/>
      <w:autoSpaceDE w:val="0"/>
      <w:autoSpaceDN w:val="0"/>
    </w:pPr>
    <w:rPr>
      <w:sz w:val="22"/>
      <w:szCs w:val="22"/>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FF2148-4542-4536-9671-4528C186661F}">
  <ds:schemaRefs/>
</ds:datastoreItem>
</file>

<file path=docProps/app.xml><?xml version="1.0" encoding="utf-8"?>
<Properties xmlns="http://schemas.openxmlformats.org/officeDocument/2006/extended-properties" xmlns:vt="http://schemas.openxmlformats.org/officeDocument/2006/docPropsVTypes">
  <Template>Normal</Template>
  <Company>ufnet</Company>
  <Pages>10</Pages>
  <Words>4045</Words>
  <Characters>29410</Characters>
  <Lines>243</Lines>
  <Paragraphs>68</Paragraphs>
  <TotalTime>6</TotalTime>
  <ScaleCrop>false</ScaleCrop>
  <LinksUpToDate>false</LinksUpToDate>
  <CharactersWithSpaces>34116</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2026-05-18T04:20:00Z</dcterms:created>
  <dc:creator>СБЫТ</dc:creator>
  <cp:lastModifiedBy>Veronika Maleckih</cp:lastModifiedBy>
  <cp:lastPrinted>2026-05-25T07:50:00Z</cp:lastPrinted>
  <dcterms:modified xsi:type="dcterms:W3CDTF">2026-08-18T07:14:51Z</dcterms:modified>
  <dc:title>ИЗВЕЩЕНИЕ О ПРОВЕДЕНИИ ЗАПРОСА КОТИРОВОК</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eyJoZGlkIjoiMTcxMWRjOWQyNjUzZjFlNzBhYzMyYTQ4NmM3OGM5NmQiLCJ1c2VySWQiOiI4MjQ2MzQ4ODY0OTcifQ==</vt:lpwstr>
  </property>
  <property fmtid="{D5CDD505-2E9C-101B-9397-08002B2CF9AE}" pid="3" name="KSOProductBuildVer">
    <vt:lpwstr>1049-12.1.0.28032</vt:lpwstr>
  </property>
  <property fmtid="{D5CDD505-2E9C-101B-9397-08002B2CF9AE}" pid="4" name="ICV">
    <vt:lpwstr>83653BD8F1F34C359B7CE2E657A336E7_12</vt:lpwstr>
  </property>
</Properties>
</file>