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6"/>
        </w:rPr>
      </w:pPr>
      <w:r>
        <w:rPr>
          <w:rFonts w:eastAsia="Times New Roman" w:cs="Times New Roman" w:ascii="Times New Roman" w:hAnsi="Times New Roman"/>
          <w:b/>
          <w:sz w:val="26"/>
        </w:rPr>
        <w:t>Расчет и обоснование цены</w:t>
      </w:r>
    </w:p>
    <w:p>
      <w:pPr>
        <w:pStyle w:val="ConsPlusNormal1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b/>
          <w:sz w:val="26"/>
        </w:rPr>
        <w:t xml:space="preserve">государственного контракта </w:t>
      </w:r>
      <w:r>
        <w:rPr>
          <w:rFonts w:cs="Times New Roman" w:ascii="Times New Roman" w:hAnsi="Times New Roman"/>
          <w:b/>
          <w:sz w:val="26"/>
          <w:szCs w:val="26"/>
        </w:rPr>
        <w:t>на поставку шин пневматических для грузовых автомобилей</w:t>
      </w:r>
    </w:p>
    <w:p>
      <w:pPr>
        <w:pStyle w:val="Normal"/>
        <w:spacing w:lineRule="auto" w:line="240" w:before="0" w:after="0"/>
        <w:ind w:firstLine="540"/>
        <w:jc w:val="center"/>
        <w:rPr>
          <w:rFonts w:ascii="Times New Roman" w:hAnsi="Times New Roman" w:eastAsia="Times New Roman" w:cs="Times New Roman"/>
          <w:b/>
          <w:sz w:val="26"/>
        </w:rPr>
      </w:pPr>
      <w:r>
        <w:rPr>
          <w:rFonts w:eastAsia="Times New Roman" w:cs="Times New Roman" w:ascii="Times New Roman" w:hAnsi="Times New Roman"/>
          <w:b/>
          <w:sz w:val="26"/>
        </w:rPr>
        <w:t>ФКУ БМТиВС УФСИН России по Республике Бурятия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b/>
          <w:sz w:val="26"/>
        </w:rPr>
      </w:pPr>
      <w:r>
        <w:rPr>
          <w:rFonts w:eastAsia="Times New Roman" w:cs="Times New Roman" w:ascii="Times New Roman" w:hAnsi="Times New Roman"/>
          <w:b/>
          <w:sz w:val="26"/>
        </w:rPr>
      </w:r>
    </w:p>
    <w:p>
      <w:pPr>
        <w:pStyle w:val="Normal"/>
        <w:spacing w:lineRule="auto" w:line="240" w:before="0" w:after="0"/>
        <w:ind w:firstLine="540"/>
        <w:jc w:val="center"/>
        <w:rPr>
          <w:rFonts w:ascii="PT Astra Serif" w:hAnsi="PT Astra Serif" w:eastAsia="Times New Roman" w:cs="Times New Roman"/>
          <w:sz w:val="26"/>
        </w:rPr>
      </w:pPr>
      <w:r>
        <w:rPr>
          <w:rFonts w:eastAsia="Times New Roman" w:cs="Times New Roman" w:ascii="PT Astra Serif" w:hAnsi="PT Astra Serif"/>
          <w:sz w:val="26"/>
        </w:rPr>
      </w:r>
    </w:p>
    <w:tbl>
      <w:tblPr>
        <w:tblW w:w="5000" w:type="pct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000" w:noHBand="0" w:noVBand="0" w:firstColumn="0" w:lastRow="0" w:lastColumn="0" w:firstRow="0"/>
      </w:tblPr>
      <w:tblGrid>
        <w:gridCol w:w="456"/>
        <w:gridCol w:w="3036"/>
        <w:gridCol w:w="9025"/>
        <w:gridCol w:w="1344"/>
        <w:gridCol w:w="1021"/>
      </w:tblGrid>
      <w:tr>
        <w:trPr>
          <w:trHeight w:val="280" w:hRule="atLeast"/>
          <w:cantSplit w:val="true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№ </w:t>
            </w:r>
            <w:r>
              <w:rPr>
                <w:rFonts w:ascii="PT Astra Serif" w:hAnsi="PT Astra Serif"/>
                <w:sz w:val="18"/>
                <w:szCs w:val="18"/>
              </w:rPr>
              <w:t>п/п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Предмет контракта</w:t>
            </w:r>
          </w:p>
        </w:tc>
        <w:tc>
          <w:tcPr>
            <w:tcW w:w="9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Основные характеристики объекта закупки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Ед. изм.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Кол-во</w:t>
            </w:r>
          </w:p>
        </w:tc>
      </w:tr>
      <w:tr>
        <w:trPr>
          <w:trHeight w:val="699" w:hRule="atLeast"/>
        </w:trPr>
        <w:tc>
          <w:tcPr>
            <w:tcW w:w="4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30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jc w:val="left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 </w:t>
            </w:r>
            <w:r>
              <w:rPr>
                <w:rFonts w:ascii="PT Astra Serif" w:hAnsi="PT Astra Serif"/>
                <w:sz w:val="18"/>
                <w:szCs w:val="18"/>
              </w:rPr>
              <w:t>Закупка ш</w:t>
            </w:r>
            <w:r>
              <w:rPr>
                <w:rFonts w:cs="Times New Roman" w:ascii="PT Astra Serif" w:hAnsi="PT Astra Serif"/>
                <w:sz w:val="20"/>
                <w:szCs w:val="20"/>
              </w:rPr>
              <w:t>ин пневматических  для грузового автотранспортного средства КАМАЗ</w:t>
            </w:r>
          </w:p>
        </w:tc>
        <w:tc>
          <w:tcPr>
            <w:tcW w:w="90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jc w:val="left"/>
              <w:rPr>
                <w:rFonts w:ascii="PT Astra Serif" w:hAnsi="PT Astra Serif"/>
                <w:sz w:val="18"/>
                <w:szCs w:val="18"/>
                <w:shd w:fill="FFFFFF" w:val="clear"/>
              </w:rPr>
            </w:pPr>
            <w:r>
              <w:rPr>
                <w:rFonts w:cs="Times New Roman" w:ascii="PT Astra Serif" w:hAnsi="PT Astra Serif"/>
                <w:sz w:val="20"/>
                <w:szCs w:val="20"/>
              </w:rPr>
              <w:t xml:space="preserve">Шина пневматическая для </w:t>
            </w:r>
            <w:r>
              <w:rPr>
                <w:rFonts w:cs="PT Astra Serif" w:ascii="PT Astra Serif" w:hAnsi="PT Astra Serif"/>
                <w:sz w:val="20"/>
                <w:szCs w:val="20"/>
              </w:rPr>
              <w:t>грузовых автомобилей</w:t>
            </w:r>
            <w:bookmarkStart w:id="0" w:name="_GoBack_Копия_1"/>
            <w:bookmarkEnd w:id="0"/>
            <w:r>
              <w:rPr>
                <w:rFonts w:cs="PT Astra Serif" w:ascii="PT Astra Serif" w:hAnsi="PT Astra Serif"/>
                <w:sz w:val="20"/>
                <w:szCs w:val="20"/>
              </w:rPr>
              <w:t xml:space="preserve"> Камаз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/>
            </w:r>
          </w:p>
          <w:p>
            <w:pPr>
              <w:pStyle w:val="Normal"/>
              <w:spacing w:before="0" w:after="200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шт</w:t>
            </w:r>
          </w:p>
        </w:tc>
        <w:tc>
          <w:tcPr>
            <w:tcW w:w="10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ind w:left="-108" w:right="-108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cs="Times New Roman" w:ascii="PT Astra Serif" w:hAnsi="PT Astra Serif"/>
                <w:sz w:val="18"/>
                <w:szCs w:val="18"/>
              </w:rPr>
              <w:t>5</w:t>
            </w:r>
          </w:p>
        </w:tc>
      </w:tr>
      <w:tr>
        <w:trPr>
          <w:trHeight w:val="284" w:hRule="atLeast"/>
        </w:trPr>
        <w:tc>
          <w:tcPr>
            <w:tcW w:w="3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firstLine="28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Используемый метод определения ЦК с обоснованием:</w:t>
            </w:r>
          </w:p>
        </w:tc>
        <w:tc>
          <w:tcPr>
            <w:tcW w:w="11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pacing w:lineRule="auto" w:line="240" w:before="0" w:after="0"/>
              <w:ind w:firstLine="28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eastAsia="Arial Unicode MS" w:cs="Arial Unicode MS" w:ascii="PT Astra Serif" w:hAnsi="PT Astra Serif"/>
                <w:color w:val="000000"/>
                <w:sz w:val="20"/>
                <w:szCs w:val="20"/>
                <w:lang w:bidi="ru-RU"/>
              </w:rPr>
              <w:t>Метод сопоставимых рыночных цен (анализа рынка). В соответствии с ч.6 статьи 22 Федерального закона от 05.04.2013 N 44-ФЗ "О контрактной системе в сфере закупок товаров, работ, услуг для обеспечения государственных и муниципальных нужд" метод сопоставимых рыночных цен (анализа рынка) является приоритетным для определения и обоснования начальной (максимальной) цены контракта, заключаемого с единственным поставщиком (подрядчиком, исполнителем).</w:t>
            </w:r>
          </w:p>
        </w:tc>
      </w:tr>
      <w:tr>
        <w:trPr>
          <w:trHeight w:val="284" w:hRule="atLeast"/>
        </w:trPr>
        <w:tc>
          <w:tcPr>
            <w:tcW w:w="3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firstLine="28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НМЦК, руб.</w:t>
            </w:r>
          </w:p>
        </w:tc>
        <w:tc>
          <w:tcPr>
            <w:tcW w:w="11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firstLine="28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116 298,00 (сто шестнадцать тысяч двести девяносто восемь) рублей 00 копеек</w:t>
            </w:r>
          </w:p>
        </w:tc>
      </w:tr>
      <w:tr>
        <w:trPr>
          <w:trHeight w:val="284" w:hRule="atLeast"/>
        </w:trPr>
        <w:tc>
          <w:tcPr>
            <w:tcW w:w="349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firstLine="28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Дата подготовки обоснования</w:t>
            </w:r>
          </w:p>
        </w:tc>
        <w:tc>
          <w:tcPr>
            <w:tcW w:w="113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before="0" w:after="200"/>
              <w:ind w:firstLine="28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18.</w:t>
            </w:r>
            <w:r>
              <w:rPr>
                <w:rFonts w:ascii="PT Astra Serif" w:hAnsi="PT Astra Serif"/>
                <w:sz w:val="18"/>
                <w:szCs w:val="18"/>
                <w:lang w:val="en-US"/>
              </w:rPr>
              <w:t>08</w:t>
            </w:r>
            <w:r>
              <w:rPr>
                <w:rFonts w:ascii="PT Astra Serif" w:hAnsi="PT Astra Serif"/>
                <w:sz w:val="18"/>
                <w:szCs w:val="18"/>
              </w:rPr>
              <w:t>.2026</w:t>
            </w:r>
          </w:p>
        </w:tc>
      </w:tr>
    </w:tbl>
    <w:p>
      <w:pPr>
        <w:pStyle w:val="Normal"/>
        <w:spacing w:before="0" w:after="0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tbl>
      <w:tblPr>
        <w:tblpPr w:vertAnchor="page" w:horzAnchor="margin" w:bottomFromText="200" w:leftFromText="180" w:rightFromText="180" w:tblpX="0" w:tblpY="1111"/>
        <w:tblW w:w="15588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280"/>
        <w:gridCol w:w="2128"/>
        <w:gridCol w:w="567"/>
        <w:gridCol w:w="566"/>
        <w:gridCol w:w="993"/>
        <w:gridCol w:w="1108"/>
        <w:gridCol w:w="1028"/>
        <w:gridCol w:w="1113"/>
        <w:gridCol w:w="1134"/>
        <w:gridCol w:w="998"/>
        <w:gridCol w:w="937"/>
        <w:gridCol w:w="1125"/>
        <w:gridCol w:w="917"/>
        <w:gridCol w:w="1119"/>
        <w:gridCol w:w="625"/>
        <w:gridCol w:w="946"/>
      </w:tblGrid>
      <w:tr>
        <w:trPr>
          <w:trHeight w:val="1550" w:hRule="atLeast"/>
        </w:trPr>
        <w:tc>
          <w:tcPr>
            <w:tcW w:w="3541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cs="Times New Roman" w:ascii="PT Astra Serif" w:hAnsi="PT Astra Serif"/>
                <w:sz w:val="18"/>
                <w:szCs w:val="18"/>
              </w:rPr>
              <w:t>Источник получения информации</w:t>
            </w:r>
          </w:p>
        </w:tc>
        <w:tc>
          <w:tcPr>
            <w:tcW w:w="637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200"/>
              <w:ind w:left="-107" w:right="-81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cs="Times New Roman" w:ascii="PT Astra Serif" w:hAnsi="PT Astra Serif"/>
                <w:sz w:val="18"/>
                <w:szCs w:val="18"/>
              </w:rPr>
              <w:t>п.3.7.1. Приказа Минэкономразвития России от 02.10.2013 № 567</w:t>
            </w:r>
          </w:p>
        </w:tc>
        <w:tc>
          <w:tcPr>
            <w:tcW w:w="2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Spacing"/>
              <w:widowControl w:val="false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cs="Times New Roman" w:ascii="PT Astra Serif" w:hAnsi="PT Astra Serif"/>
                <w:sz w:val="18"/>
                <w:szCs w:val="18"/>
              </w:rPr>
            </w:r>
          </w:p>
          <w:p>
            <w:pPr>
              <w:pStyle w:val="NoSpacing"/>
              <w:widowControl w:val="false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cs="Times New Roman" w:ascii="PT Astra Serif" w:hAnsi="PT Astra Serif"/>
                <w:sz w:val="18"/>
                <w:szCs w:val="18"/>
              </w:rPr>
            </w:r>
          </w:p>
          <w:p>
            <w:pPr>
              <w:pStyle w:val="NoSpacing"/>
              <w:widowControl w:val="false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cs="Times New Roman" w:ascii="PT Astra Serif" w:hAnsi="PT Astra Serif"/>
                <w:sz w:val="18"/>
                <w:szCs w:val="18"/>
              </w:rPr>
            </w:r>
          </w:p>
          <w:p>
            <w:pPr>
              <w:pStyle w:val="NoSpacing"/>
              <w:widowControl w:val="false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cs="Times New Roman" w:ascii="PT Astra Serif" w:hAnsi="PT Astra Serif"/>
                <w:sz w:val="18"/>
                <w:szCs w:val="18"/>
              </w:rPr>
              <w:t>Информация  с сайта</w:t>
            </w:r>
          </w:p>
          <w:p>
            <w:pPr>
              <w:pStyle w:val="NoSpacing"/>
              <w:widowControl w:val="false"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cs="Times New Roman" w:ascii="PT Astra Serif" w:hAnsi="PT Astra Serif"/>
                <w:sz w:val="18"/>
                <w:szCs w:val="18"/>
              </w:rPr>
              <w:t>п. 3.7.4</w:t>
            </w:r>
          </w:p>
        </w:tc>
        <w:tc>
          <w:tcPr>
            <w:tcW w:w="91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ind w:firstLine="14" w:left="-92" w:right="-85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  <w:t>Средняя цена,</w:t>
            </w:r>
          </w:p>
          <w:p>
            <w:pPr>
              <w:pStyle w:val="Normal"/>
              <w:spacing w:lineRule="auto" w:line="240" w:before="0" w:after="200"/>
              <w:ind w:firstLine="14" w:left="-92" w:right="-85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  <w:t>руб.</w:t>
            </w:r>
          </w:p>
        </w:tc>
        <w:tc>
          <w:tcPr>
            <w:tcW w:w="111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ind w:firstLine="10" w:left="-94" w:right="-64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  <w:t>Среднее квадратичное отклонение</w:t>
            </w:r>
          </w:p>
        </w:tc>
        <w:tc>
          <w:tcPr>
            <w:tcW w:w="62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ind w:left="-108" w:right="-108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  <w:t>Коэффициент вариации (%)</w:t>
            </w:r>
          </w:p>
        </w:tc>
        <w:tc>
          <w:tcPr>
            <w:tcW w:w="94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ind w:left="-108" w:right="-108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200"/>
              <w:ind w:left="-108" w:right="-108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200"/>
              <w:ind w:left="-108" w:right="-108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200"/>
              <w:ind w:left="-108" w:right="-108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200"/>
              <w:ind w:left="-108" w:right="-108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200"/>
              <w:ind w:left="-108" w:right="-108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200"/>
              <w:ind w:left="-108" w:right="-108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200"/>
              <w:ind w:left="-108" w:right="-108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</w:r>
          </w:p>
          <w:p>
            <w:pPr>
              <w:pStyle w:val="Normal"/>
              <w:spacing w:lineRule="auto" w:line="240" w:before="0" w:after="200"/>
              <w:ind w:left="-108" w:right="-108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  <w:t>НМЦК</w:t>
            </w:r>
          </w:p>
        </w:tc>
      </w:tr>
      <w:tr>
        <w:trPr>
          <w:trHeight w:val="695" w:hRule="atLeast"/>
        </w:trPr>
        <w:tc>
          <w:tcPr>
            <w:tcW w:w="280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tabs>
                <w:tab w:val="clear" w:pos="708"/>
                <w:tab w:val="left" w:pos="1725" w:leader="none"/>
              </w:tabs>
              <w:spacing w:lineRule="auto" w:line="240" w:before="0" w:after="200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  <w:t xml:space="preserve">№ </w:t>
            </w: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  <w:t>п/п</w:t>
            </w:r>
          </w:p>
        </w:tc>
        <w:tc>
          <w:tcPr>
            <w:tcW w:w="21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cs="Times New Roman" w:ascii="PT Astra Serif" w:hAnsi="PT Astra Serif"/>
                <w:sz w:val="18"/>
                <w:szCs w:val="18"/>
              </w:rPr>
              <w:t>Наименование запасных частей</w:t>
            </w:r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cs="Times New Roman" w:ascii="PT Astra Serif" w:hAnsi="PT Astra Serif"/>
                <w:sz w:val="18"/>
                <w:szCs w:val="18"/>
              </w:rPr>
              <w:t>Ед. изм.</w:t>
            </w:r>
          </w:p>
        </w:tc>
        <w:tc>
          <w:tcPr>
            <w:tcW w:w="56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cs="Times New Roman" w:ascii="PT Astra Serif" w:hAnsi="PT Astra Serif"/>
                <w:sz w:val="18"/>
                <w:szCs w:val="18"/>
              </w:rPr>
              <w:t>Кол-во.</w:t>
            </w:r>
          </w:p>
        </w:tc>
        <w:tc>
          <w:tcPr>
            <w:tcW w:w="210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  <w:t xml:space="preserve"> № </w:t>
            </w: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  <w:t>1</w:t>
            </w:r>
          </w:p>
          <w:p>
            <w:pPr>
              <w:pStyle w:val="NoSpacing"/>
              <w:widowControl w:val="false"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  <w:t>(19.08.2026 вх.-4/ТО/27/1-832)</w:t>
            </w:r>
          </w:p>
          <w:p>
            <w:pPr>
              <w:pStyle w:val="Normal"/>
              <w:spacing w:lineRule="auto" w:line="240" w:before="0" w:after="200"/>
              <w:ind w:left="-95" w:right="-95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  <w:highlight w:val="yellow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  <w:highlight w:val="yellow"/>
              </w:rPr>
            </w:r>
          </w:p>
        </w:tc>
        <w:tc>
          <w:tcPr>
            <w:tcW w:w="214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200"/>
              <w:ind w:left="-110" w:right="-123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  <w:t xml:space="preserve"> № </w:t>
            </w: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  <w:t>2</w:t>
            </w:r>
          </w:p>
          <w:p>
            <w:pPr>
              <w:pStyle w:val="Normal"/>
              <w:spacing w:lineRule="auto" w:line="240" w:before="0" w:after="200"/>
              <w:ind w:left="-110" w:right="-123"/>
              <w:contextualSpacing/>
              <w:jc w:val="center"/>
              <w:rPr>
                <w:shd w:fill="FFFF00" w:val="clear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  <w:t>(от 20.08.2026 вх.-4/ТО/27/1-837)</w:t>
            </w:r>
          </w:p>
          <w:p>
            <w:pPr>
              <w:pStyle w:val="Normal"/>
              <w:spacing w:lineRule="auto" w:line="240" w:before="0" w:after="200"/>
              <w:ind w:left="-110" w:right="-123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  <w:shd w:fill="FFFF00" w:val="clear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  <w:shd w:fill="FFFF00" w:val="clear"/>
              </w:rPr>
            </w:r>
          </w:p>
        </w:tc>
        <w:tc>
          <w:tcPr>
            <w:tcW w:w="21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color="auto" w:fill="auto" w:val="clear"/>
            <w:vAlign w:val="center"/>
          </w:tcPr>
          <w:p>
            <w:pPr>
              <w:pStyle w:val="Normal"/>
              <w:spacing w:lineRule="auto" w:line="240" w:before="0" w:after="200"/>
              <w:ind w:left="-107" w:right="-81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  <w:t xml:space="preserve"> № </w:t>
            </w: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  <w:t>3</w:t>
            </w:r>
          </w:p>
          <w:p>
            <w:pPr>
              <w:pStyle w:val="Normal"/>
              <w:spacing w:lineRule="auto" w:line="240" w:before="0" w:after="200"/>
              <w:ind w:left="-107" w:right="-81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  <w:t xml:space="preserve"> </w:t>
            </w: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  <w:t>от 19.08.2026 вх.-4/ТО/27/1-833)</w:t>
            </w:r>
          </w:p>
        </w:tc>
        <w:tc>
          <w:tcPr>
            <w:tcW w:w="2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Spacing"/>
              <w:widowControl w:val="false"/>
              <w:jc w:val="center"/>
              <w:rPr>
                <w:rFonts w:ascii="PT Astra Serif" w:hAnsi="PT Astra Serif" w:cs="Times New Roman"/>
                <w:sz w:val="18"/>
                <w:szCs w:val="18"/>
                <w:highlight w:val="yellow"/>
              </w:rPr>
            </w:pPr>
            <w:r>
              <w:rPr>
                <w:rFonts w:cs="Times New Roman" w:ascii="PT Astra Serif" w:hAnsi="PT Astra Serif"/>
                <w:sz w:val="18"/>
                <w:szCs w:val="18"/>
                <w:highlight w:val="yellow"/>
              </w:rPr>
            </w:r>
          </w:p>
        </w:tc>
        <w:tc>
          <w:tcPr>
            <w:tcW w:w="9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ind w:firstLine="14" w:left="-92" w:right="-85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</w:r>
          </w:p>
        </w:tc>
        <w:tc>
          <w:tcPr>
            <w:tcW w:w="1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ind w:firstLine="10" w:left="-94" w:right="-64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</w:r>
          </w:p>
        </w:tc>
        <w:tc>
          <w:tcPr>
            <w:tcW w:w="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ind w:left="-108" w:right="-108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</w:r>
          </w:p>
        </w:tc>
        <w:tc>
          <w:tcPr>
            <w:tcW w:w="9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ind w:left="-108" w:right="-108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</w:r>
          </w:p>
        </w:tc>
      </w:tr>
      <w:tr>
        <w:trPr>
          <w:trHeight w:val="559" w:hRule="atLeast"/>
        </w:trPr>
        <w:tc>
          <w:tcPr>
            <w:tcW w:w="280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</w:r>
          </w:p>
        </w:tc>
        <w:tc>
          <w:tcPr>
            <w:tcW w:w="2128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</w:r>
          </w:p>
        </w:tc>
        <w:tc>
          <w:tcPr>
            <w:tcW w:w="56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</w:r>
          </w:p>
        </w:tc>
        <w:tc>
          <w:tcPr>
            <w:tcW w:w="56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Цена ед. товара, руб.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Стоимость товара,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 xml:space="preserve"> </w:t>
            </w:r>
            <w:r>
              <w:rPr>
                <w:rFonts w:ascii="PT Astra Serif" w:hAnsi="PT Astra Serif"/>
                <w:sz w:val="20"/>
                <w:szCs w:val="20"/>
              </w:rPr>
              <w:t>руб.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Цена ед. товара, руб.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Стоимость товара,</w:t>
            </w:r>
          </w:p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руб.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Цена ед. товара, руб.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Стоимость товара,</w:t>
            </w:r>
          </w:p>
          <w:p>
            <w:pPr>
              <w:pStyle w:val="Normal"/>
              <w:spacing w:before="0" w:after="200"/>
              <w:ind w:left="-137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руб.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200"/>
              <w:ind w:left="-136" w:right="-79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Цена ед. товара, руб.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Стоимость товара,</w:t>
            </w:r>
          </w:p>
          <w:p>
            <w:pPr>
              <w:pStyle w:val="Normal"/>
              <w:spacing w:before="0" w:after="200"/>
              <w:ind w:left="-137" w:right="-108"/>
              <w:jc w:val="center"/>
              <w:rPr>
                <w:rFonts w:ascii="PT Astra Serif" w:hAnsi="PT Astra Serif"/>
                <w:sz w:val="20"/>
                <w:szCs w:val="20"/>
              </w:rPr>
            </w:pPr>
            <w:r>
              <w:rPr>
                <w:rFonts w:ascii="PT Astra Serif" w:hAnsi="PT Astra Serif"/>
                <w:sz w:val="20"/>
                <w:szCs w:val="20"/>
              </w:rPr>
              <w:t>руб.</w:t>
            </w:r>
          </w:p>
        </w:tc>
        <w:tc>
          <w:tcPr>
            <w:tcW w:w="917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</w:r>
          </w:p>
        </w:tc>
        <w:tc>
          <w:tcPr>
            <w:tcW w:w="1119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</w:r>
          </w:p>
        </w:tc>
        <w:tc>
          <w:tcPr>
            <w:tcW w:w="625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200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</w:r>
          </w:p>
        </w:tc>
        <w:tc>
          <w:tcPr>
            <w:tcW w:w="946" w:type="dxa"/>
            <w:vMerge w:val="continue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pacing w:lineRule="auto" w:line="240" w:before="0" w:after="200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</w:r>
          </w:p>
        </w:tc>
      </w:tr>
      <w:tr>
        <w:trPr>
          <w:trHeight w:val="607" w:hRule="atLeast"/>
        </w:trPr>
        <w:tc>
          <w:tcPr>
            <w:tcW w:w="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ind w:left="-108" w:right="-108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cs="Times New Roman" w:ascii="PT Astra Serif" w:hAnsi="PT Astra Serif"/>
                <w:sz w:val="18"/>
                <w:szCs w:val="18"/>
              </w:rPr>
              <w:t>1</w:t>
            </w:r>
          </w:p>
        </w:tc>
        <w:tc>
          <w:tcPr>
            <w:tcW w:w="21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5"/>
              <w:jc w:val="center"/>
              <w:rPr>
                <w:rFonts w:ascii="PT Astra Serif" w:hAnsi="PT Astra Serif" w:cs="Times New Roman"/>
                <w:sz w:val="20"/>
                <w:szCs w:val="20"/>
              </w:rPr>
            </w:pPr>
            <w:r>
              <w:rPr>
                <w:rFonts w:ascii="PT Astra Serif" w:hAnsi="PT Astra Serif"/>
                <w:sz w:val="18"/>
                <w:szCs w:val="18"/>
              </w:rPr>
              <w:t xml:space="preserve">Шина пневматическая для грузового автомобиля КАМАЗ </w:t>
            </w:r>
            <w:r>
              <w:rPr>
                <w:rFonts w:cs="Times New Roman" w:ascii="PT Astra Serif" w:hAnsi="PT Astra Serif"/>
                <w:sz w:val="20"/>
                <w:szCs w:val="20"/>
              </w:rPr>
              <w:t>11</w:t>
            </w:r>
            <w:r>
              <w:rPr>
                <w:rFonts w:cs="Times New Roman" w:ascii="PT Astra Serif" w:hAnsi="PT Astra Serif"/>
                <w:sz w:val="20"/>
                <w:szCs w:val="20"/>
                <w:lang w:val="en-US"/>
              </w:rPr>
              <w:t>R</w:t>
            </w:r>
            <w:r>
              <w:rPr>
                <w:rFonts w:cs="Times New Roman" w:ascii="PT Astra Serif" w:hAnsi="PT Astra Serif"/>
                <w:sz w:val="20"/>
                <w:szCs w:val="20"/>
              </w:rPr>
              <w:t xml:space="preserve">22.5 </w:t>
            </w:r>
            <w:r>
              <w:rPr>
                <w:rFonts w:cs="Times New Roman" w:ascii="PT Astra Serif" w:hAnsi="PT Astra Serif"/>
                <w:sz w:val="18"/>
                <w:szCs w:val="18"/>
                <w:shd w:fill="FFFFFF" w:val="clear"/>
              </w:rPr>
              <w:t>148/145 К КАМА FORZA Mix ATL</w:t>
            </w:r>
          </w:p>
          <w:p>
            <w:pPr>
              <w:pStyle w:val="Normal"/>
              <w:widowControl w:val="false"/>
              <w:spacing w:before="0" w:after="200"/>
              <w:ind w:right="-65"/>
              <w:contextualSpacing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before="0" w:after="0"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cs="Times New Roman" w:ascii="PT Astra Serif" w:hAnsi="PT Astra Serif"/>
                <w:sz w:val="18"/>
                <w:szCs w:val="18"/>
              </w:rPr>
              <w:t>Шт.</w:t>
            </w:r>
          </w:p>
        </w:tc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</w:r>
          </w:p>
          <w:p>
            <w:pPr>
              <w:pStyle w:val="Normal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  <w:t>5</w:t>
            </w:r>
          </w:p>
          <w:p>
            <w:pPr>
              <w:pStyle w:val="Normal"/>
              <w:spacing w:before="0" w:after="200"/>
              <w:jc w:val="center"/>
              <w:rPr>
                <w:rFonts w:ascii="PT Astra Serif" w:hAnsi="PT Astra Serif"/>
                <w:sz w:val="18"/>
                <w:szCs w:val="18"/>
              </w:rPr>
            </w:pPr>
            <w:r>
              <w:rPr>
                <w:rFonts w:ascii="PT Astra Serif" w:hAnsi="PT Astra Serif"/>
                <w:sz w:val="18"/>
                <w:szCs w:val="18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cs="Times New Roman" w:ascii="PT Astra Serif" w:hAnsi="PT Astra Serif"/>
                <w:sz w:val="18"/>
                <w:szCs w:val="18"/>
              </w:rPr>
              <w:t>23259,60</w:t>
            </w:r>
          </w:p>
        </w:tc>
        <w:tc>
          <w:tcPr>
            <w:tcW w:w="11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cs="Times New Roman" w:ascii="PT Astra Serif" w:hAnsi="PT Astra Serif"/>
                <w:sz w:val="18"/>
                <w:szCs w:val="18"/>
              </w:rPr>
              <w:t>116298,00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cs="Times New Roman" w:ascii="PT Astra Serif" w:hAnsi="PT Astra Serif"/>
                <w:sz w:val="18"/>
                <w:szCs w:val="18"/>
              </w:rPr>
              <w:t>24 699,00</w:t>
            </w:r>
          </w:p>
        </w:tc>
        <w:tc>
          <w:tcPr>
            <w:tcW w:w="11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cs="Times New Roman" w:ascii="PT Astra Serif" w:hAnsi="PT Astra Serif"/>
                <w:sz w:val="18"/>
                <w:szCs w:val="18"/>
              </w:rPr>
              <w:t>123 495,00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cs="Times New Roman" w:ascii="PT Astra Serif" w:hAnsi="PT Astra Serif"/>
                <w:sz w:val="18"/>
                <w:szCs w:val="18"/>
              </w:rPr>
              <w:t>25621,00</w:t>
            </w:r>
          </w:p>
        </w:tc>
        <w:tc>
          <w:tcPr>
            <w:tcW w:w="9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spacing w:lineRule="auto" w:line="240" w:before="0" w:after="0"/>
              <w:contextualSpacing/>
              <w:jc w:val="center"/>
              <w:rPr>
                <w:rFonts w:ascii="PT Astra Serif" w:hAnsi="PT Astra Serif" w:cs="Times New Roman"/>
                <w:sz w:val="18"/>
                <w:szCs w:val="18"/>
              </w:rPr>
            </w:pPr>
            <w:r>
              <w:rPr>
                <w:rFonts w:cs="Times New Roman" w:ascii="PT Astra Serif" w:hAnsi="PT Astra Serif"/>
                <w:sz w:val="18"/>
                <w:szCs w:val="18"/>
              </w:rPr>
              <w:t>128105,00</w:t>
            </w:r>
          </w:p>
        </w:tc>
        <w:tc>
          <w:tcPr>
            <w:tcW w:w="9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  <w:t>23374,00</w:t>
            </w:r>
          </w:p>
        </w:tc>
        <w:tc>
          <w:tcPr>
            <w:tcW w:w="11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  <w:t>116870,00</w:t>
            </w:r>
          </w:p>
        </w:tc>
        <w:tc>
          <w:tcPr>
            <w:tcW w:w="9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  <w:t>24238,40</w:t>
            </w: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  <w:t>1 129,7451</w:t>
            </w:r>
          </w:p>
        </w:tc>
        <w:tc>
          <w:tcPr>
            <w:tcW w:w="6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  <w:t>4,66%</w:t>
            </w:r>
          </w:p>
        </w:tc>
        <w:tc>
          <w:tcPr>
            <w:tcW w:w="9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contextualSpacing/>
              <w:jc w:val="center"/>
              <w:rPr>
                <w:rFonts w:ascii="PT Astra Serif" w:hAnsi="PT Astra Serif" w:eastAsia="Times New Roman" w:cs="Times New Roman"/>
                <w:sz w:val="18"/>
                <w:szCs w:val="18"/>
              </w:rPr>
            </w:pPr>
            <w:r>
              <w:rPr>
                <w:rFonts w:eastAsia="Times New Roman" w:cs="Times New Roman" w:ascii="PT Astra Serif" w:hAnsi="PT Astra Serif"/>
                <w:sz w:val="18"/>
                <w:szCs w:val="18"/>
              </w:rPr>
              <w:t>121 192,00</w:t>
            </w:r>
          </w:p>
        </w:tc>
      </w:tr>
    </w:tbl>
    <w:p>
      <w:pPr>
        <w:pStyle w:val="Normal"/>
        <w:spacing w:before="0" w:after="0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spacing w:before="0" w:after="0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</w:r>
    </w:p>
    <w:p>
      <w:pPr>
        <w:pStyle w:val="Normal"/>
        <w:spacing w:before="0" w:after="0"/>
        <w:rPr>
          <w:rFonts w:ascii="PT Astra Serif" w:hAnsi="PT Astra Serif"/>
          <w:sz w:val="20"/>
          <w:szCs w:val="20"/>
        </w:rPr>
      </w:pPr>
      <w:r>
        <w:rPr>
          <w:rFonts w:ascii="PT Astra Serif" w:hAnsi="PT Astra Serif"/>
          <w:sz w:val="20"/>
          <w:szCs w:val="20"/>
        </w:rPr>
        <w:t>*</w:t>
      </w:r>
      <w:r>
        <w:rPr>
          <w:rFonts w:ascii="PT Astra Serif" w:hAnsi="PT Astra Serif"/>
          <w:sz w:val="18"/>
          <w:szCs w:val="18"/>
        </w:rPr>
        <w:t>В соответствии с разъяснениями Министерства экономического развития Российской Федерации (письмо от 08.04.2014 №Д28и-443) при использовании метода сопоставимых рыночных цен (анализа рынка) Государственный заказчик вправе осуществлять закупку товаров, работ, услуг у единственного поставщика (подрядчика, исполнителя) по наименьшей цене контракта. Поставщик №1, НМЦК (ЦК)-116 298,00 рублей.</w:t>
      </w:r>
    </w:p>
    <w:p>
      <w:pPr>
        <w:pStyle w:val="Normal"/>
        <w:spacing w:before="0" w:after="0"/>
        <w:rPr>
          <w:rFonts w:ascii="Arial Unicode MS" w:hAnsi="Arial Unicode MS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 xml:space="preserve">Оплата производится за счет средств федерального бюджета в пределах ЛБО на 2026год. </w:t>
      </w:r>
    </w:p>
    <w:p>
      <w:pPr>
        <w:pStyle w:val="Normal"/>
        <w:spacing w:before="0" w:after="0"/>
        <w:rPr>
          <w:rFonts w:ascii="PT Astra Serif" w:hAnsi="PT Astra Serif"/>
          <w:sz w:val="18"/>
          <w:szCs w:val="18"/>
        </w:rPr>
      </w:pPr>
      <w:r>
        <w:rPr>
          <w:rFonts w:ascii="PT Astra Serif" w:hAnsi="PT Astra Serif"/>
          <w:sz w:val="18"/>
          <w:szCs w:val="18"/>
        </w:rPr>
        <w:t>Применяется ОКПД2 /КТРУ - 22.11.13.110/22.11.13.110– 000000010 Шины пневматические для грузового автотранспортного средства КАМАЗ</w:t>
      </w:r>
      <w:r>
        <w:rPr>
          <w:sz w:val="18"/>
          <w:szCs w:val="18"/>
        </w:rPr>
        <w:t>,</w:t>
      </w:r>
      <w:r>
        <w:rPr>
          <w:rFonts w:ascii="PT Astra Serif" w:hAnsi="PT Astra Serif"/>
          <w:sz w:val="18"/>
          <w:szCs w:val="18"/>
        </w:rPr>
        <w:t xml:space="preserve"> </w:t>
      </w:r>
      <w:r>
        <w:rPr>
          <w:sz w:val="18"/>
          <w:szCs w:val="18"/>
        </w:rPr>
        <w:t>с</w:t>
      </w:r>
      <w:r>
        <w:rPr>
          <w:rFonts w:ascii="PT Astra Serif" w:hAnsi="PT Astra Serif"/>
          <w:sz w:val="18"/>
          <w:szCs w:val="18"/>
        </w:rPr>
        <w:t xml:space="preserve">огласно п.5 подпункта «и» постановления </w:t>
        <w:br/>
        <w:t xml:space="preserve">№ 23.12.2024 № 1875 снимается запрет и ограничения, так как закупка не превышает 1 000 000,00 рублей. </w:t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color w:val="FF0000"/>
          <w:sz w:val="26"/>
          <w:szCs w:val="26"/>
          <w:highlight w:val="yellow"/>
        </w:rPr>
      </w:pPr>
      <w:r>
        <w:rPr>
          <w:rFonts w:eastAsia="Times New Roman" w:cs="Times New Roman" w:ascii="PT Astra Serif" w:hAnsi="PT Astra Serif"/>
          <w:color w:val="FF0000"/>
          <w:sz w:val="26"/>
          <w:szCs w:val="26"/>
          <w:highlight w:val="yellow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6"/>
          <w:szCs w:val="26"/>
          <w:highlight w:val="yellow"/>
        </w:rPr>
      </w:pPr>
      <w:r>
        <w:rPr>
          <w:rFonts w:eastAsia="Times New Roman" w:cs="Times New Roman" w:ascii="PT Astra Serif" w:hAnsi="PT Astra Serif"/>
          <w:sz w:val="26"/>
          <w:szCs w:val="26"/>
          <w:highlight w:val="yellow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PT Astra Serif" w:hAnsi="PT Astra Serif" w:eastAsia="Times New Roman" w:cs="Times New Roman"/>
          <w:sz w:val="26"/>
          <w:szCs w:val="26"/>
          <w:highlight w:val="yellow"/>
        </w:rPr>
      </w:pPr>
      <w:r>
        <w:rPr>
          <w:rFonts w:eastAsia="Times New Roman" w:cs="Times New Roman" w:ascii="PT Astra Serif" w:hAnsi="PT Astra Serif"/>
          <w:sz w:val="26"/>
          <w:szCs w:val="26"/>
          <w:highlight w:val="yellow"/>
        </w:rPr>
      </w:r>
    </w:p>
    <w:p>
      <w:pPr>
        <w:pStyle w:val="Normal"/>
        <w:spacing w:lineRule="auto" w:line="240" w:before="0" w:after="0"/>
        <w:rPr>
          <w:rFonts w:ascii="PT Astra Serif" w:hAnsi="PT Astra Serif" w:eastAsia="Times New Roman" w:cs="Times New Roman"/>
          <w:sz w:val="26"/>
          <w:szCs w:val="26"/>
        </w:rPr>
      </w:pPr>
      <w:r>
        <w:rPr>
          <w:rFonts w:eastAsia="Times New Roman" w:cs="Times New Roman" w:ascii="PT Astra Serif" w:hAnsi="PT Astra Serif"/>
          <w:sz w:val="26"/>
          <w:szCs w:val="26"/>
        </w:rPr>
        <w:t>Заместитель начальника  АО ФКУ БМТиВС</w:t>
      </w:r>
    </w:p>
    <w:p>
      <w:pPr>
        <w:pStyle w:val="Normal"/>
        <w:spacing w:lineRule="auto" w:line="240" w:before="0" w:after="0"/>
        <w:rPr>
          <w:rFonts w:ascii="PT Astra Serif" w:hAnsi="PT Astra Serif" w:eastAsia="Times New Roman" w:cs="Times New Roman"/>
          <w:sz w:val="26"/>
          <w:szCs w:val="26"/>
        </w:rPr>
      </w:pPr>
      <w:r>
        <w:rPr>
          <w:rFonts w:eastAsia="Times New Roman" w:cs="Times New Roman" w:ascii="PT Astra Serif" w:hAnsi="PT Astra Serif"/>
          <w:sz w:val="26"/>
          <w:szCs w:val="26"/>
        </w:rPr>
        <w:t>УФСИН России по Республике Бурятия                                                                                                                                       Л.Ц. Абидуева</w:t>
      </w:r>
    </w:p>
    <w:sectPr>
      <w:headerReference w:type="even" r:id="rId2"/>
      <w:headerReference w:type="default" r:id="rId3"/>
      <w:headerReference w:type="first" r:id="rId4"/>
      <w:type w:val="nextPage"/>
      <w:pgSz w:orient="landscape" w:w="16838" w:h="11906"/>
      <w:pgMar w:left="1134" w:right="822" w:gutter="0" w:header="709" w:top="964" w:footer="0" w:bottom="964"/>
      <w:pgNumType w:fmt="decimal"/>
      <w:formProt w:val="false"/>
      <w:titlePg/>
      <w:textDirection w:val="lrTb"/>
      <w:docGrid w:type="default" w:linePitch="360" w:charSpace="8192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Cambria">
    <w:charset w:val="01"/>
    <w:family w:val="roman"/>
    <w:pitch w:val="default"/>
  </w:font>
  <w:font w:name="Tahoma">
    <w:charset w:val="01"/>
    <w:family w:val="roman"/>
    <w:pitch w:val="default"/>
  </w:font>
  <w:font w:name="PT Astra Serif">
    <w:charset w:val="01"/>
    <w:family w:val="roman"/>
    <w:pitch w:val="default"/>
  </w:font>
  <w:font w:name="Times New Roman CYR">
    <w:charset w:val="01"/>
    <w:family w:val="roman"/>
    <w:pitch w:val="default"/>
  </w:font>
  <w:font w:name="Times New Roman">
    <w:charset w:val="01"/>
    <w:family w:val="roman"/>
    <w:pitch w:val="default"/>
  </w:font>
  <w:font w:name="Arial Unicode MS">
    <w:charset w:val="01"/>
    <w:family w:val="roman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sdt>
    <w:sdtPr>
      <w:docPartObj>
        <w:docPartGallery w:val="Page Numbers (Top of Page)"/>
        <w:docPartUnique w:val="true"/>
      </w:docPartObj>
      <w:id w:val="5301414"/>
    </w:sdtPr>
    <w:sdtContent>
      <w:p>
        <w:pPr>
          <w:pStyle w:val="Header"/>
          <w:jc w:val="center"/>
          <w:rPr/>
        </w:pPr>
        <w:r>
          <w:rPr/>
          <w:fldChar w:fldCharType="begin"/>
        </w:r>
        <w:r>
          <w:rPr/>
          <w:instrText xml:space="preserve"> PAGE </w:instrText>
        </w:r>
        <w:r>
          <w:rPr/>
          <w:fldChar w:fldCharType="separate"/>
        </w:r>
        <w:r>
          <w:rPr/>
          <w:t>2</w:t>
        </w:r>
        <w:r>
          <w:rPr/>
          <w:fldChar w:fldCharType="end"/>
        </w:r>
      </w:p>
    </w:sdtContent>
  </w:sdt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" w:cs="" w:asciiTheme="minorHAnsi" w:cstheme="minorBidi" w:eastAsiaTheme="minorEastAsia" w:hAnsiTheme="minorHAnsi"/>
        <w:sz w:val="22"/>
        <w:szCs w:val="22"/>
        <w:lang w:val="ru-RU" w:eastAsia="ru-RU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rsid w:val="00d05c07"/>
    <w:pPr>
      <w:widowControl/>
      <w:suppressAutoHyphens w:val="true"/>
      <w:bidi w:val="0"/>
      <w:spacing w:lineRule="auto" w:line="276" w:before="0" w:after="20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Heading1">
    <w:name w:val="Heading 1"/>
    <w:basedOn w:val="Normal"/>
    <w:next w:val="Normal"/>
    <w:link w:val="1"/>
    <w:uiPriority w:val="9"/>
    <w:qFormat/>
    <w:rsid w:val="00ff2b5a"/>
    <w:pPr>
      <w:keepNext w:val="true"/>
      <w:keepLines/>
      <w:spacing w:before="480" w:after="0"/>
      <w:outlineLvl w:val="0"/>
    </w:pPr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paragraph" w:styleId="Heading2">
    <w:name w:val="Heading 2"/>
    <w:basedOn w:val="Normal"/>
    <w:next w:val="Normal"/>
    <w:link w:val="2"/>
    <w:uiPriority w:val="9"/>
    <w:semiHidden/>
    <w:unhideWhenUsed/>
    <w:qFormat/>
    <w:rsid w:val="00ff2b5a"/>
    <w:pPr>
      <w:keepNext w:val="true"/>
      <w:keepLines/>
      <w:spacing w:before="200" w:after="0"/>
      <w:outlineLvl w:val="1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paragraph" w:styleId="Heading3">
    <w:name w:val="Heading 3"/>
    <w:basedOn w:val="Normal"/>
    <w:next w:val="Normal"/>
    <w:link w:val="3"/>
    <w:uiPriority w:val="9"/>
    <w:semiHidden/>
    <w:unhideWhenUsed/>
    <w:qFormat/>
    <w:rsid w:val="00ff2b5a"/>
    <w:pPr>
      <w:keepNext w:val="true"/>
      <w:keepLines/>
      <w:spacing w:before="200" w:after="0"/>
      <w:outlineLvl w:val="2"/>
    </w:pPr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paragraph" w:styleId="Heading4">
    <w:name w:val="Heading 4"/>
    <w:basedOn w:val="Normal"/>
    <w:next w:val="Normal"/>
    <w:link w:val="4"/>
    <w:uiPriority w:val="9"/>
    <w:semiHidden/>
    <w:unhideWhenUsed/>
    <w:qFormat/>
    <w:rsid w:val="00ff2b5a"/>
    <w:pPr>
      <w:keepNext w:val="true"/>
      <w:keepLines/>
      <w:spacing w:before="200" w:after="0"/>
      <w:outlineLvl w:val="3"/>
    </w:pPr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paragraph" w:styleId="Heading5">
    <w:name w:val="Heading 5"/>
    <w:basedOn w:val="Normal"/>
    <w:next w:val="Normal"/>
    <w:link w:val="5"/>
    <w:uiPriority w:val="9"/>
    <w:semiHidden/>
    <w:unhideWhenUsed/>
    <w:qFormat/>
    <w:rsid w:val="00ff2b5a"/>
    <w:pPr>
      <w:keepNext w:val="true"/>
      <w:keepLines/>
      <w:spacing w:before="200" w:after="0"/>
      <w:outlineLvl w:val="4"/>
    </w:pPr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paragraph" w:styleId="Heading6">
    <w:name w:val="Heading 6"/>
    <w:basedOn w:val="Normal"/>
    <w:next w:val="Normal"/>
    <w:link w:val="6"/>
    <w:uiPriority w:val="9"/>
    <w:semiHidden/>
    <w:unhideWhenUsed/>
    <w:qFormat/>
    <w:rsid w:val="00ff2b5a"/>
    <w:pPr>
      <w:keepNext w:val="true"/>
      <w:keepLines/>
      <w:spacing w:before="200" w:after="0"/>
      <w:outlineLvl w:val="5"/>
    </w:pPr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paragraph" w:styleId="Heading7">
    <w:name w:val="Heading 7"/>
    <w:basedOn w:val="Normal"/>
    <w:next w:val="Normal"/>
    <w:link w:val="7"/>
    <w:uiPriority w:val="9"/>
    <w:semiHidden/>
    <w:unhideWhenUsed/>
    <w:qFormat/>
    <w:rsid w:val="00ff2b5a"/>
    <w:pPr>
      <w:keepNext w:val="true"/>
      <w:keepLines/>
      <w:spacing w:before="200" w:after="0"/>
      <w:outlineLvl w:val="6"/>
    </w:pPr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</w:rPr>
  </w:style>
  <w:style w:type="paragraph" w:styleId="Heading8">
    <w:name w:val="Heading 8"/>
    <w:basedOn w:val="Normal"/>
    <w:next w:val="Normal"/>
    <w:link w:val="8"/>
    <w:uiPriority w:val="9"/>
    <w:semiHidden/>
    <w:unhideWhenUsed/>
    <w:qFormat/>
    <w:rsid w:val="00ff2b5a"/>
    <w:pPr>
      <w:keepNext w:val="true"/>
      <w:keepLines/>
      <w:spacing w:before="200" w:after="0"/>
      <w:outlineLvl w:val="7"/>
    </w:pPr>
    <w:rPr>
      <w:rFonts w:ascii="Cambria" w:hAnsi="Cambria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paragraph" w:styleId="Heading9">
    <w:name w:val="Heading 9"/>
    <w:basedOn w:val="Normal"/>
    <w:next w:val="Normal"/>
    <w:link w:val="9"/>
    <w:uiPriority w:val="9"/>
    <w:semiHidden/>
    <w:unhideWhenUsed/>
    <w:qFormat/>
    <w:rsid w:val="00ff2b5a"/>
    <w:pPr>
      <w:keepNext w:val="true"/>
      <w:keepLines/>
      <w:spacing w:before="200" w:after="0"/>
      <w:outlineLvl w:val="8"/>
    </w:pPr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Hyperlink">
    <w:name w:val="Hyperlink"/>
    <w:basedOn w:val="DefaultParagraphFont"/>
    <w:uiPriority w:val="99"/>
    <w:unhideWhenUsed/>
    <w:rsid w:val="00e90dcc"/>
    <w:rPr>
      <w:color w:themeColor="hyperlink" w:val="0000FF"/>
      <w:u w:val="single"/>
    </w:rPr>
  </w:style>
  <w:style w:type="character" w:styleId="Style5" w:customStyle="1">
    <w:name w:val="Верхний колонтитул Знак"/>
    <w:basedOn w:val="DefaultParagraphFont"/>
    <w:uiPriority w:val="99"/>
    <w:qFormat/>
    <w:rsid w:val="00c142a7"/>
    <w:rPr/>
  </w:style>
  <w:style w:type="character" w:styleId="Style6" w:customStyle="1">
    <w:name w:val="Нижний колонтитул Знак"/>
    <w:basedOn w:val="DefaultParagraphFont"/>
    <w:uiPriority w:val="99"/>
    <w:qFormat/>
    <w:rsid w:val="00c142a7"/>
    <w:rPr/>
  </w:style>
  <w:style w:type="character" w:styleId="Style7" w:customStyle="1">
    <w:name w:val="Текст выноски Знак"/>
    <w:basedOn w:val="DefaultParagraphFont"/>
    <w:link w:val="BalloonText"/>
    <w:uiPriority w:val="99"/>
    <w:semiHidden/>
    <w:qFormat/>
    <w:rsid w:val="00a07061"/>
    <w:rPr>
      <w:rFonts w:ascii="Tahoma" w:hAnsi="Tahoma" w:cs="Tahoma"/>
      <w:sz w:val="16"/>
      <w:szCs w:val="16"/>
    </w:rPr>
  </w:style>
  <w:style w:type="character" w:styleId="1" w:customStyle="1">
    <w:name w:val="Заголовок 1 Знак"/>
    <w:basedOn w:val="DefaultParagraphFont"/>
    <w:uiPriority w:val="9"/>
    <w:qFormat/>
    <w:rsid w:val="00ff2b5a"/>
    <w:rPr>
      <w:rFonts w:ascii="Cambria" w:hAnsi="Cambria" w:eastAsia="" w:cs="" w:asciiTheme="majorHAnsi" w:cstheme="majorBidi" w:eastAsiaTheme="majorEastAsia" w:hAnsiTheme="majorHAnsi"/>
      <w:b/>
      <w:bCs/>
      <w:color w:themeColor="accent1" w:themeShade="bf" w:val="365F91"/>
      <w:sz w:val="28"/>
      <w:szCs w:val="28"/>
    </w:rPr>
  </w:style>
  <w:style w:type="character" w:styleId="2" w:customStyle="1">
    <w:name w:val="Заголовок 2 Знак"/>
    <w:basedOn w:val="DefaultParagraphFont"/>
    <w:uiPriority w:val="9"/>
    <w:semiHidden/>
    <w:qFormat/>
    <w:rsid w:val="00ff2b5a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  <w:sz w:val="26"/>
      <w:szCs w:val="26"/>
    </w:rPr>
  </w:style>
  <w:style w:type="character" w:styleId="3" w:customStyle="1">
    <w:name w:val="Заголовок 3 Знак"/>
    <w:basedOn w:val="DefaultParagraphFont"/>
    <w:uiPriority w:val="9"/>
    <w:semiHidden/>
    <w:qFormat/>
    <w:rsid w:val="00ff2b5a"/>
    <w:rPr>
      <w:rFonts w:ascii="Cambria" w:hAnsi="Cambria" w:eastAsia="" w:cs="" w:asciiTheme="majorHAnsi" w:cstheme="majorBidi" w:eastAsiaTheme="majorEastAsia" w:hAnsiTheme="majorHAnsi"/>
      <w:b/>
      <w:bCs/>
      <w:color w:themeColor="accent1" w:val="4F81BD"/>
    </w:rPr>
  </w:style>
  <w:style w:type="character" w:styleId="4" w:customStyle="1">
    <w:name w:val="Заголовок 4 Знак"/>
    <w:basedOn w:val="DefaultParagraphFont"/>
    <w:uiPriority w:val="9"/>
    <w:semiHidden/>
    <w:qFormat/>
    <w:rsid w:val="00ff2b5a"/>
    <w:rPr>
      <w:rFonts w:ascii="Cambria" w:hAnsi="Cambria" w:eastAsia="" w:cs="" w:asciiTheme="majorHAnsi" w:cstheme="majorBidi" w:eastAsiaTheme="majorEastAsia" w:hAnsiTheme="majorHAnsi"/>
      <w:b/>
      <w:bCs/>
      <w:i/>
      <w:iCs/>
      <w:color w:themeColor="accent1" w:val="4F81BD"/>
    </w:rPr>
  </w:style>
  <w:style w:type="character" w:styleId="5" w:customStyle="1">
    <w:name w:val="Заголовок 5 Знак"/>
    <w:basedOn w:val="DefaultParagraphFont"/>
    <w:uiPriority w:val="9"/>
    <w:semiHidden/>
    <w:qFormat/>
    <w:rsid w:val="00ff2b5a"/>
    <w:rPr>
      <w:rFonts w:ascii="Cambria" w:hAnsi="Cambria" w:eastAsia="" w:cs="" w:asciiTheme="majorHAnsi" w:cstheme="majorBidi" w:eastAsiaTheme="majorEastAsia" w:hAnsiTheme="majorHAnsi"/>
      <w:color w:themeColor="accent1" w:themeShade="7f" w:val="243F60"/>
    </w:rPr>
  </w:style>
  <w:style w:type="character" w:styleId="6" w:customStyle="1">
    <w:name w:val="Заголовок 6 Знак"/>
    <w:basedOn w:val="DefaultParagraphFont"/>
    <w:uiPriority w:val="9"/>
    <w:semiHidden/>
    <w:qFormat/>
    <w:rsid w:val="00ff2b5a"/>
    <w:rPr>
      <w:rFonts w:ascii="Cambria" w:hAnsi="Cambria" w:eastAsia="" w:cs="" w:asciiTheme="majorHAnsi" w:cstheme="majorBidi" w:eastAsiaTheme="majorEastAsia" w:hAnsiTheme="majorHAnsi"/>
      <w:i/>
      <w:iCs/>
      <w:color w:themeColor="accent1" w:themeShade="7f" w:val="243F60"/>
    </w:rPr>
  </w:style>
  <w:style w:type="character" w:styleId="7" w:customStyle="1">
    <w:name w:val="Заголовок 7 Знак"/>
    <w:basedOn w:val="DefaultParagraphFont"/>
    <w:uiPriority w:val="9"/>
    <w:semiHidden/>
    <w:qFormat/>
    <w:rsid w:val="00ff2b5a"/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</w:rPr>
  </w:style>
  <w:style w:type="character" w:styleId="8" w:customStyle="1">
    <w:name w:val="Заголовок 8 Знак"/>
    <w:basedOn w:val="DefaultParagraphFont"/>
    <w:uiPriority w:val="9"/>
    <w:semiHidden/>
    <w:qFormat/>
    <w:rsid w:val="00ff2b5a"/>
    <w:rPr>
      <w:rFonts w:ascii="Cambria" w:hAnsi="Cambria" w:eastAsia="" w:cs="" w:asciiTheme="majorHAnsi" w:cstheme="majorBidi" w:eastAsiaTheme="majorEastAsia" w:hAnsiTheme="majorHAnsi"/>
      <w:color w:themeColor="accent1" w:val="4F81BD"/>
      <w:sz w:val="20"/>
      <w:szCs w:val="20"/>
    </w:rPr>
  </w:style>
  <w:style w:type="character" w:styleId="9" w:customStyle="1">
    <w:name w:val="Заголовок 9 Знак"/>
    <w:basedOn w:val="DefaultParagraphFont"/>
    <w:uiPriority w:val="9"/>
    <w:semiHidden/>
    <w:qFormat/>
    <w:rsid w:val="00ff2b5a"/>
    <w:rPr>
      <w:rFonts w:ascii="Cambria" w:hAnsi="Cambria" w:eastAsia="" w:cs="" w:asciiTheme="majorHAnsi" w:cstheme="majorBidi" w:eastAsiaTheme="majorEastAsia" w:hAnsiTheme="majorHAnsi"/>
      <w:i/>
      <w:iCs/>
      <w:color w:themeColor="text1" w:themeTint="bf" w:val="404040"/>
      <w:sz w:val="20"/>
      <w:szCs w:val="20"/>
    </w:rPr>
  </w:style>
  <w:style w:type="character" w:styleId="Style8" w:customStyle="1">
    <w:name w:val="Название Знак"/>
    <w:basedOn w:val="DefaultParagraphFont"/>
    <w:uiPriority w:val="10"/>
    <w:qFormat/>
    <w:rsid w:val="00ff2b5a"/>
    <w:rPr>
      <w:rFonts w:ascii="Cambria" w:hAnsi="Cambria" w:eastAsia="" w:cs="" w:asciiTheme="majorHAnsi" w:cstheme="majorBidi" w:eastAsiaTheme="majorEastAsia" w:hAnsiTheme="majorHAnsi"/>
      <w:color w:themeColor="text2" w:themeShade="bf" w:val="17365D"/>
      <w:spacing w:val="5"/>
      <w:sz w:val="52"/>
      <w:szCs w:val="52"/>
    </w:rPr>
  </w:style>
  <w:style w:type="character" w:styleId="Style9" w:customStyle="1">
    <w:name w:val="Подзаголовок Знак"/>
    <w:basedOn w:val="DefaultParagraphFont"/>
    <w:uiPriority w:val="11"/>
    <w:qFormat/>
    <w:rsid w:val="00ff2b5a"/>
    <w:rPr>
      <w:rFonts w:ascii="Cambria" w:hAnsi="Cambria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character" w:styleId="Strong">
    <w:name w:val="Strong"/>
    <w:basedOn w:val="DefaultParagraphFont"/>
    <w:uiPriority w:val="22"/>
    <w:qFormat/>
    <w:rsid w:val="00ff2b5a"/>
    <w:rPr>
      <w:b/>
      <w:bCs/>
    </w:rPr>
  </w:style>
  <w:style w:type="character" w:styleId="Emphasis">
    <w:name w:val="Emphasis"/>
    <w:basedOn w:val="DefaultParagraphFont"/>
    <w:uiPriority w:val="20"/>
    <w:qFormat/>
    <w:rsid w:val="00ff2b5a"/>
    <w:rPr>
      <w:i/>
      <w:iCs/>
    </w:rPr>
  </w:style>
  <w:style w:type="character" w:styleId="21" w:customStyle="1">
    <w:name w:val="Цитата 2 Знак"/>
    <w:basedOn w:val="DefaultParagraphFont"/>
    <w:link w:val="Quote"/>
    <w:uiPriority w:val="29"/>
    <w:qFormat/>
    <w:rsid w:val="00ff2b5a"/>
    <w:rPr>
      <w:i/>
      <w:iCs/>
      <w:color w:themeColor="text1" w:val="000000"/>
    </w:rPr>
  </w:style>
  <w:style w:type="character" w:styleId="Style10" w:customStyle="1">
    <w:name w:val="Выделенная цитата Знак"/>
    <w:basedOn w:val="DefaultParagraphFont"/>
    <w:link w:val="IntenseQuote"/>
    <w:uiPriority w:val="30"/>
    <w:qFormat/>
    <w:rsid w:val="00ff2b5a"/>
    <w:rPr>
      <w:b/>
      <w:bCs/>
      <w:i/>
      <w:iCs/>
      <w:color w:themeColor="accent1" w:val="4F81BD"/>
    </w:rPr>
  </w:style>
  <w:style w:type="character" w:styleId="SubtleEmphasis">
    <w:name w:val="Subtle Emphasis"/>
    <w:basedOn w:val="DefaultParagraphFont"/>
    <w:uiPriority w:val="19"/>
    <w:qFormat/>
    <w:rsid w:val="00ff2b5a"/>
    <w:rPr>
      <w:i/>
      <w:iCs/>
      <w:color w:themeColor="text1" w:themeTint="7f" w:val="808080"/>
    </w:rPr>
  </w:style>
  <w:style w:type="character" w:styleId="IntenseEmphasis">
    <w:name w:val="Intense Emphasis"/>
    <w:basedOn w:val="DefaultParagraphFont"/>
    <w:uiPriority w:val="21"/>
    <w:qFormat/>
    <w:rsid w:val="00ff2b5a"/>
    <w:rPr>
      <w:b/>
      <w:bCs/>
      <w:i/>
      <w:iCs/>
      <w:color w:themeColor="accent1" w:val="4F81BD"/>
    </w:rPr>
  </w:style>
  <w:style w:type="character" w:styleId="SubtleReference">
    <w:name w:val="Subtle Reference"/>
    <w:basedOn w:val="DefaultParagraphFont"/>
    <w:uiPriority w:val="31"/>
    <w:qFormat/>
    <w:rsid w:val="00ff2b5a"/>
    <w:rPr>
      <w:smallCaps/>
      <w:color w:themeColor="accent2" w:val="C0504D"/>
      <w:u w:val="single"/>
    </w:rPr>
  </w:style>
  <w:style w:type="character" w:styleId="IntenseReference">
    <w:name w:val="Intense Reference"/>
    <w:basedOn w:val="DefaultParagraphFont"/>
    <w:uiPriority w:val="32"/>
    <w:qFormat/>
    <w:rsid w:val="00ff2b5a"/>
    <w:rPr>
      <w:b/>
      <w:bCs/>
      <w:smallCaps/>
      <w:color w:themeColor="accent2" w:val="C0504D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f2b5a"/>
    <w:rPr>
      <w:b/>
      <w:bCs/>
      <w:smallCaps/>
      <w:spacing w:val="5"/>
    </w:rPr>
  </w:style>
  <w:style w:type="character" w:styleId="ConsPlusNormal" w:customStyle="1">
    <w:name w:val="ConsPlusNormal Знак"/>
    <w:link w:val="ConsPlusNormal1"/>
    <w:qFormat/>
    <w:rsid w:val="00e313a8"/>
    <w:rPr>
      <w:rFonts w:ascii="Calibri" w:hAnsi="Calibri" w:eastAsia="Times New Roman" w:cs="Calibri"/>
    </w:rPr>
  </w:style>
  <w:style w:type="character" w:styleId="Style11" w:customStyle="1">
    <w:name w:val="Без интервала Знак"/>
    <w:link w:val="NoSpacing"/>
    <w:uiPriority w:val="1"/>
    <w:qFormat/>
    <w:locked/>
    <w:rsid w:val="00c843d5"/>
    <w:rPr/>
  </w:style>
  <w:style w:type="paragraph" w:styleId="Style12" w:customStyle="1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Noto Sans CJK SC" w:cs="FreeSans"/>
      <w:sz w:val="28"/>
      <w:szCs w:val="28"/>
    </w:rPr>
  </w:style>
  <w:style w:type="paragraph" w:styleId="BodyText">
    <w:name w:val="Body Text"/>
    <w:basedOn w:val="Normal"/>
    <w:pPr>
      <w:spacing w:before="0" w:after="140"/>
    </w:pPr>
    <w:rPr/>
  </w:style>
  <w:style w:type="paragraph" w:styleId="List">
    <w:name w:val="List"/>
    <w:basedOn w:val="BodyText"/>
    <w:pPr/>
    <w:rPr>
      <w:rFonts w:ascii="PT Astra Serif" w:hAnsi="PT Astra Serif" w:cs="Free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Style13">
    <w:name w:val="Указатель"/>
    <w:basedOn w:val="Normal"/>
    <w:qFormat/>
    <w:pPr>
      <w:suppressLineNumbers/>
    </w:pPr>
    <w:rPr>
      <w:rFonts w:ascii="PT Astra Serif" w:hAnsi="PT Astra Serif" w:cs="FreeSans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ascii="PT Astra Serif" w:hAnsi="PT Astra Serif" w:cs="FreeSans"/>
      <w:i/>
      <w:iCs/>
      <w:sz w:val="24"/>
      <w:szCs w:val="24"/>
    </w:rPr>
  </w:style>
  <w:style w:type="paragraph" w:styleId="Indexheading1">
    <w:name w:val="index heading1"/>
    <w:basedOn w:val="Style12"/>
    <w:qFormat/>
    <w:pPr/>
    <w:rPr/>
  </w:style>
  <w:style w:type="paragraph" w:styleId="NoSpacing">
    <w:name w:val="No Spacing"/>
    <w:link w:val="Style11"/>
    <w:uiPriority w:val="1"/>
    <w:qFormat/>
    <w:rsid w:val="00ff2b5a"/>
    <w:pPr>
      <w:widowControl/>
      <w:suppressAutoHyphens w:val="true"/>
      <w:bidi w:val="0"/>
      <w:spacing w:before="0" w:after="0"/>
      <w:jc w:val="left"/>
    </w:pPr>
    <w:rPr>
      <w:rFonts w:ascii="Calibri" w:hAnsi="Calibri" w:eastAsia="" w:cs="" w:asciiTheme="minorHAnsi" w:cstheme="minorBidi" w:eastAsiaTheme="minorEastAsia" w:hAnsiTheme="minorHAnsi"/>
      <w:color w:val="auto"/>
      <w:kern w:val="0"/>
      <w:sz w:val="22"/>
      <w:szCs w:val="22"/>
      <w:lang w:val="ru-RU" w:eastAsia="ru-RU" w:bidi="ar-SA"/>
    </w:rPr>
  </w:style>
  <w:style w:type="paragraph" w:styleId="Style14" w:customStyle="1">
    <w:name w:val="Колонтитул"/>
    <w:basedOn w:val="Normal"/>
    <w:qFormat/>
    <w:pPr/>
    <w:rPr/>
  </w:style>
  <w:style w:type="paragraph" w:styleId="Header">
    <w:name w:val="Header"/>
    <w:basedOn w:val="Normal"/>
    <w:link w:val="Style5"/>
    <w:uiPriority w:val="99"/>
    <w:unhideWhenUsed/>
    <w:rsid w:val="00c142a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6"/>
    <w:uiPriority w:val="99"/>
    <w:unhideWhenUsed/>
    <w:rsid w:val="00c142a7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Style15" w:customStyle="1">
    <w:name w:val="Нормальный (таблица)"/>
    <w:basedOn w:val="Normal"/>
    <w:next w:val="Normal"/>
    <w:uiPriority w:val="99"/>
    <w:qFormat/>
    <w:rsid w:val="00ca395c"/>
    <w:pPr>
      <w:widowControl w:val="false"/>
      <w:spacing w:lineRule="auto" w:line="240" w:before="0" w:after="0"/>
      <w:jc w:val="both"/>
    </w:pPr>
    <w:rPr>
      <w:rFonts w:ascii="Times New Roman CYR" w:hAnsi="Times New Roman CYR" w:eastAsia="Times New Roman" w:cs="Times New Roman CYR"/>
      <w:sz w:val="24"/>
      <w:szCs w:val="24"/>
    </w:rPr>
  </w:style>
  <w:style w:type="paragraph" w:styleId="ListParagraph">
    <w:name w:val="List Paragraph"/>
    <w:basedOn w:val="Normal"/>
    <w:uiPriority w:val="34"/>
    <w:qFormat/>
    <w:rsid w:val="00ca395c"/>
    <w:pPr>
      <w:spacing w:before="0" w:after="200"/>
      <w:ind w:left="720"/>
      <w:contextualSpacing/>
    </w:pPr>
    <w:rPr/>
  </w:style>
  <w:style w:type="paragraph" w:styleId="BalloonText">
    <w:name w:val="Balloon Text"/>
    <w:basedOn w:val="Normal"/>
    <w:link w:val="Style7"/>
    <w:uiPriority w:val="99"/>
    <w:semiHidden/>
    <w:unhideWhenUsed/>
    <w:qFormat/>
    <w:rsid w:val="00a07061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Caption11" w:customStyle="1">
    <w:name w:val="caption11"/>
    <w:basedOn w:val="Normal"/>
    <w:next w:val="Normal"/>
    <w:uiPriority w:val="35"/>
    <w:semiHidden/>
    <w:unhideWhenUsed/>
    <w:qFormat/>
    <w:rsid w:val="00ff2b5a"/>
    <w:pPr>
      <w:spacing w:lineRule="auto" w:line="240"/>
    </w:pPr>
    <w:rPr>
      <w:b/>
      <w:bCs/>
      <w:color w:themeColor="accent1" w:val="4F81BD"/>
      <w:sz w:val="18"/>
      <w:szCs w:val="18"/>
    </w:rPr>
  </w:style>
  <w:style w:type="paragraph" w:styleId="Title">
    <w:name w:val="Title"/>
    <w:basedOn w:val="Normal"/>
    <w:next w:val="Normal"/>
    <w:link w:val="Style8"/>
    <w:uiPriority w:val="10"/>
    <w:qFormat/>
    <w:rsid w:val="00ff2b5a"/>
    <w:pPr>
      <w:pBdr>
        <w:bottom w:val="single" w:sz="8" w:space="4" w:color="4F81BD" w:themeColor="accent1"/>
      </w:pBdr>
      <w:spacing w:lineRule="auto" w:line="240" w:before="0" w:after="300"/>
      <w:contextualSpacing/>
    </w:pPr>
    <w:rPr>
      <w:rFonts w:ascii="Cambria" w:hAnsi="Cambria" w:eastAsia="" w:cs="" w:asciiTheme="majorHAnsi" w:cstheme="majorBidi" w:eastAsiaTheme="majorEastAsia" w:hAnsiTheme="majorHAnsi"/>
      <w:color w:themeColor="text2" w:themeShade="bf" w:val="17365D"/>
      <w:spacing w:val="5"/>
      <w:sz w:val="52"/>
      <w:szCs w:val="52"/>
    </w:rPr>
  </w:style>
  <w:style w:type="paragraph" w:styleId="Subtitle">
    <w:name w:val="Subtitle"/>
    <w:basedOn w:val="Normal"/>
    <w:next w:val="Normal"/>
    <w:link w:val="Style9"/>
    <w:uiPriority w:val="11"/>
    <w:qFormat/>
    <w:rsid w:val="00ff2b5a"/>
    <w:pPr/>
    <w:rPr>
      <w:rFonts w:ascii="Cambria" w:hAnsi="Cambria" w:eastAsia="" w:cs="" w:asciiTheme="majorHAnsi" w:cstheme="majorBidi" w:eastAsiaTheme="majorEastAsia" w:hAnsiTheme="majorHAnsi"/>
      <w:i/>
      <w:iCs/>
      <w:color w:themeColor="accent1" w:val="4F81BD"/>
      <w:spacing w:val="15"/>
      <w:sz w:val="24"/>
      <w:szCs w:val="24"/>
    </w:rPr>
  </w:style>
  <w:style w:type="paragraph" w:styleId="Quote">
    <w:name w:val="Quote"/>
    <w:basedOn w:val="Normal"/>
    <w:next w:val="Normal"/>
    <w:link w:val="21"/>
    <w:uiPriority w:val="29"/>
    <w:qFormat/>
    <w:rsid w:val="00ff2b5a"/>
    <w:pPr/>
    <w:rPr>
      <w:i/>
      <w:iCs/>
      <w:color w:themeColor="text1" w:val="000000"/>
    </w:rPr>
  </w:style>
  <w:style w:type="paragraph" w:styleId="IntenseQuote">
    <w:name w:val="Intense Quote"/>
    <w:basedOn w:val="Normal"/>
    <w:next w:val="Normal"/>
    <w:link w:val="Style10"/>
    <w:uiPriority w:val="30"/>
    <w:qFormat/>
    <w:rsid w:val="00ff2b5a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themeColor="accent1" w:val="4F81BD"/>
    </w:rPr>
  </w:style>
  <w:style w:type="paragraph" w:styleId="IndexHeading">
    <w:name w:val="Index Heading"/>
    <w:basedOn w:val="Style12"/>
    <w:pPr/>
    <w:rPr/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f2b5a"/>
    <w:pPr>
      <w:outlineLvl w:val="9"/>
    </w:pPr>
    <w:rPr/>
  </w:style>
  <w:style w:type="paragraph" w:styleId="ConsPlusNormal1" w:customStyle="1">
    <w:name w:val="ConsPlusNormal"/>
    <w:link w:val="ConsPlusNormal"/>
    <w:qFormat/>
    <w:rsid w:val="00e313a8"/>
    <w:pPr>
      <w:widowControl w:val="false"/>
      <w:suppressAutoHyphens w:val="true"/>
      <w:bidi w:val="0"/>
      <w:spacing w:before="0" w:after="0"/>
      <w:jc w:val="left"/>
    </w:pPr>
    <w:rPr>
      <w:rFonts w:eastAsia="Times New Roman" w:cs="Calibri" w:ascii="Calibri" w:hAnsi="Calibri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11" w:customStyle="1">
    <w:name w:val="Без интервала1"/>
    <w:qFormat/>
    <w:rsid w:val="00c843d5"/>
    <w:pPr>
      <w:widowControl/>
      <w:suppressAutoHyphens w:val="true"/>
      <w:bidi w:val="0"/>
      <w:spacing w:before="0" w:after="0"/>
      <w:jc w:val="left"/>
    </w:pPr>
    <w:rPr>
      <w:rFonts w:eastAsia="font191" w:cs="font191" w:ascii="Calibri" w:hAnsi="Calibri" w:asciiTheme="minorHAnsi" w:hAnsiTheme="minorHAnsi"/>
      <w:color w:val="auto"/>
      <w:kern w:val="0"/>
      <w:sz w:val="22"/>
      <w:szCs w:val="22"/>
      <w:lang w:val="ru-RU" w:eastAsia="ru-RU" w:bidi="ar-SA"/>
    </w:rPr>
  </w:style>
  <w:style w:type="paragraph" w:styleId="Style16" w:customStyle="1">
    <w:name w:val="Содержимое врезки"/>
    <w:basedOn w:val="Normal"/>
    <w:qFormat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<Relationship Id="rId8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7FC1DD2-47A1-463C-BD79-E0B0B00FAC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340</TotalTime>
  <Application>LibreOffice/24.2.3.2$Linux_X86_64 LibreOffice_project/420$Build-2</Application>
  <AppVersion>15.0000</AppVersion>
  <Pages>2</Pages>
  <Words>338</Words>
  <Characters>2243</Characters>
  <CharactersWithSpaces>2655</CharactersWithSpaces>
  <Paragraphs>72</Paragraphs>
  <Company>Microsoft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2026-03-17T07:33:00Z</dcterms:created>
  <dc:creator>Игорь Сафронов</dc:creator>
  <dc:description/>
  <dc:language>ru-RU</dc:language>
  <cp:lastModifiedBy/>
  <cp:lastPrinted>2026-08-24T03:54:00Z</cp:lastPrinted>
  <dcterms:modified xsi:type="dcterms:W3CDTF">2026-08-26T14:06:02Z</dcterms:modified>
  <cp:revision>69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