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Контракт вступает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федеральной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Коломенская,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Коломенская,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л/с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r w:rsidRPr="00BC3B27">
        <w:rPr>
          <w:bCs/>
          <w:kern w:val="3"/>
          <w:sz w:val="22"/>
          <w:szCs w:val="22"/>
          <w:lang w:eastAsia="en-US"/>
        </w:rPr>
        <w:t>р</w:t>
      </w:r>
      <w:proofErr w:type="spell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2409"/>
        <w:gridCol w:w="993"/>
        <w:gridCol w:w="992"/>
        <w:gridCol w:w="1701"/>
        <w:gridCol w:w="1559"/>
        <w:gridCol w:w="1656"/>
        <w:gridCol w:w="1844"/>
        <w:gridCol w:w="1840"/>
      </w:tblGrid>
      <w:tr w:rsidR="00071D49" w:rsidRPr="001708C3" w:rsidTr="00BA1F41">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r w:rsidRPr="001708C3">
              <w:rPr>
                <w:sz w:val="18"/>
                <w:szCs w:val="18"/>
              </w:rPr>
              <w:t>п</w:t>
            </w:r>
            <w:proofErr w:type="spell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2409"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99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1701"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59"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656"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C337DA" w:rsidRPr="001708C3" w:rsidTr="00BA1F41">
        <w:trPr>
          <w:trHeight w:val="2747"/>
        </w:trPr>
        <w:tc>
          <w:tcPr>
            <w:tcW w:w="425"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
          <w:p w:rsidR="00C337DA" w:rsidRPr="00697A0C" w:rsidRDefault="00176BFD" w:rsidP="00482D3B">
            <w:pPr>
              <w:widowControl w:val="0"/>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Коврики автомобильные</w:t>
            </w:r>
          </w:p>
        </w:tc>
        <w:tc>
          <w:tcPr>
            <w:tcW w:w="2409" w:type="dxa"/>
            <w:tcBorders>
              <w:top w:val="single" w:sz="4" w:space="0" w:color="000000"/>
              <w:left w:val="single" w:sz="4" w:space="0" w:color="000000"/>
              <w:right w:val="single" w:sz="4" w:space="0" w:color="000000"/>
            </w:tcBorders>
          </w:tcPr>
          <w:tbl>
            <w:tblPr>
              <w:tblW w:w="2700" w:type="dxa"/>
              <w:tblLayout w:type="fixed"/>
              <w:tblCellMar>
                <w:top w:w="120" w:type="dxa"/>
                <w:left w:w="0" w:type="dxa"/>
                <w:bottom w:w="180" w:type="dxa"/>
                <w:right w:w="0" w:type="dxa"/>
              </w:tblCellMar>
              <w:tblLook w:val="04A0"/>
            </w:tblPr>
            <w:tblGrid>
              <w:gridCol w:w="2700"/>
            </w:tblGrid>
            <w:tr w:rsidR="00176BFD" w:rsidRPr="005E166D" w:rsidTr="00392785">
              <w:tc>
                <w:tcPr>
                  <w:tcW w:w="2700" w:type="dxa"/>
                  <w:shd w:val="clear" w:color="auto" w:fill="FFFFFF"/>
                </w:tcPr>
                <w:p w:rsidR="00176BFD" w:rsidRPr="005E166D" w:rsidRDefault="00176BFD" w:rsidP="00176BFD">
                  <w:pPr>
                    <w:spacing w:after="0" w:line="270" w:lineRule="atLeast"/>
                    <w:rPr>
                      <w:rFonts w:ascii="Segoe UI" w:hAnsi="Segoe UI" w:cs="Segoe UI"/>
                      <w:color w:val="000000"/>
                      <w:sz w:val="20"/>
                    </w:rPr>
                  </w:pPr>
                  <w:r w:rsidRPr="005E166D">
                    <w:rPr>
                      <w:rFonts w:ascii="Segoe UI" w:hAnsi="Segoe UI" w:cs="Segoe UI"/>
                      <w:color w:val="000000"/>
                      <w:sz w:val="20"/>
                    </w:rPr>
                    <w:t xml:space="preserve">Совместимость </w:t>
                  </w:r>
                </w:p>
              </w:tc>
            </w:tr>
          </w:tbl>
          <w:p w:rsidR="00176BFD" w:rsidRPr="005E166D" w:rsidRDefault="00176BFD" w:rsidP="00176BFD">
            <w:pPr>
              <w:spacing w:after="0" w:line="240" w:lineRule="atLeast"/>
              <w:textAlignment w:val="baseline"/>
              <w:rPr>
                <w:color w:val="0D0D0D" w:themeColor="text1" w:themeTint="F2"/>
                <w:sz w:val="20"/>
              </w:rPr>
            </w:pPr>
          </w:p>
          <w:p w:rsidR="00176BFD" w:rsidRPr="00A541A8" w:rsidRDefault="00176BFD" w:rsidP="00176BFD">
            <w:pPr>
              <w:spacing w:after="0" w:line="300" w:lineRule="atLeast"/>
              <w:rPr>
                <w:color w:val="0D0D0D" w:themeColor="text1" w:themeTint="F2"/>
                <w:sz w:val="20"/>
              </w:rPr>
            </w:pPr>
            <w:proofErr w:type="spellStart"/>
            <w:r w:rsidRPr="005E166D">
              <w:rPr>
                <w:rFonts w:ascii="Segoe UI" w:hAnsi="Segoe UI" w:cs="Segoe UI"/>
                <w:color w:val="000000"/>
                <w:sz w:val="20"/>
                <w:shd w:val="clear" w:color="auto" w:fill="FFFFFF"/>
                <w:lang w:val="en-US"/>
              </w:rPr>
              <w:t>Lada</w:t>
            </w:r>
            <w:proofErr w:type="spellEnd"/>
            <w:r w:rsidRPr="00A541A8">
              <w:rPr>
                <w:rFonts w:ascii="Segoe UI" w:hAnsi="Segoe UI" w:cs="Segoe UI"/>
                <w:color w:val="000000"/>
                <w:sz w:val="20"/>
                <w:shd w:val="clear" w:color="auto" w:fill="FFFFFF"/>
              </w:rPr>
              <w:t xml:space="preserve"> </w:t>
            </w:r>
            <w:proofErr w:type="spellStart"/>
            <w:r w:rsidRPr="005E166D">
              <w:rPr>
                <w:rFonts w:ascii="Segoe UI" w:hAnsi="Segoe UI" w:cs="Segoe UI"/>
                <w:color w:val="000000"/>
                <w:sz w:val="20"/>
                <w:shd w:val="clear" w:color="auto" w:fill="FFFFFF"/>
                <w:lang w:val="en-US"/>
              </w:rPr>
              <w:t>Largus</w:t>
            </w:r>
            <w:proofErr w:type="spellEnd"/>
          </w:p>
          <w:p w:rsidR="00176BFD" w:rsidRPr="005E166D" w:rsidRDefault="00176BFD" w:rsidP="00176BFD">
            <w:pPr>
              <w:spacing w:after="0" w:line="240" w:lineRule="atLeast"/>
              <w:textAlignment w:val="baseline"/>
              <w:rPr>
                <w:color w:val="0D0D0D" w:themeColor="text1" w:themeTint="F2"/>
                <w:sz w:val="20"/>
              </w:rPr>
            </w:pPr>
            <w:r w:rsidRPr="005E166D">
              <w:rPr>
                <w:rFonts w:ascii="Segoe UI" w:hAnsi="Segoe UI" w:cs="Segoe UI"/>
                <w:color w:val="000000"/>
                <w:sz w:val="20"/>
                <w:shd w:val="clear" w:color="auto" w:fill="FFFFFF"/>
              </w:rPr>
              <w:t xml:space="preserve">Материал </w:t>
            </w:r>
            <w:r>
              <w:rPr>
                <w:color w:val="0D0D0D" w:themeColor="text1" w:themeTint="F2"/>
                <w:sz w:val="20"/>
              </w:rPr>
              <w:t xml:space="preserve">- </w:t>
            </w:r>
            <w:r w:rsidRPr="005E166D">
              <w:rPr>
                <w:rFonts w:ascii="Segoe UI" w:hAnsi="Segoe UI" w:cs="Segoe UI"/>
                <w:color w:val="000000"/>
                <w:sz w:val="20"/>
                <w:shd w:val="clear" w:color="auto" w:fill="FFFFFF"/>
              </w:rPr>
              <w:t>резина</w:t>
            </w:r>
          </w:p>
          <w:p w:rsidR="00176BFD" w:rsidRPr="005E166D" w:rsidRDefault="00176BFD" w:rsidP="00176BFD">
            <w:pPr>
              <w:shd w:val="clear" w:color="auto" w:fill="FFFFFF"/>
              <w:spacing w:after="0"/>
              <w:jc w:val="both"/>
              <w:textAlignment w:val="baseline"/>
              <w:rPr>
                <w:color w:val="0D0D0D" w:themeColor="text1" w:themeTint="F2"/>
                <w:sz w:val="20"/>
              </w:rPr>
            </w:pPr>
            <w:r w:rsidRPr="005E166D">
              <w:rPr>
                <w:rFonts w:ascii="Segoe UI" w:hAnsi="Segoe UI" w:cs="Segoe UI"/>
                <w:color w:val="000000"/>
                <w:sz w:val="20"/>
                <w:shd w:val="clear" w:color="auto" w:fill="FFFFFF"/>
              </w:rPr>
              <w:t>Расположение</w:t>
            </w:r>
            <w:r>
              <w:rPr>
                <w:color w:val="0D0D0D" w:themeColor="text1" w:themeTint="F2"/>
                <w:sz w:val="20"/>
              </w:rPr>
              <w:t xml:space="preserve"> - </w:t>
            </w:r>
            <w:r w:rsidRPr="005E166D">
              <w:rPr>
                <w:rFonts w:ascii="Segoe UI" w:hAnsi="Segoe UI" w:cs="Segoe UI"/>
                <w:color w:val="000000"/>
                <w:sz w:val="20"/>
                <w:shd w:val="clear" w:color="auto" w:fill="FFFFFF"/>
              </w:rPr>
              <w:t>салон</w:t>
            </w:r>
          </w:p>
          <w:p w:rsidR="00176BFD" w:rsidRPr="005E166D" w:rsidRDefault="00176BFD" w:rsidP="00176BFD">
            <w:pPr>
              <w:spacing w:after="0" w:line="240" w:lineRule="atLeast"/>
              <w:textAlignment w:val="baseline"/>
              <w:rPr>
                <w:color w:val="0D0D0D" w:themeColor="text1" w:themeTint="F2"/>
                <w:sz w:val="20"/>
              </w:rPr>
            </w:pPr>
            <w:r w:rsidRPr="005E166D">
              <w:rPr>
                <w:rFonts w:ascii="Segoe UI" w:hAnsi="Segoe UI" w:cs="Segoe UI"/>
                <w:color w:val="000000"/>
                <w:sz w:val="20"/>
                <w:shd w:val="clear" w:color="auto" w:fill="FFFFFF"/>
              </w:rPr>
              <w:t>Цвет</w:t>
            </w:r>
            <w:r>
              <w:rPr>
                <w:color w:val="0D0D0D" w:themeColor="text1" w:themeTint="F2"/>
                <w:sz w:val="20"/>
              </w:rPr>
              <w:t xml:space="preserve"> - </w:t>
            </w:r>
            <w:r w:rsidRPr="005E166D">
              <w:rPr>
                <w:rFonts w:ascii="Segoe UI" w:hAnsi="Segoe UI" w:cs="Segoe UI"/>
                <w:color w:val="000000"/>
                <w:sz w:val="20"/>
                <w:shd w:val="clear" w:color="auto" w:fill="FFFFFF"/>
              </w:rPr>
              <w:t xml:space="preserve">Черный </w:t>
            </w:r>
          </w:p>
          <w:p w:rsidR="00176BFD" w:rsidRPr="005E166D" w:rsidRDefault="00176BFD" w:rsidP="00176BFD">
            <w:pPr>
              <w:spacing w:after="0" w:line="240" w:lineRule="atLeast"/>
              <w:textAlignment w:val="baseline"/>
              <w:rPr>
                <w:rFonts w:ascii="Segoe UI" w:hAnsi="Segoe UI" w:cs="Segoe UI"/>
                <w:color w:val="000000"/>
                <w:sz w:val="20"/>
                <w:shd w:val="clear" w:color="auto" w:fill="FFFFFF"/>
              </w:rPr>
            </w:pPr>
            <w:r w:rsidRPr="005E166D">
              <w:rPr>
                <w:rFonts w:ascii="Segoe UI" w:hAnsi="Segoe UI" w:cs="Segoe UI"/>
                <w:color w:val="000000"/>
                <w:sz w:val="20"/>
                <w:shd w:val="clear" w:color="auto" w:fill="FFFFFF"/>
              </w:rPr>
              <w:t>Бортик</w:t>
            </w:r>
            <w:r>
              <w:rPr>
                <w:rFonts w:ascii="Segoe UI" w:hAnsi="Segoe UI" w:cs="Segoe UI"/>
                <w:color w:val="000000"/>
                <w:sz w:val="20"/>
                <w:shd w:val="clear" w:color="auto" w:fill="FFFFFF"/>
              </w:rPr>
              <w:t xml:space="preserve"> - </w:t>
            </w:r>
            <w:r w:rsidRPr="005E166D">
              <w:rPr>
                <w:rFonts w:ascii="Segoe UI" w:hAnsi="Segoe UI" w:cs="Segoe UI"/>
                <w:color w:val="000000"/>
                <w:sz w:val="20"/>
                <w:shd w:val="clear" w:color="auto" w:fill="FFFFFF"/>
              </w:rPr>
              <w:t>наличие</w:t>
            </w:r>
          </w:p>
          <w:p w:rsidR="00176BFD" w:rsidRPr="005E166D" w:rsidRDefault="00176BFD" w:rsidP="00176BFD">
            <w:pPr>
              <w:spacing w:after="0" w:line="240" w:lineRule="atLeast"/>
              <w:textAlignment w:val="baseline"/>
              <w:rPr>
                <w:rFonts w:ascii="Segoe UI" w:hAnsi="Segoe UI" w:cs="Segoe UI"/>
                <w:color w:val="000000"/>
                <w:sz w:val="20"/>
                <w:shd w:val="clear" w:color="auto" w:fill="FFFFFF"/>
              </w:rPr>
            </w:pPr>
            <w:r w:rsidRPr="005E166D">
              <w:rPr>
                <w:rFonts w:ascii="Segoe UI" w:hAnsi="Segoe UI" w:cs="Segoe UI"/>
                <w:color w:val="000000"/>
                <w:sz w:val="20"/>
                <w:shd w:val="clear" w:color="auto" w:fill="FFFFFF"/>
              </w:rPr>
              <w:t>Перемычка между задними ковриками</w:t>
            </w:r>
            <w:r>
              <w:rPr>
                <w:rFonts w:ascii="Segoe UI" w:hAnsi="Segoe UI" w:cs="Segoe UI"/>
                <w:color w:val="000000"/>
                <w:sz w:val="20"/>
                <w:shd w:val="clear" w:color="auto" w:fill="FFFFFF"/>
              </w:rPr>
              <w:t xml:space="preserve"> - </w:t>
            </w:r>
            <w:r w:rsidRPr="005E166D">
              <w:rPr>
                <w:rFonts w:ascii="Segoe UI" w:hAnsi="Segoe UI" w:cs="Segoe UI"/>
                <w:color w:val="000000"/>
                <w:sz w:val="20"/>
                <w:shd w:val="clear" w:color="auto" w:fill="FFFFFF"/>
              </w:rPr>
              <w:t>наличие</w:t>
            </w:r>
          </w:p>
          <w:p w:rsidR="00BA1F41" w:rsidRPr="00176BFD" w:rsidRDefault="00176BFD" w:rsidP="00176BFD">
            <w:pPr>
              <w:spacing w:after="0" w:line="240" w:lineRule="atLeast"/>
              <w:textAlignment w:val="baseline"/>
              <w:rPr>
                <w:rFonts w:ascii="Segoe UI" w:hAnsi="Segoe UI" w:cs="Segoe UI"/>
                <w:color w:val="000000"/>
                <w:sz w:val="20"/>
                <w:shd w:val="clear" w:color="auto" w:fill="FFFFFF"/>
              </w:rPr>
            </w:pPr>
            <w:r w:rsidRPr="005E166D">
              <w:rPr>
                <w:rFonts w:ascii="Segoe UI" w:hAnsi="Segoe UI" w:cs="Segoe UI"/>
                <w:color w:val="000000"/>
                <w:sz w:val="20"/>
                <w:shd w:val="clear" w:color="auto" w:fill="FFFFFF"/>
              </w:rPr>
              <w:t>Количество ковриков в комплекте</w:t>
            </w:r>
            <w:r>
              <w:rPr>
                <w:rFonts w:ascii="Segoe UI" w:hAnsi="Segoe UI" w:cs="Segoe UI"/>
                <w:color w:val="000000"/>
                <w:sz w:val="20"/>
                <w:shd w:val="clear" w:color="auto" w:fill="FFFFFF"/>
              </w:rPr>
              <w:t xml:space="preserve"> - </w:t>
            </w:r>
            <w:r w:rsidRPr="005E166D">
              <w:rPr>
                <w:rFonts w:ascii="Segoe UI" w:hAnsi="Segoe UI" w:cs="Segoe UI"/>
                <w:color w:val="000000"/>
                <w:sz w:val="20"/>
                <w:shd w:val="clear" w:color="auto" w:fill="FFFFFF"/>
              </w:rPr>
              <w:t>4</w:t>
            </w:r>
          </w:p>
        </w:tc>
        <w:tc>
          <w:tcPr>
            <w:tcW w:w="993" w:type="dxa"/>
            <w:tcBorders>
              <w:top w:val="single" w:sz="4" w:space="0" w:color="000000"/>
              <w:left w:val="single" w:sz="4" w:space="0" w:color="000000"/>
            </w:tcBorders>
          </w:tcPr>
          <w:p w:rsidR="00C337DA" w:rsidRPr="00697A0C" w:rsidRDefault="00176BFD" w:rsidP="00482D3B">
            <w:pPr>
              <w:pStyle w:val="af1"/>
              <w:jc w:val="center"/>
              <w:rPr>
                <w:rFonts w:ascii="Times New Roman" w:hAnsi="Times New Roman" w:cs="Times New Roman"/>
                <w:sz w:val="20"/>
                <w:szCs w:val="20"/>
              </w:rPr>
            </w:pPr>
            <w:proofErr w:type="spellStart"/>
            <w:r>
              <w:rPr>
                <w:rFonts w:ascii="Times New Roman" w:hAnsi="Times New Roman" w:cs="Times New Roman"/>
                <w:sz w:val="16"/>
                <w:szCs w:val="16"/>
              </w:rPr>
              <w:t>комп</w:t>
            </w:r>
            <w:proofErr w:type="spellEnd"/>
          </w:p>
        </w:tc>
        <w:tc>
          <w:tcPr>
            <w:tcW w:w="992" w:type="dxa"/>
            <w:tcBorders>
              <w:top w:val="single" w:sz="4" w:space="0" w:color="000000"/>
              <w:left w:val="single" w:sz="4" w:space="0" w:color="000000"/>
            </w:tcBorders>
          </w:tcPr>
          <w:p w:rsidR="00C337DA" w:rsidRPr="00697A0C" w:rsidRDefault="00176BFD" w:rsidP="00482D3B">
            <w:pPr>
              <w:pStyle w:val="af1"/>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Borders>
              <w:top w:val="single" w:sz="4" w:space="0" w:color="000000"/>
              <w:left w:val="single" w:sz="4" w:space="0" w:color="000000"/>
            </w:tcBorders>
          </w:tcPr>
          <w:p w:rsidR="00176BFD" w:rsidRDefault="00C337DA" w:rsidP="00176BFD">
            <w:pPr>
              <w:jc w:val="both"/>
              <w:rPr>
                <w:color w:val="0D0D0D" w:themeColor="text1" w:themeTint="F2"/>
              </w:rPr>
            </w:pPr>
            <w:r>
              <w:rPr>
                <w:color w:val="000000"/>
                <w:shd w:val="clear" w:color="auto" w:fill="FFFFFF"/>
              </w:rPr>
              <w:t xml:space="preserve">           </w:t>
            </w:r>
            <w:r w:rsidR="00BA1F41" w:rsidRPr="009C2C18">
              <w:rPr>
                <w:rFonts w:ascii="Calibri" w:eastAsia="Times New Roman" w:hAnsi="Calibri" w:cs="Times New Roman"/>
                <w:color w:val="000000"/>
                <w:sz w:val="24"/>
                <w:szCs w:val="24"/>
                <w:shd w:val="clear" w:color="auto" w:fill="FFFFFF"/>
              </w:rPr>
              <w:t xml:space="preserve">   </w:t>
            </w:r>
            <w:r w:rsidR="00176BFD">
              <w:rPr>
                <w:color w:val="0D0D0D" w:themeColor="text1" w:themeTint="F2"/>
              </w:rPr>
              <w:t>срок годности на момент поставки не менее 3 лет.</w:t>
            </w:r>
          </w:p>
          <w:p w:rsidR="00BA1F41" w:rsidRDefault="00BA1F41" w:rsidP="00BA1F41">
            <w:pPr>
              <w:jc w:val="both"/>
              <w:rPr>
                <w:rFonts w:ascii="Calibri" w:eastAsia="Times New Roman" w:hAnsi="Calibri" w:cs="Times New Roman"/>
                <w:color w:val="000000"/>
                <w:shd w:val="clear" w:color="auto" w:fill="FFFFFF"/>
              </w:rPr>
            </w:pPr>
          </w:p>
          <w:p w:rsidR="00C337DA" w:rsidRPr="00F8688B" w:rsidRDefault="00C337DA" w:rsidP="00482D3B">
            <w:pPr>
              <w:pStyle w:val="af1"/>
              <w:jc w:val="center"/>
              <w:rPr>
                <w:rFonts w:ascii="Times New Roman" w:hAnsi="Times New Roman" w:cs="Times New Roman"/>
                <w:b/>
                <w:sz w:val="20"/>
                <w:szCs w:val="20"/>
              </w:rPr>
            </w:pPr>
          </w:p>
        </w:tc>
        <w:tc>
          <w:tcPr>
            <w:tcW w:w="1559" w:type="dxa"/>
            <w:tcBorders>
              <w:top w:val="single" w:sz="4" w:space="0" w:color="000000"/>
              <w:left w:val="single" w:sz="4" w:space="0" w:color="000000"/>
              <w:right w:val="single" w:sz="4" w:space="0" w:color="000000"/>
            </w:tcBorders>
          </w:tcPr>
          <w:p w:rsidR="00C337DA" w:rsidRDefault="00C337DA" w:rsidP="00482D3B">
            <w:pPr>
              <w:pStyle w:val="Style11"/>
              <w:widowControl/>
              <w:spacing w:line="240" w:lineRule="exact"/>
              <w:ind w:firstLine="0"/>
              <w:rPr>
                <w:sz w:val="16"/>
                <w:szCs w:val="16"/>
              </w:rPr>
            </w:pPr>
          </w:p>
          <w:p w:rsidR="00C337DA" w:rsidRPr="0065088B" w:rsidRDefault="00C337DA" w:rsidP="00482D3B">
            <w:pPr>
              <w:pStyle w:val="Style11"/>
              <w:widowControl/>
              <w:spacing w:line="240" w:lineRule="exact"/>
              <w:ind w:firstLine="0"/>
              <w:rPr>
                <w:sz w:val="16"/>
                <w:szCs w:val="16"/>
              </w:rPr>
            </w:pPr>
          </w:p>
          <w:p w:rsidR="00C337DA" w:rsidRPr="0065088B" w:rsidRDefault="00C337DA" w:rsidP="00A90ED6">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00BA1F41">
              <w:rPr>
                <w:rFonts w:eastAsia="Times New Roman"/>
                <w:sz w:val="16"/>
                <w:szCs w:val="16"/>
              </w:rPr>
              <w:t xml:space="preserve"> 5</w:t>
            </w:r>
            <w:r w:rsidRPr="0065088B">
              <w:rPr>
                <w:rFonts w:eastAsia="Times New Roman"/>
                <w:sz w:val="16"/>
                <w:szCs w:val="16"/>
              </w:rPr>
              <w:t xml:space="preserve"> рабочих дней с момента подписания государственного контракта.</w:t>
            </w: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97A0C" w:rsidRDefault="00C337DA" w:rsidP="00482D3B">
            <w:pPr>
              <w:pStyle w:val="Style11"/>
              <w:rPr>
                <w:sz w:val="20"/>
                <w:szCs w:val="20"/>
              </w:rPr>
            </w:pPr>
          </w:p>
        </w:tc>
        <w:tc>
          <w:tcPr>
            <w:tcW w:w="1656"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482D3B" w:rsidRPr="001708C3" w:rsidTr="00BA1F41">
        <w:trPr>
          <w:trHeight w:val="70"/>
        </w:trPr>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2409"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99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701"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656"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Pr="004A21FD"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176BFD" w:rsidRPr="00176BFD">
        <w:rPr>
          <w:szCs w:val="22"/>
        </w:rPr>
        <w:drawing>
          <wp:inline distT="0" distB="0" distL="0" distR="0">
            <wp:extent cx="9791700" cy="4054134"/>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054134"/>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5219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6BFD"/>
    <w:rsid w:val="00177703"/>
    <w:rsid w:val="0018616F"/>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1D41"/>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7B08"/>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1F41"/>
    <w:rsid w:val="00BA3D2C"/>
    <w:rsid w:val="00BA40C3"/>
    <w:rsid w:val="00BB0BB2"/>
    <w:rsid w:val="00BB3F02"/>
    <w:rsid w:val="00BB589E"/>
    <w:rsid w:val="00BC3B27"/>
    <w:rsid w:val="00BC5915"/>
    <w:rsid w:val="00BD5FE7"/>
    <w:rsid w:val="00BD77FA"/>
    <w:rsid w:val="00BD7C4C"/>
    <w:rsid w:val="00BE21D5"/>
    <w:rsid w:val="00BE2976"/>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3A8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478D6"/>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DF534C"/>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1F71"/>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26964062">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64658363">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578589886">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863589710">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D721-E617-43F3-9A13-70DFEB5B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12</cp:revision>
  <cp:lastPrinted>2026-03-26T06:00:00Z</cp:lastPrinted>
  <dcterms:created xsi:type="dcterms:W3CDTF">2025-10-23T07:41:00Z</dcterms:created>
  <dcterms:modified xsi:type="dcterms:W3CDTF">2026-05-26T13:48:00Z</dcterms:modified>
</cp:coreProperties>
</file>