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F63AC4" w:rsidRPr="00F63AC4" w:rsidRDefault="00F63AC4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F63AC4">
        <w:rPr>
          <w:b/>
          <w:sz w:val="22"/>
          <w:szCs w:val="22"/>
        </w:rPr>
        <w:t>Запасные части для автомобильной техники</w:t>
      </w:r>
      <w:r w:rsidRPr="00F63AC4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8726C3">
        <w:rPr>
          <w:b/>
          <w:bCs/>
          <w:color w:val="000000" w:themeColor="text1"/>
          <w:sz w:val="22"/>
          <w:szCs w:val="22"/>
        </w:rPr>
        <w:t>193</w:t>
      </w:r>
      <w:bookmarkStart w:id="0" w:name="_GoBack"/>
      <w:bookmarkEnd w:id="0"/>
      <w:r w:rsidR="003C37F5">
        <w:rPr>
          <w:b/>
          <w:bCs/>
          <w:color w:val="000000" w:themeColor="text1"/>
          <w:sz w:val="22"/>
          <w:szCs w:val="22"/>
        </w:rPr>
        <w:t>293</w:t>
      </w:r>
      <w:r w:rsidR="00F04B30">
        <w:rPr>
          <w:b/>
          <w:bCs/>
          <w:color w:val="000000" w:themeColor="text1"/>
          <w:sz w:val="22"/>
          <w:szCs w:val="22"/>
        </w:rPr>
        <w:t>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7F59B5">
        <w:rPr>
          <w:sz w:val="22"/>
          <w:szCs w:val="22"/>
        </w:rPr>
        <w:t>з</w:t>
      </w:r>
      <w:r w:rsidR="00F63AC4">
        <w:rPr>
          <w:sz w:val="22"/>
          <w:szCs w:val="22"/>
        </w:rPr>
        <w:t>апасные части для автомобильной техники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04B30">
        <w:rPr>
          <w:bCs/>
          <w:sz w:val="22"/>
          <w:szCs w:val="22"/>
        </w:rPr>
        <w:t>10</w:t>
      </w:r>
      <w:r w:rsidR="00572ABD">
        <w:rPr>
          <w:bCs/>
          <w:sz w:val="22"/>
          <w:szCs w:val="22"/>
        </w:rPr>
        <w:t xml:space="preserve"> </w:t>
      </w:r>
      <w:r w:rsidR="000859BE">
        <w:rPr>
          <w:bCs/>
          <w:sz w:val="22"/>
          <w:szCs w:val="22"/>
        </w:rPr>
        <w:t xml:space="preserve">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7F59B5">
        <w:rPr>
          <w:bCs/>
          <w:sz w:val="22"/>
          <w:szCs w:val="22"/>
        </w:rPr>
        <w:t xml:space="preserve">2.2. </w:t>
      </w:r>
      <w:r w:rsidR="001F01F4" w:rsidRPr="007F59B5">
        <w:rPr>
          <w:bCs/>
          <w:sz w:val="22"/>
          <w:szCs w:val="22"/>
        </w:rPr>
        <w:t>Место поставки</w:t>
      </w:r>
      <w:r w:rsidR="00EE5A9E" w:rsidRPr="007F59B5">
        <w:rPr>
          <w:bCs/>
          <w:sz w:val="22"/>
          <w:szCs w:val="22"/>
        </w:rPr>
        <w:t>:</w:t>
      </w:r>
      <w:r w:rsidR="00025313" w:rsidRPr="007F59B5">
        <w:rPr>
          <w:color w:val="000000"/>
          <w:sz w:val="22"/>
          <w:szCs w:val="22"/>
        </w:rPr>
        <w:t xml:space="preserve"> </w:t>
      </w:r>
      <w:r w:rsidR="007F59B5" w:rsidRPr="007F59B5">
        <w:rPr>
          <w:color w:val="000000"/>
          <w:sz w:val="22"/>
          <w:szCs w:val="22"/>
        </w:rPr>
        <w:t xml:space="preserve">142402 Московская обл., Богородский </w:t>
      </w:r>
      <w:r w:rsidR="00133455" w:rsidRPr="007F59B5">
        <w:rPr>
          <w:color w:val="000000"/>
          <w:sz w:val="22"/>
          <w:szCs w:val="22"/>
        </w:rPr>
        <w:t>г.</w:t>
      </w:r>
      <w:r w:rsidR="00133455">
        <w:rPr>
          <w:color w:val="000000"/>
          <w:sz w:val="22"/>
          <w:szCs w:val="22"/>
        </w:rPr>
        <w:t xml:space="preserve"> о.</w:t>
      </w:r>
      <w:r w:rsidR="00133455" w:rsidRPr="007F59B5">
        <w:rPr>
          <w:color w:val="000000"/>
          <w:sz w:val="22"/>
          <w:szCs w:val="22"/>
        </w:rPr>
        <w:t>,</w:t>
      </w:r>
      <w:r w:rsidR="00133455">
        <w:rPr>
          <w:color w:val="000000"/>
          <w:sz w:val="22"/>
          <w:szCs w:val="22"/>
        </w:rPr>
        <w:t xml:space="preserve"> </w:t>
      </w:r>
      <w:r w:rsidR="00133455" w:rsidRPr="007F59B5">
        <w:rPr>
          <w:color w:val="000000"/>
          <w:sz w:val="22"/>
          <w:szCs w:val="22"/>
        </w:rPr>
        <w:t>д.</w:t>
      </w:r>
      <w:r w:rsidR="007F59B5" w:rsidRPr="007F59B5">
        <w:rPr>
          <w:color w:val="000000"/>
          <w:sz w:val="22"/>
          <w:szCs w:val="22"/>
        </w:rPr>
        <w:t xml:space="preserve"> Жилино, ул. Строителей, ФГКУ «Ногинский спасательный центр МЧС России», КПП №4, автотранспортом Поставщика</w:t>
      </w:r>
      <w:r w:rsidR="007F59B5" w:rsidRPr="007F59B5">
        <w:rPr>
          <w:b/>
          <w:color w:val="000000"/>
          <w:sz w:val="22"/>
          <w:szCs w:val="22"/>
        </w:rPr>
        <w:t>.</w:t>
      </w:r>
      <w:r w:rsidR="007F59B5">
        <w:rPr>
          <w:b/>
          <w:color w:val="000000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</w:t>
      </w:r>
      <w:r w:rsidR="00133455" w:rsidRPr="00373399">
        <w:rPr>
          <w:color w:val="000000"/>
          <w:sz w:val="22"/>
          <w:szCs w:val="22"/>
        </w:rPr>
        <w:t>пропуск</w:t>
      </w:r>
      <w:r w:rsidR="00133455">
        <w:rPr>
          <w:color w:val="000000"/>
          <w:sz w:val="22"/>
          <w:szCs w:val="22"/>
        </w:rPr>
        <w:t xml:space="preserve"> </w:t>
      </w:r>
      <w:r w:rsidR="00133455" w:rsidRPr="00373399">
        <w:rPr>
          <w:color w:val="000000"/>
          <w:sz w:val="22"/>
          <w:szCs w:val="22"/>
        </w:rPr>
        <w:t>автотранспортного</w:t>
      </w:r>
      <w:r w:rsidR="00666570" w:rsidRPr="00373399">
        <w:rPr>
          <w:color w:val="000000"/>
          <w:sz w:val="22"/>
          <w:szCs w:val="22"/>
        </w:rPr>
        <w:t xml:space="preserve">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F63AC4">
        <w:rPr>
          <w:bCs/>
          <w:sz w:val="22"/>
          <w:szCs w:val="22"/>
        </w:rPr>
        <w:t>в соответствии с действующим законодательством РФ.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7F59B5" w:rsidRDefault="00C44FAF" w:rsidP="007F59B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53"/>
        <w:gridCol w:w="992"/>
        <w:gridCol w:w="992"/>
        <w:gridCol w:w="2466"/>
        <w:gridCol w:w="2268"/>
        <w:gridCol w:w="1730"/>
      </w:tblGrid>
      <w:tr w:rsidR="00D9079D" w:rsidRPr="00B33716" w:rsidTr="00D9079D">
        <w:trPr>
          <w:jc w:val="center"/>
        </w:trPr>
        <w:tc>
          <w:tcPr>
            <w:tcW w:w="1951" w:type="dxa"/>
            <w:vAlign w:val="center"/>
          </w:tcPr>
          <w:p w:rsidR="00D9079D" w:rsidRPr="00B33716" w:rsidRDefault="00D9079D" w:rsidP="00D9079D">
            <w:pPr>
              <w:ind w:left="920" w:hanging="920"/>
              <w:jc w:val="center"/>
              <w:rPr>
                <w:b/>
              </w:rPr>
            </w:pPr>
            <w:r w:rsidRPr="00B33716">
              <w:rPr>
                <w:b/>
              </w:rPr>
              <w:t>Предмет контракта</w:t>
            </w:r>
          </w:p>
        </w:tc>
        <w:tc>
          <w:tcPr>
            <w:tcW w:w="653" w:type="dxa"/>
            <w:vAlign w:val="center"/>
          </w:tcPr>
          <w:p w:rsidR="00D9079D" w:rsidRPr="00B33716" w:rsidRDefault="00D9079D" w:rsidP="004F421B">
            <w:pPr>
              <w:ind w:left="-121" w:right="-108"/>
              <w:jc w:val="center"/>
              <w:rPr>
                <w:b/>
              </w:rPr>
            </w:pPr>
            <w:r w:rsidRPr="00B33716">
              <w:rPr>
                <w:b/>
              </w:rPr>
              <w:t>№</w:t>
            </w:r>
          </w:p>
          <w:p w:rsidR="00D9079D" w:rsidRPr="00B33716" w:rsidRDefault="00D9079D" w:rsidP="004F421B">
            <w:pPr>
              <w:ind w:left="-121" w:right="-108"/>
              <w:jc w:val="center"/>
              <w:rPr>
                <w:b/>
              </w:rPr>
            </w:pPr>
            <w:r w:rsidRPr="00B33716">
              <w:rPr>
                <w:b/>
              </w:rPr>
              <w:t>п/п</w:t>
            </w:r>
          </w:p>
        </w:tc>
        <w:tc>
          <w:tcPr>
            <w:tcW w:w="992" w:type="dxa"/>
            <w:vAlign w:val="center"/>
          </w:tcPr>
          <w:p w:rsidR="00D9079D" w:rsidRPr="00B33716" w:rsidRDefault="00D9079D" w:rsidP="004F421B">
            <w:pPr>
              <w:ind w:left="-121" w:right="-108"/>
              <w:jc w:val="center"/>
              <w:rPr>
                <w:b/>
              </w:rPr>
            </w:pPr>
            <w:r w:rsidRPr="00B33716">
              <w:rPr>
                <w:b/>
              </w:rPr>
              <w:t>кол-во</w:t>
            </w:r>
          </w:p>
        </w:tc>
        <w:tc>
          <w:tcPr>
            <w:tcW w:w="992" w:type="dxa"/>
            <w:vAlign w:val="center"/>
          </w:tcPr>
          <w:p w:rsidR="00D9079D" w:rsidRPr="00B33716" w:rsidRDefault="00D9079D" w:rsidP="004F421B">
            <w:pPr>
              <w:ind w:left="-121" w:right="-108"/>
              <w:jc w:val="center"/>
              <w:rPr>
                <w:b/>
              </w:rPr>
            </w:pPr>
            <w:r w:rsidRPr="00B33716">
              <w:rPr>
                <w:b/>
              </w:rPr>
              <w:t>Ед. изм.</w:t>
            </w:r>
          </w:p>
        </w:tc>
        <w:tc>
          <w:tcPr>
            <w:tcW w:w="2466" w:type="dxa"/>
            <w:vAlign w:val="center"/>
          </w:tcPr>
          <w:p w:rsidR="00D9079D" w:rsidRPr="00B33716" w:rsidRDefault="00D9079D" w:rsidP="004F421B">
            <w:pPr>
              <w:jc w:val="center"/>
              <w:rPr>
                <w:b/>
              </w:rPr>
            </w:pPr>
            <w:r w:rsidRPr="00B33716">
              <w:rPr>
                <w:b/>
              </w:rPr>
              <w:t>Наименование характеристик товара</w:t>
            </w:r>
          </w:p>
        </w:tc>
        <w:tc>
          <w:tcPr>
            <w:tcW w:w="2268" w:type="dxa"/>
          </w:tcPr>
          <w:p w:rsidR="00D9079D" w:rsidRPr="00B33716" w:rsidRDefault="00D9079D" w:rsidP="004F421B">
            <w:pPr>
              <w:jc w:val="center"/>
              <w:rPr>
                <w:b/>
              </w:rPr>
            </w:pPr>
            <w:r w:rsidRPr="00B33716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730" w:type="dxa"/>
          </w:tcPr>
          <w:p w:rsidR="00D9079D" w:rsidRPr="00B33716" w:rsidRDefault="00D9079D" w:rsidP="004F421B">
            <w:pPr>
              <w:jc w:val="center"/>
              <w:rPr>
                <w:b/>
              </w:rPr>
            </w:pPr>
            <w:r w:rsidRPr="00B33716">
              <w:rPr>
                <w:b/>
              </w:rPr>
              <w:t>Требования к значению показателя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  <w:r>
              <w:t>Запасные части для автомобильной техники</w:t>
            </w:r>
          </w:p>
        </w:tc>
        <w:tc>
          <w:tcPr>
            <w:tcW w:w="653" w:type="dxa"/>
            <w:vMerge w:val="restart"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>
              <w:t>30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>
              <w:t>к-т.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D9079D" w:rsidRDefault="00D9079D" w:rsidP="004F421B">
            <w:pPr>
              <w:jc w:val="center"/>
            </w:pPr>
            <w:r>
              <w:t>Комплект ф</w:t>
            </w:r>
            <w:r w:rsidRPr="006805B9">
              <w:t>онар</w:t>
            </w:r>
            <w:r>
              <w:t xml:space="preserve">ей </w:t>
            </w:r>
            <w:r w:rsidRPr="006805B9">
              <w:t>светодиодны</w:t>
            </w:r>
            <w:r>
              <w:t>х</w:t>
            </w:r>
            <w:r w:rsidRPr="006805B9">
              <w:t xml:space="preserve"> </w:t>
            </w:r>
            <w:r>
              <w:t xml:space="preserve">6 LED стробоскоп оранжевый </w:t>
            </w:r>
            <w:r w:rsidRPr="006805B9">
              <w:t>12-24 V.</w:t>
            </w:r>
            <w:r>
              <w:t xml:space="preserve"> (комплект 2шт.)</w:t>
            </w:r>
          </w:p>
          <w:p w:rsidR="00D9079D" w:rsidRPr="00E40B1F" w:rsidRDefault="00D9079D" w:rsidP="004F421B">
            <w:pPr>
              <w:jc w:val="center"/>
              <w:rPr>
                <w:rStyle w:val="aff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Каталожный номер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 w:rsidRPr="006805B9">
              <w:rPr>
                <w:color w:val="000000"/>
                <w:shd w:val="clear" w:color="auto" w:fill="FFFFFF"/>
              </w:rPr>
              <w:t>LT861526-2</w:t>
            </w:r>
            <w:r w:rsidRPr="00E40B1F">
              <w:rPr>
                <w:color w:val="000000"/>
                <w:shd w:val="clear" w:color="auto" w:fill="FFFFFF"/>
              </w:rPr>
              <w:t xml:space="preserve"> </w:t>
            </w:r>
            <w:r w:rsidRPr="00E40B1F">
              <w:rPr>
                <w:color w:val="000000"/>
              </w:rPr>
              <w:t>или эквивалент</w:t>
            </w:r>
          </w:p>
        </w:tc>
      </w:tr>
      <w:tr w:rsidR="00D9079D" w:rsidRPr="00E40B1F" w:rsidTr="00D9079D">
        <w:trPr>
          <w:trHeight w:val="765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Применимость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</w:rPr>
            </w:pPr>
            <w:r w:rsidRPr="00E40B1F">
              <w:rPr>
                <w:color w:val="000000"/>
              </w:rPr>
              <w:t xml:space="preserve">Предназначено для </w:t>
            </w:r>
            <w:r>
              <w:rPr>
                <w:color w:val="000000"/>
              </w:rPr>
              <w:t xml:space="preserve">полуприцеп </w:t>
            </w:r>
            <w:r w:rsidRPr="006805B9">
              <w:rPr>
                <w:color w:val="000000"/>
              </w:rPr>
              <w:t>ЧМЗАП 99904-999042</w:t>
            </w:r>
          </w:p>
        </w:tc>
      </w:tr>
      <w:tr w:rsidR="00D9079D" w:rsidRPr="00E40B1F" w:rsidTr="00D9079D">
        <w:trPr>
          <w:trHeight w:val="649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Страна происхождения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 w:val="restart"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>
              <w:t>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 w:rsidRPr="00E40B1F">
              <w:t>шт.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D9079D" w:rsidRDefault="00D9079D" w:rsidP="004F421B">
            <w:pPr>
              <w:jc w:val="center"/>
            </w:pPr>
            <w:r w:rsidRPr="006805B9">
              <w:t>Фонарь контурный желтый 12/24V светодиодный</w:t>
            </w:r>
          </w:p>
          <w:p w:rsidR="00D9079D" w:rsidRPr="00E40B1F" w:rsidRDefault="00D9079D" w:rsidP="004F421B">
            <w:pPr>
              <w:jc w:val="center"/>
              <w:rPr>
                <w:rStyle w:val="aff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Каталожный номер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 w:rsidRPr="006805B9">
              <w:rPr>
                <w:color w:val="000000"/>
                <w:shd w:val="clear" w:color="auto" w:fill="FFFFFF"/>
              </w:rPr>
              <w:t>91.3731010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40B1F">
              <w:rPr>
                <w:color w:val="000000"/>
              </w:rPr>
              <w:t>или эквивалент</w:t>
            </w:r>
          </w:p>
        </w:tc>
      </w:tr>
      <w:tr w:rsidR="00D9079D" w:rsidRPr="00E40B1F" w:rsidTr="00D9079D">
        <w:trPr>
          <w:trHeight w:val="925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Применимость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</w:rPr>
            </w:pPr>
            <w:r w:rsidRPr="00E40B1F">
              <w:rPr>
                <w:color w:val="000000"/>
              </w:rPr>
              <w:t xml:space="preserve">Предназначено для автомобиля </w:t>
            </w:r>
          </w:p>
          <w:p w:rsidR="00D9079D" w:rsidRPr="00E40B1F" w:rsidRDefault="00D9079D" w:rsidP="004F42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Урал-4320</w:t>
            </w:r>
          </w:p>
        </w:tc>
      </w:tr>
      <w:tr w:rsidR="00D9079D" w:rsidRPr="00E40B1F" w:rsidTr="00D9079D">
        <w:trPr>
          <w:trHeight w:val="610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Страна происхождения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 w:val="restart"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 w:rsidRPr="00E40B1F">
              <w:t>шт.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D9079D" w:rsidRDefault="00D9079D" w:rsidP="004F421B">
            <w:pPr>
              <w:jc w:val="center"/>
            </w:pPr>
            <w:r w:rsidRPr="00C4199E">
              <w:t>Фара</w:t>
            </w:r>
          </w:p>
          <w:p w:rsidR="00D9079D" w:rsidRPr="00E40B1F" w:rsidRDefault="00D9079D" w:rsidP="004F421B">
            <w:pPr>
              <w:jc w:val="center"/>
              <w:rPr>
                <w:rStyle w:val="aff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Каталожный номер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 w:rsidRPr="00C4199E">
              <w:rPr>
                <w:color w:val="000000"/>
                <w:shd w:val="clear" w:color="auto" w:fill="FFFFFF"/>
              </w:rPr>
              <w:t>62.3711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40B1F">
              <w:rPr>
                <w:color w:val="000000"/>
              </w:rPr>
              <w:t>или эквивалент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Применимость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</w:rPr>
            </w:pPr>
            <w:r w:rsidRPr="00E40B1F">
              <w:rPr>
                <w:color w:val="000000"/>
              </w:rPr>
              <w:t xml:space="preserve">Предназначено для автомобиля </w:t>
            </w:r>
          </w:p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УАЗ -3151 Хантер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Страна происхождения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 w:val="restart"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 w:rsidRPr="00E40B1F">
              <w:t>шт.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D9079D" w:rsidRDefault="00D9079D" w:rsidP="004F421B">
            <w:pPr>
              <w:jc w:val="center"/>
            </w:pPr>
            <w:r>
              <w:t xml:space="preserve">Фара </w:t>
            </w:r>
            <w:r w:rsidRPr="009E1151">
              <w:t>противотуманн</w:t>
            </w:r>
            <w:r>
              <w:t>ая</w:t>
            </w:r>
          </w:p>
          <w:p w:rsidR="00D9079D" w:rsidRDefault="00D9079D" w:rsidP="004F421B">
            <w:pPr>
              <w:jc w:val="center"/>
            </w:pPr>
            <w:r w:rsidRPr="009E1151">
              <w:t xml:space="preserve"> бел</w:t>
            </w:r>
            <w:r>
              <w:t>ая</w:t>
            </w:r>
            <w:r w:rsidRPr="009E1151">
              <w:t xml:space="preserve"> </w:t>
            </w:r>
          </w:p>
          <w:p w:rsidR="00D9079D" w:rsidRPr="00E40B1F" w:rsidRDefault="00D9079D" w:rsidP="004F421B">
            <w:pPr>
              <w:jc w:val="center"/>
              <w:rPr>
                <w:rStyle w:val="aff2"/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Каталожный номер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 w:rsidRPr="009E1151">
              <w:rPr>
                <w:color w:val="000000"/>
                <w:shd w:val="clear" w:color="auto" w:fill="FFFFFF"/>
              </w:rPr>
              <w:t>ТH105-02</w:t>
            </w:r>
            <w:r w:rsidRPr="00E40B1F">
              <w:rPr>
                <w:color w:val="000000"/>
                <w:shd w:val="clear" w:color="auto" w:fill="FFFFFF"/>
              </w:rPr>
              <w:t xml:space="preserve"> </w:t>
            </w:r>
            <w:r w:rsidRPr="00E40B1F">
              <w:rPr>
                <w:color w:val="000000"/>
              </w:rPr>
              <w:t>или эквивалент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Применимость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</w:rPr>
            </w:pPr>
            <w:r w:rsidRPr="00E40B1F">
              <w:rPr>
                <w:color w:val="000000"/>
              </w:rPr>
              <w:t xml:space="preserve">Предназначено для автомобиля </w:t>
            </w:r>
          </w:p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УАЗ -3151 Хантер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Страна происхождения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 w:val="restart"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079D" w:rsidRPr="00E40B1F" w:rsidRDefault="00D9079D" w:rsidP="004F421B">
            <w:pPr>
              <w:jc w:val="center"/>
            </w:pPr>
            <w:r w:rsidRPr="00E40B1F">
              <w:t>шт.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D9079D" w:rsidRDefault="00D9079D" w:rsidP="004F421B">
            <w:pPr>
              <w:jc w:val="center"/>
            </w:pPr>
            <w:r>
              <w:t>Светодиодный п</w:t>
            </w:r>
            <w:r w:rsidRPr="00914758">
              <w:t>роблесковый маяк</w:t>
            </w:r>
            <w:r>
              <w:t xml:space="preserve"> синий</w:t>
            </w:r>
          </w:p>
          <w:p w:rsidR="00D9079D" w:rsidRPr="00E40B1F" w:rsidRDefault="00D9079D" w:rsidP="00D9079D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Каталожный номер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 w:rsidRPr="00914758">
              <w:rPr>
                <w:color w:val="000000"/>
                <w:shd w:val="clear" w:color="auto" w:fill="FFFFFF"/>
              </w:rPr>
              <w:t>12М/24М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40B1F">
              <w:rPr>
                <w:color w:val="000000"/>
              </w:rPr>
              <w:t>или эквивалент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Применимость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</w:rPr>
            </w:pPr>
            <w:r w:rsidRPr="00E40B1F">
              <w:rPr>
                <w:color w:val="000000"/>
              </w:rPr>
              <w:t xml:space="preserve">Предназначено для автомобиля </w:t>
            </w:r>
          </w:p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АСМ ГАЗ-27057</w:t>
            </w:r>
          </w:p>
        </w:tc>
      </w:tr>
      <w:tr w:rsidR="00D9079D" w:rsidRPr="00E40B1F" w:rsidTr="00D9079D">
        <w:trPr>
          <w:trHeight w:val="227"/>
          <w:jc w:val="center"/>
        </w:trPr>
        <w:tc>
          <w:tcPr>
            <w:tcW w:w="1951" w:type="dxa"/>
            <w:vMerge/>
            <w:shd w:val="clear" w:color="auto" w:fill="FFFFFF"/>
            <w:vAlign w:val="center"/>
          </w:tcPr>
          <w:p w:rsidR="00D9079D" w:rsidRPr="00B33716" w:rsidRDefault="00D9079D" w:rsidP="004F421B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shd w:val="clear" w:color="auto" w:fill="auto"/>
          </w:tcPr>
          <w:p w:rsidR="00D9079D" w:rsidRPr="00E40B1F" w:rsidRDefault="00D9079D" w:rsidP="00D9079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85" w:hanging="60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466" w:type="dxa"/>
            <w:vMerge/>
            <w:shd w:val="clear" w:color="auto" w:fill="auto"/>
          </w:tcPr>
          <w:p w:rsidR="00D9079D" w:rsidRPr="00E40B1F" w:rsidRDefault="00D9079D" w:rsidP="004F42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9079D" w:rsidRPr="00E40B1F" w:rsidRDefault="00D9079D" w:rsidP="004F421B">
            <w:pPr>
              <w:rPr>
                <w:shd w:val="clear" w:color="auto" w:fill="FFFFFF"/>
              </w:rPr>
            </w:pPr>
            <w:r w:rsidRPr="00E40B1F">
              <w:t>Страна происхождения</w:t>
            </w:r>
          </w:p>
        </w:tc>
        <w:tc>
          <w:tcPr>
            <w:tcW w:w="1730" w:type="dxa"/>
            <w:shd w:val="clear" w:color="auto" w:fill="auto"/>
          </w:tcPr>
          <w:p w:rsidR="00D9079D" w:rsidRPr="00E40B1F" w:rsidRDefault="00D9079D" w:rsidP="004F421B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F63AC4" w:rsidRDefault="00F63AC4" w:rsidP="00224635">
      <w:pPr>
        <w:rPr>
          <w:b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F63AC4" w:rsidRPr="00AE0F5D" w:rsidRDefault="003A1257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1D2D71">
        <w:rPr>
          <w:bCs/>
          <w:sz w:val="22"/>
          <w:szCs w:val="22"/>
        </w:rPr>
        <w:t xml:space="preserve">                           </w:t>
      </w: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3E410A" w:rsidRPr="00A13760" w:rsidRDefault="003E410A" w:rsidP="00A13760">
      <w:pPr>
        <w:jc w:val="center"/>
        <w:rPr>
          <w:b/>
          <w:bCs/>
          <w:sz w:val="22"/>
          <w:szCs w:val="22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2833"/>
        <w:gridCol w:w="993"/>
        <w:gridCol w:w="712"/>
        <w:gridCol w:w="1562"/>
        <w:gridCol w:w="1687"/>
      </w:tblGrid>
      <w:tr w:rsidR="00A13760" w:rsidRPr="003E410A" w:rsidTr="00133455">
        <w:trPr>
          <w:trHeight w:val="487"/>
        </w:trPr>
        <w:tc>
          <w:tcPr>
            <w:tcW w:w="904" w:type="pct"/>
            <w:vAlign w:val="center"/>
          </w:tcPr>
          <w:p w:rsidR="008E7E54" w:rsidRPr="003E410A" w:rsidRDefault="008E7E54" w:rsidP="000D4C51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278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89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87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349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66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827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9340AE" w:rsidRPr="003E410A" w:rsidTr="001D2D71">
        <w:trPr>
          <w:trHeight w:val="146"/>
        </w:trPr>
        <w:tc>
          <w:tcPr>
            <w:tcW w:w="904" w:type="pct"/>
            <w:vMerge w:val="restart"/>
            <w:vAlign w:val="center"/>
          </w:tcPr>
          <w:p w:rsidR="009340AE" w:rsidRPr="003E410A" w:rsidRDefault="009340AE" w:rsidP="00A13760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3E410A">
              <w:rPr>
                <w:sz w:val="22"/>
                <w:szCs w:val="22"/>
              </w:rPr>
              <w:t>Запасные части для автомобильной техники</w:t>
            </w:r>
          </w:p>
        </w:tc>
        <w:tc>
          <w:tcPr>
            <w:tcW w:w="278" w:type="pct"/>
          </w:tcPr>
          <w:p w:rsidR="009340AE" w:rsidRPr="003E410A" w:rsidRDefault="009340AE" w:rsidP="001D2D71">
            <w:pPr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389" w:type="pct"/>
            <w:vAlign w:val="center"/>
          </w:tcPr>
          <w:p w:rsidR="009340AE" w:rsidRPr="003C37F5" w:rsidRDefault="00D9079D" w:rsidP="00D9079D">
            <w:pPr>
              <w:jc w:val="center"/>
              <w:rPr>
                <w:sz w:val="22"/>
                <w:szCs w:val="22"/>
              </w:rPr>
            </w:pPr>
            <w:r w:rsidRPr="00D9079D">
              <w:rPr>
                <w:sz w:val="22"/>
                <w:szCs w:val="22"/>
              </w:rPr>
              <w:t>Комплект фонарей светодиодных 6 LED стробоскоп оранжевый 12-24 V. (комплект 2шт.)</w:t>
            </w:r>
          </w:p>
        </w:tc>
        <w:tc>
          <w:tcPr>
            <w:tcW w:w="487" w:type="pct"/>
            <w:vAlign w:val="center"/>
          </w:tcPr>
          <w:p w:rsidR="009340AE" w:rsidRPr="003E410A" w:rsidRDefault="00D9079D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49" w:type="pct"/>
            <w:vAlign w:val="center"/>
          </w:tcPr>
          <w:p w:rsidR="009340AE" w:rsidRPr="003E410A" w:rsidRDefault="00D9079D" w:rsidP="004C46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к-т</w:t>
            </w:r>
            <w:r w:rsidR="009340AE" w:rsidRPr="003E410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1D2D71">
            <w:pPr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A13760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Pr="003E410A" w:rsidRDefault="009340AE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389" w:type="pct"/>
            <w:vAlign w:val="center"/>
          </w:tcPr>
          <w:p w:rsidR="009340AE" w:rsidRPr="003C37F5" w:rsidRDefault="00D9079D" w:rsidP="00D9079D">
            <w:pPr>
              <w:jc w:val="center"/>
              <w:rPr>
                <w:sz w:val="22"/>
                <w:szCs w:val="22"/>
              </w:rPr>
            </w:pPr>
            <w:r w:rsidRPr="00D9079D">
              <w:rPr>
                <w:sz w:val="22"/>
                <w:szCs w:val="22"/>
              </w:rPr>
              <w:t>Фонарь контурный желтый 12/24V светодиодный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9079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4C463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389" w:type="pct"/>
            <w:vAlign w:val="center"/>
          </w:tcPr>
          <w:p w:rsidR="009340AE" w:rsidRPr="003C37F5" w:rsidRDefault="00D9079D" w:rsidP="00D9079D">
            <w:pPr>
              <w:jc w:val="center"/>
              <w:rPr>
                <w:sz w:val="22"/>
                <w:szCs w:val="22"/>
              </w:rPr>
            </w:pPr>
            <w:r w:rsidRPr="00D9079D">
              <w:rPr>
                <w:sz w:val="22"/>
                <w:szCs w:val="22"/>
              </w:rPr>
              <w:t>Фара</w:t>
            </w:r>
          </w:p>
        </w:tc>
        <w:tc>
          <w:tcPr>
            <w:tcW w:w="487" w:type="pct"/>
            <w:vAlign w:val="center"/>
          </w:tcPr>
          <w:p w:rsidR="009340AE" w:rsidRPr="003E410A" w:rsidRDefault="00D9079D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389" w:type="pct"/>
            <w:vAlign w:val="center"/>
          </w:tcPr>
          <w:p w:rsidR="00D9079D" w:rsidRPr="00D9079D" w:rsidRDefault="00D9079D" w:rsidP="00D9079D">
            <w:pPr>
              <w:jc w:val="center"/>
              <w:rPr>
                <w:sz w:val="22"/>
                <w:szCs w:val="22"/>
              </w:rPr>
            </w:pPr>
            <w:r w:rsidRPr="00D9079D">
              <w:rPr>
                <w:sz w:val="22"/>
                <w:szCs w:val="22"/>
              </w:rPr>
              <w:t>Фара противотуманная</w:t>
            </w:r>
          </w:p>
          <w:p w:rsidR="009340AE" w:rsidRPr="003C37F5" w:rsidRDefault="00D9079D" w:rsidP="00D9079D">
            <w:pPr>
              <w:jc w:val="center"/>
              <w:rPr>
                <w:sz w:val="22"/>
                <w:szCs w:val="22"/>
              </w:rPr>
            </w:pPr>
            <w:r w:rsidRPr="00D9079D">
              <w:rPr>
                <w:sz w:val="22"/>
                <w:szCs w:val="22"/>
              </w:rPr>
              <w:t xml:space="preserve"> белая </w:t>
            </w:r>
          </w:p>
        </w:tc>
        <w:tc>
          <w:tcPr>
            <w:tcW w:w="487" w:type="pct"/>
            <w:vAlign w:val="center"/>
          </w:tcPr>
          <w:p w:rsidR="009340AE" w:rsidRPr="003E410A" w:rsidRDefault="00D9079D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389" w:type="pct"/>
            <w:vAlign w:val="center"/>
          </w:tcPr>
          <w:p w:rsidR="009340AE" w:rsidRPr="003C37F5" w:rsidRDefault="00D9079D" w:rsidP="00D9079D">
            <w:pPr>
              <w:jc w:val="center"/>
              <w:rPr>
                <w:sz w:val="22"/>
                <w:szCs w:val="22"/>
              </w:rPr>
            </w:pPr>
            <w:r w:rsidRPr="00D9079D">
              <w:rPr>
                <w:sz w:val="22"/>
                <w:szCs w:val="22"/>
              </w:rPr>
              <w:t>Светодиодный проблесковый маяк синий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20657" w:rsidRPr="00AE0F5D" w:rsidRDefault="00E20657" w:rsidP="003C37F5">
      <w:pPr>
        <w:pStyle w:val="a9"/>
        <w:ind w:firstLine="0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4D17CD" w:rsidRDefault="004D17CD" w:rsidP="00B12D31">
      <w:pPr>
        <w:jc w:val="right"/>
        <w:rPr>
          <w:bCs/>
          <w:sz w:val="22"/>
          <w:szCs w:val="22"/>
        </w:rPr>
      </w:pPr>
    </w:p>
    <w:p w:rsidR="004D17CD" w:rsidRDefault="004D17CD" w:rsidP="00B12D31">
      <w:pPr>
        <w:jc w:val="right"/>
        <w:rPr>
          <w:bCs/>
          <w:sz w:val="22"/>
          <w:szCs w:val="22"/>
        </w:rPr>
      </w:pPr>
    </w:p>
    <w:p w:rsidR="004D17CD" w:rsidRDefault="004D17CD" w:rsidP="00B12D31">
      <w:pPr>
        <w:jc w:val="right"/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3E410A" w:rsidRDefault="003E410A" w:rsidP="00695961">
      <w:pPr>
        <w:jc w:val="right"/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71" w:rsidRDefault="001D2D71" w:rsidP="003A1257">
      <w:r>
        <w:separator/>
      </w:r>
    </w:p>
  </w:endnote>
  <w:endnote w:type="continuationSeparator" w:id="0">
    <w:p w:rsidR="001D2D71" w:rsidRDefault="001D2D71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71" w:rsidRDefault="001D2D71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8726C3">
      <w:rPr>
        <w:rFonts w:ascii="Liberation Serif" w:hAnsi="Liberation Serif"/>
        <w:noProof/>
      </w:rPr>
      <w:t>1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71" w:rsidRDefault="001D2D71" w:rsidP="003A1257">
      <w:r>
        <w:separator/>
      </w:r>
    </w:p>
  </w:footnote>
  <w:footnote w:type="continuationSeparator" w:id="0">
    <w:p w:rsidR="001D2D71" w:rsidRDefault="001D2D71" w:rsidP="003A1257">
      <w:r>
        <w:continuationSeparator/>
      </w:r>
    </w:p>
  </w:footnote>
  <w:footnote w:id="1">
    <w:p w:rsidR="001D2D71" w:rsidRDefault="001D2D71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1D2D71" w:rsidRDefault="001D2D71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1D2D71" w:rsidRDefault="001D2D71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5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5"/>
  </w:num>
  <w:num w:numId="4">
    <w:abstractNumId w:val="6"/>
  </w:num>
  <w:num w:numId="5">
    <w:abstractNumId w:val="24"/>
  </w:num>
  <w:num w:numId="6">
    <w:abstractNumId w:val="1"/>
  </w:num>
  <w:num w:numId="7">
    <w:abstractNumId w:val="34"/>
  </w:num>
  <w:num w:numId="8">
    <w:abstractNumId w:val="37"/>
  </w:num>
  <w:num w:numId="9">
    <w:abstractNumId w:val="22"/>
  </w:num>
  <w:num w:numId="10">
    <w:abstractNumId w:val="23"/>
  </w:num>
  <w:num w:numId="11">
    <w:abstractNumId w:val="18"/>
  </w:num>
  <w:num w:numId="12">
    <w:abstractNumId w:val="31"/>
  </w:num>
  <w:num w:numId="13">
    <w:abstractNumId w:val="36"/>
  </w:num>
  <w:num w:numId="14">
    <w:abstractNumId w:val="15"/>
  </w:num>
  <w:num w:numId="15">
    <w:abstractNumId w:val="3"/>
  </w:num>
  <w:num w:numId="16">
    <w:abstractNumId w:val="3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21"/>
  </w:num>
  <w:num w:numId="22">
    <w:abstractNumId w:val="28"/>
  </w:num>
  <w:num w:numId="23">
    <w:abstractNumId w:val="12"/>
  </w:num>
  <w:num w:numId="24">
    <w:abstractNumId w:val="16"/>
  </w:num>
  <w:num w:numId="25">
    <w:abstractNumId w:val="33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6"/>
  </w:num>
  <w:num w:numId="32">
    <w:abstractNumId w:val="19"/>
  </w:num>
  <w:num w:numId="33">
    <w:abstractNumId w:val="14"/>
  </w:num>
  <w:num w:numId="34">
    <w:abstractNumId w:val="30"/>
  </w:num>
  <w:num w:numId="35">
    <w:abstractNumId w:val="27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38"/>
  </w:num>
  <w:num w:numId="41">
    <w:abstractNumId w:val="3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3455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2D71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25B87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C37F5"/>
    <w:rsid w:val="003D0C95"/>
    <w:rsid w:val="003D3CDC"/>
    <w:rsid w:val="003D6DD8"/>
    <w:rsid w:val="003D6FD5"/>
    <w:rsid w:val="003E20A1"/>
    <w:rsid w:val="003E410A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17CD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163F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B51DA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5DF4"/>
    <w:rsid w:val="007A0AB0"/>
    <w:rsid w:val="007A6C5A"/>
    <w:rsid w:val="007C0AD5"/>
    <w:rsid w:val="007D1CC0"/>
    <w:rsid w:val="007D3D74"/>
    <w:rsid w:val="007E1D07"/>
    <w:rsid w:val="007F37BC"/>
    <w:rsid w:val="007F59B5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726C3"/>
    <w:rsid w:val="008801BB"/>
    <w:rsid w:val="0088585F"/>
    <w:rsid w:val="00885FA7"/>
    <w:rsid w:val="00892CF9"/>
    <w:rsid w:val="008A33D9"/>
    <w:rsid w:val="008A5DA6"/>
    <w:rsid w:val="008B5C53"/>
    <w:rsid w:val="008C3287"/>
    <w:rsid w:val="008C3347"/>
    <w:rsid w:val="008C338D"/>
    <w:rsid w:val="008C33F5"/>
    <w:rsid w:val="008C444A"/>
    <w:rsid w:val="008D0A10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40AE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774"/>
    <w:rsid w:val="00D34A81"/>
    <w:rsid w:val="00D41AE3"/>
    <w:rsid w:val="00D517BA"/>
    <w:rsid w:val="00D51827"/>
    <w:rsid w:val="00D7217E"/>
    <w:rsid w:val="00D7477A"/>
    <w:rsid w:val="00D74B6C"/>
    <w:rsid w:val="00D74FD6"/>
    <w:rsid w:val="00D9079D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2787"/>
    <w:rsid w:val="00E1472A"/>
    <w:rsid w:val="00E15370"/>
    <w:rsid w:val="00E15606"/>
    <w:rsid w:val="00E20657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04B30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4A027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2D1B-D0E6-4D09-896E-A70C391B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15</Pages>
  <Words>7157</Words>
  <Characters>40801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168</cp:revision>
  <cp:lastPrinted>2018-10-24T12:25:00Z</cp:lastPrinted>
  <dcterms:created xsi:type="dcterms:W3CDTF">2024-03-06T07:03:00Z</dcterms:created>
  <dcterms:modified xsi:type="dcterms:W3CDTF">2026-05-28T06:36:00Z</dcterms:modified>
</cp:coreProperties>
</file>