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tabs>
          <w:tab w:val="clear" w:pos="708"/>
          <w:tab w:val="left" w:pos="1701" w:leader="none"/>
        </w:tabs>
        <w:spacing w:before="0" w:after="0"/>
        <w:ind w:firstLine="851"/>
        <w:jc w:val="right"/>
        <w:rPr>
          <w:b/>
          <w:bCs/>
          <w:sz w:val="24"/>
          <w:szCs w:val="24"/>
          <w:lang w:val="ru-RU"/>
        </w:rPr>
      </w:pPr>
      <w:r>
        <w:rPr>
          <w:b/>
          <w:bCs/>
          <w:sz w:val="24"/>
          <w:szCs w:val="24"/>
          <w:lang w:val="ru-RU"/>
        </w:rPr>
      </w:r>
    </w:p>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 xml:space="preserve">на </w:t>
      </w:r>
      <w:r>
        <w:rPr>
          <w:b/>
          <w:sz w:val="24"/>
          <w:szCs w:val="24"/>
          <w:lang w:val="ru-RU" w:eastAsia="ru-RU"/>
        </w:rPr>
        <w:t>поставку накопителя данных внутреннего</w:t>
      </w:r>
    </w:p>
    <w:p>
      <w:pPr>
        <w:pStyle w:val="Normal"/>
        <w:spacing w:before="0" w:after="0"/>
        <w:ind w:firstLine="567" w:left="-567"/>
        <w:jc w:val="center"/>
        <w:rPr>
          <w:b/>
          <w:sz w:val="24"/>
          <w:szCs w:val="24"/>
          <w:lang w:val="ru-RU" w:eastAsia="ru-RU"/>
        </w:rPr>
      </w:pPr>
      <w:r>
        <w:rPr>
          <w:b/>
          <w:sz w:val="24"/>
          <w:szCs w:val="24"/>
          <w:lang w:val="ru-RU" w:eastAsia="ru-RU"/>
        </w:rPr>
        <w:t xml:space="preserve">для восстановления работоспособности моноблока </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261770317288877030100100430000000242</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1"/>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накопитель данных внутренний (далее - Товар), а Государственный заказчик обязуется принять и оплатить Товар в порядке и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1"/>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40"/>
      <w:bookmarkStart w:id="2" w:name="Par1457"/>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16906051240390059242</w:t>
      </w:r>
    </w:p>
    <w:p>
      <w:pPr>
        <w:pStyle w:val="ConsPlusNormal1"/>
        <w:ind w:hanging="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1"/>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со дня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1"/>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2"/>
      <w:bookmarkStart w:id="15" w:name="Par1504"/>
      <w:bookmarkStart w:id="16" w:name="Par1505"/>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07"/>
      <w:bookmarkStart w:id="18" w:name="Par1508"/>
      <w:bookmarkStart w:id="19" w:name="Par1511"/>
      <w:bookmarkStart w:id="20" w:name="Par1512"/>
      <w:bookmarkStart w:id="21" w:name="Par1515"/>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sz w:val="24"/>
          <w:szCs w:val="24"/>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Normal"/>
        <w:spacing w:before="0" w:after="0"/>
        <w:jc w:val="both"/>
        <w:rPr/>
      </w:pPr>
      <w:r>
        <w:rPr>
          <w:sz w:val="24"/>
          <w:szCs w:val="24"/>
          <w:lang w:val="ru-RU"/>
        </w:rPr>
        <w:tab/>
        <w:t xml:space="preserve">При исполнении Контракта не допускается замена </w:t>
      </w:r>
      <w:r>
        <w:rPr>
          <w:b w:val="false"/>
          <w:sz w:val="24"/>
          <w:szCs w:val="24"/>
        </w:rPr>
        <w:t>радиоэлектронной продукции, признаваемой в соответствии с</w:t>
      </w:r>
      <w:r>
        <w:rPr>
          <w:b w:val="false"/>
          <w:sz w:val="24"/>
          <w:szCs w:val="24"/>
          <w:lang w:val="ru-RU"/>
        </w:rPr>
        <w:t xml:space="preserve"> постановлением </w:t>
      </w:r>
      <w:r>
        <w:rPr>
          <w:b w:val="false"/>
          <w:sz w:val="24"/>
          <w:szCs w:val="24"/>
        </w:rPr>
        <w:t xml:space="preserve">Правительства </w:t>
      </w:r>
      <w:r>
        <w:rPr>
          <w:b w:val="false"/>
          <w:sz w:val="24"/>
          <w:szCs w:val="24"/>
          <w:lang w:val="ru-RU"/>
        </w:rPr>
        <w:t>РФ</w:t>
      </w:r>
      <w:r>
        <w:rPr>
          <w:b w:val="false"/>
          <w:sz w:val="24"/>
          <w:szCs w:val="24"/>
        </w:rPr>
        <w:t xml:space="preserve"> от 17</w:t>
      </w:r>
      <w:r>
        <w:rPr>
          <w:b w:val="false"/>
          <w:sz w:val="24"/>
          <w:szCs w:val="24"/>
          <w:lang w:val="ru-RU"/>
        </w:rPr>
        <w:t>.07.</w:t>
      </w:r>
      <w:r>
        <w:rPr>
          <w:b w:val="false"/>
          <w:sz w:val="24"/>
          <w:szCs w:val="24"/>
        </w:rPr>
        <w:t xml:space="preserve">2015г. № 719 </w:t>
      </w:r>
      <w:r>
        <w:rPr>
          <w:b w:val="false"/>
          <w:sz w:val="24"/>
          <w:szCs w:val="24"/>
          <w:lang w:val="ru-RU"/>
        </w:rPr>
        <w:t>«</w:t>
      </w:r>
      <w:r>
        <w:rPr>
          <w:b w:val="false"/>
          <w:sz w:val="24"/>
          <w:szCs w:val="24"/>
        </w:rPr>
        <w:t>О подтверждении производства российской промышленной продукции</w:t>
      </w:r>
      <w:r>
        <w:rPr>
          <w:b w:val="false"/>
          <w:sz w:val="24"/>
          <w:szCs w:val="24"/>
          <w:lang w:val="ru-RU"/>
        </w:rPr>
        <w:t>»</w:t>
      </w:r>
      <w:r>
        <w:rPr>
          <w:b w:val="false"/>
          <w:sz w:val="24"/>
          <w:szCs w:val="24"/>
        </w:rPr>
        <w:t xml:space="preserve"> или 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уровня (если </w:t>
      </w:r>
      <w:r>
        <w:rPr>
          <w:b w:val="false"/>
          <w:sz w:val="24"/>
          <w:szCs w:val="24"/>
          <w:lang w:val="ru-RU"/>
        </w:rPr>
        <w:t>К</w:t>
      </w:r>
      <w:r>
        <w:rPr>
          <w:b w:val="false"/>
          <w:sz w:val="24"/>
          <w:szCs w:val="24"/>
        </w:rPr>
        <w:t xml:space="preserve">онтракт предусматривает поставку радиоэлектронной продукции первого уровня). </w:t>
      </w:r>
    </w:p>
    <w:p>
      <w:pPr>
        <w:pStyle w:val="BodyText"/>
        <w:spacing w:lineRule="auto" w:line="240" w:before="0" w:after="0"/>
        <w:jc w:val="both"/>
        <w:rPr>
          <w:sz w:val="24"/>
          <w:szCs w:val="24"/>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6"/>
      <w:bookmarkStart w:id="31" w:name="Par1547"/>
      <w:bookmarkStart w:id="32" w:name="Par1548"/>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октября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39"/>
      <w:bookmarkStart w:id="40" w:name="Par1642"/>
      <w:bookmarkStart w:id="41" w:name="Par1645"/>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70"/>
        <w:gridCol w:w="4964"/>
      </w:tblGrid>
      <w:tr>
        <w:trPr/>
        <w:tc>
          <w:tcPr>
            <w:tcW w:w="5070" w:type="dxa"/>
            <w:tcBorders/>
          </w:tcPr>
          <w:p>
            <w:pPr>
              <w:pStyle w:val="Normal"/>
              <w:spacing w:before="0" w:after="0"/>
              <w:rPr>
                <w:sz w:val="24"/>
                <w:szCs w:val="24"/>
                <w:lang w:eastAsia="ru-RU"/>
              </w:rPr>
            </w:pPr>
            <w:r>
              <w:rPr>
                <w:sz w:val="24"/>
                <w:szCs w:val="24"/>
                <w:lang w:eastAsia="ru-RU"/>
              </w:rPr>
              <w:t>ГОСУДАРСТВЕННЫЙ ЗАКАЗЧИК:</w:t>
            </w:r>
          </w:p>
        </w:tc>
        <w:tc>
          <w:tcPr>
            <w:tcW w:w="4964"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0"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64"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0"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64"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0" w:type="dxa"/>
            <w:tcBorders/>
          </w:tcPr>
          <w:p>
            <w:pPr>
              <w:pStyle w:val="Normal"/>
              <w:spacing w:before="0" w:after="0"/>
              <w:rPr>
                <w:sz w:val="24"/>
                <w:szCs w:val="24"/>
                <w:lang w:eastAsia="ru-RU"/>
              </w:rPr>
            </w:pPr>
            <w:r>
              <w:rPr>
                <w:sz w:val="24"/>
                <w:szCs w:val="24"/>
                <w:lang w:eastAsia="ru-RU"/>
              </w:rPr>
              <w:t>ИНН 7703172888</w:t>
            </w:r>
          </w:p>
        </w:tc>
        <w:tc>
          <w:tcPr>
            <w:tcW w:w="4964" w:type="dxa"/>
            <w:tcBorders/>
          </w:tcPr>
          <w:p>
            <w:pPr>
              <w:pStyle w:val="Normal"/>
              <w:spacing w:before="0" w:after="0"/>
              <w:rPr>
                <w:sz w:val="24"/>
                <w:szCs w:val="24"/>
                <w:lang w:eastAsia="ru-RU"/>
              </w:rPr>
            </w:pPr>
            <w:r>
              <w:rPr>
                <w:sz w:val="24"/>
                <w:szCs w:val="24"/>
                <w:lang w:eastAsia="ru-RU"/>
              </w:rPr>
              <w:t>ИНН</w:t>
            </w:r>
          </w:p>
        </w:tc>
      </w:tr>
      <w:tr>
        <w:trPr/>
        <w:tc>
          <w:tcPr>
            <w:tcW w:w="5070" w:type="dxa"/>
            <w:tcBorders/>
          </w:tcPr>
          <w:p>
            <w:pPr>
              <w:pStyle w:val="Normal"/>
              <w:spacing w:before="0" w:after="0"/>
              <w:rPr>
                <w:sz w:val="24"/>
                <w:szCs w:val="24"/>
                <w:lang w:eastAsia="ru-RU"/>
              </w:rPr>
            </w:pPr>
            <w:r>
              <w:rPr>
                <w:sz w:val="24"/>
                <w:szCs w:val="24"/>
                <w:lang w:eastAsia="ru-RU"/>
              </w:rPr>
              <w:t>КПП 770301001</w:t>
            </w:r>
          </w:p>
        </w:tc>
        <w:tc>
          <w:tcPr>
            <w:tcW w:w="4964"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0" w:type="dxa"/>
            <w:tcBorders/>
          </w:tcPr>
          <w:p>
            <w:pPr>
              <w:pStyle w:val="Normal"/>
              <w:spacing w:before="0" w:after="0"/>
              <w:rPr>
                <w:lang w:val="ru-RU"/>
              </w:rPr>
            </w:pPr>
            <w:r>
              <w:rPr>
                <w:color w:val="000000"/>
                <w:sz w:val="24"/>
                <w:szCs w:val="24"/>
                <w:lang w:val="ru-RU"/>
              </w:rPr>
              <w:t>Банк: ОКЦ № 1 ГУ Банка России по ЦФО\\УФК ПО Г. МОСКВЕ, г. Москва</w:t>
            </w:r>
          </w:p>
          <w:p>
            <w:pPr>
              <w:pStyle w:val="Normal"/>
              <w:spacing w:before="0" w:after="0"/>
              <w:rPr>
                <w:lang w:val="ru-RU"/>
              </w:rPr>
            </w:pPr>
            <w:r>
              <w:rPr>
                <w:color w:val="000000"/>
                <w:sz w:val="24"/>
                <w:szCs w:val="24"/>
                <w:lang w:val="ru-RU"/>
              </w:rPr>
              <w:t xml:space="preserve">Единый казначейский счет: </w:t>
            </w:r>
            <w:r>
              <w:rPr>
                <w:sz w:val="24"/>
                <w:szCs w:val="24"/>
                <w:lang w:val="ru-RU"/>
              </w:rPr>
              <w:t>40102810545370000003</w:t>
            </w:r>
          </w:p>
          <w:p>
            <w:pPr>
              <w:pStyle w:val="Normal"/>
              <w:spacing w:before="0" w:after="0"/>
              <w:rPr>
                <w:lang w:val="ru-RU"/>
              </w:rPr>
            </w:pPr>
            <w:r>
              <w:rPr>
                <w:color w:val="000000"/>
                <w:sz w:val="24"/>
                <w:szCs w:val="24"/>
                <w:lang w:val="ru-RU"/>
              </w:rPr>
              <w:t xml:space="preserve">Казначейский счет: </w:t>
            </w:r>
            <w:r>
              <w:rPr>
                <w:sz w:val="24"/>
                <w:szCs w:val="24"/>
                <w:lang w:val="ru-RU"/>
              </w:rPr>
              <w:t>03211643000000017300</w:t>
            </w:r>
          </w:p>
        </w:tc>
        <w:tc>
          <w:tcPr>
            <w:tcW w:w="4964"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0" w:type="dxa"/>
            <w:tcBorders/>
          </w:tcPr>
          <w:p>
            <w:pPr>
              <w:pStyle w:val="Normal"/>
              <w:spacing w:before="0" w:after="0"/>
              <w:rPr>
                <w:lang w:val="ru-RU"/>
              </w:rPr>
            </w:pPr>
            <w:r>
              <w:rPr>
                <w:sz w:val="24"/>
                <w:szCs w:val="24"/>
                <w:lang w:val="ru-RU"/>
              </w:rPr>
              <w:t>УФК по г. Москве (ФКУ «Гидрометсервис»,</w:t>
            </w:r>
          </w:p>
          <w:p>
            <w:pPr>
              <w:pStyle w:val="Normal"/>
              <w:spacing w:before="0" w:after="0"/>
              <w:rPr/>
            </w:pPr>
            <w:r>
              <w:rPr>
                <w:sz w:val="24"/>
                <w:szCs w:val="24"/>
                <w:lang w:val="ru-RU"/>
              </w:rPr>
              <w:t xml:space="preserve"> </w:t>
            </w:r>
            <w:r>
              <w:rPr>
                <w:sz w:val="24"/>
                <w:szCs w:val="24"/>
              </w:rPr>
              <w:t>л/с 03731F19030)</w:t>
            </w:r>
          </w:p>
        </w:tc>
        <w:tc>
          <w:tcPr>
            <w:tcW w:w="4964"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0"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64" w:type="dxa"/>
            <w:tcBorders/>
          </w:tcPr>
          <w:p>
            <w:pPr>
              <w:pStyle w:val="Normal"/>
              <w:spacing w:before="0" w:after="0"/>
              <w:rPr>
                <w:sz w:val="24"/>
                <w:szCs w:val="24"/>
                <w:lang w:eastAsia="ru-RU"/>
              </w:rPr>
            </w:pPr>
            <w:r>
              <w:rPr>
                <w:sz w:val="24"/>
                <w:szCs w:val="24"/>
                <w:lang w:eastAsia="ru-RU"/>
              </w:rPr>
              <w:t>р/с</w:t>
            </w:r>
          </w:p>
        </w:tc>
      </w:tr>
      <w:tr>
        <w:trPr/>
        <w:tc>
          <w:tcPr>
            <w:tcW w:w="5070" w:type="dxa"/>
            <w:tcBorders/>
          </w:tcPr>
          <w:p>
            <w:pPr>
              <w:pStyle w:val="Normal"/>
              <w:spacing w:before="0" w:after="0"/>
              <w:rPr>
                <w:color w:val="000000"/>
                <w:sz w:val="24"/>
                <w:szCs w:val="24"/>
                <w:lang w:eastAsia="ru-RU"/>
              </w:rPr>
            </w:pPr>
            <w:r>
              <w:rPr>
                <w:color w:val="000000"/>
                <w:sz w:val="24"/>
                <w:szCs w:val="24"/>
                <w:lang w:eastAsia="ru-RU"/>
              </w:rPr>
            </w:r>
          </w:p>
        </w:tc>
        <w:tc>
          <w:tcPr>
            <w:tcW w:w="4964" w:type="dxa"/>
            <w:tcBorders/>
          </w:tcPr>
          <w:p>
            <w:pPr>
              <w:pStyle w:val="Normal"/>
              <w:spacing w:before="0" w:after="0"/>
              <w:rPr>
                <w:sz w:val="24"/>
                <w:szCs w:val="24"/>
                <w:lang w:eastAsia="ru-RU"/>
              </w:rPr>
            </w:pPr>
            <w:r>
              <w:rPr>
                <w:sz w:val="24"/>
                <w:szCs w:val="24"/>
                <w:lang w:eastAsia="ru-RU"/>
              </w:rPr>
              <w:t>к/с</w:t>
            </w:r>
          </w:p>
        </w:tc>
      </w:tr>
      <w:tr>
        <w:trPr/>
        <w:tc>
          <w:tcPr>
            <w:tcW w:w="5070"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64" w:type="dxa"/>
            <w:tcBorders/>
          </w:tcPr>
          <w:p>
            <w:pPr>
              <w:pStyle w:val="Normal"/>
              <w:spacing w:before="0" w:after="0"/>
              <w:rPr>
                <w:color w:val="000000"/>
              </w:rPr>
            </w:pPr>
            <w:r>
              <w:rPr>
                <w:color w:val="000000"/>
                <w:sz w:val="24"/>
                <w:szCs w:val="24"/>
                <w:lang w:eastAsia="ru-RU"/>
              </w:rPr>
              <w:t>БИК</w:t>
            </w:r>
          </w:p>
        </w:tc>
      </w:tr>
      <w:tr>
        <w:trPr/>
        <w:tc>
          <w:tcPr>
            <w:tcW w:w="5070"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64" w:type="dxa"/>
            <w:tcBorders/>
          </w:tcPr>
          <w:p>
            <w:pPr>
              <w:pStyle w:val="Normal"/>
              <w:spacing w:before="0" w:after="0"/>
              <w:rPr/>
            </w:pPr>
            <w:r>
              <w:rPr>
                <w:rStyle w:val="Hyperlink"/>
                <w:color w:val="000000"/>
                <w:sz w:val="24"/>
                <w:szCs w:val="24"/>
                <w:u w:val="none"/>
                <w:lang w:eastAsia="ru-RU"/>
              </w:rPr>
              <w:t>ОКОПФ</w:t>
            </w:r>
          </w:p>
        </w:tc>
      </w:tr>
      <w:tr>
        <w:trPr/>
        <w:tc>
          <w:tcPr>
            <w:tcW w:w="5070" w:type="dxa"/>
            <w:tcBorders/>
          </w:tcPr>
          <w:p>
            <w:pPr>
              <w:pStyle w:val="Normal"/>
              <w:spacing w:before="0" w:after="0"/>
              <w:rPr>
                <w:color w:val="000000"/>
                <w:sz w:val="24"/>
                <w:szCs w:val="24"/>
                <w:lang w:eastAsia="ru-RU"/>
              </w:rPr>
            </w:pPr>
            <w:hyperlink r:id="rId10">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64" w:type="dxa"/>
            <w:tcBorders/>
          </w:tcPr>
          <w:p>
            <w:pPr>
              <w:pStyle w:val="Normal"/>
              <w:spacing w:before="0" w:after="0"/>
              <w:rPr/>
            </w:pPr>
            <w:r>
              <w:rPr>
                <w:rStyle w:val="Hyperlink"/>
                <w:color w:val="000000"/>
                <w:sz w:val="24"/>
                <w:szCs w:val="24"/>
                <w:u w:val="none"/>
                <w:lang w:eastAsia="ru-RU"/>
              </w:rPr>
              <w:t>ОКПД</w:t>
            </w:r>
            <w:r>
              <w:rPr>
                <w:color w:val="000000"/>
                <w:sz w:val="24"/>
                <w:szCs w:val="24"/>
                <w:lang w:eastAsia="ru-RU"/>
              </w:rPr>
              <w:t>2</w:t>
            </w:r>
          </w:p>
          <w:p>
            <w:pPr>
              <w:pStyle w:val="Normal"/>
              <w:spacing w:before="0" w:after="0"/>
              <w:rPr>
                <w:color w:val="000000"/>
              </w:rPr>
            </w:pPr>
            <w:r>
              <w:rPr>
                <w:color w:val="000000"/>
                <w:sz w:val="24"/>
                <w:szCs w:val="24"/>
                <w:lang w:eastAsia="ru-RU"/>
              </w:rPr>
              <w:t>ОКПО</w:t>
            </w:r>
          </w:p>
          <w:p>
            <w:pPr>
              <w:pStyle w:val="Normal"/>
              <w:spacing w:before="0" w:after="0"/>
              <w:rPr/>
            </w:pPr>
            <w:r>
              <w:rPr>
                <w:rStyle w:val="Hyperlink"/>
                <w:color w:val="000000"/>
                <w:sz w:val="24"/>
                <w:szCs w:val="24"/>
                <w:u w:val="none"/>
                <w:lang w:eastAsia="ru-RU"/>
              </w:rPr>
              <w:t>ОКАТО</w:t>
            </w:r>
          </w:p>
          <w:p>
            <w:pPr>
              <w:pStyle w:val="Normal"/>
              <w:spacing w:before="0" w:after="0"/>
              <w:rPr/>
            </w:pPr>
            <w:r>
              <w:rPr>
                <w:rStyle w:val="Hyperlink"/>
                <w:color w:val="000000"/>
                <w:sz w:val="24"/>
                <w:szCs w:val="24"/>
                <w:u w:val="none"/>
                <w:lang w:eastAsia="ru-RU"/>
              </w:rPr>
              <w:t>ОКТМО</w:t>
            </w:r>
          </w:p>
        </w:tc>
      </w:tr>
      <w:tr>
        <w:trPr/>
        <w:tc>
          <w:tcPr>
            <w:tcW w:w="5070" w:type="dxa"/>
            <w:tcBorders/>
          </w:tcPr>
          <w:p>
            <w:pPr>
              <w:pStyle w:val="Normal"/>
              <w:spacing w:before="0" w:after="0"/>
              <w:rPr>
                <w:sz w:val="24"/>
                <w:szCs w:val="24"/>
                <w:lang w:eastAsia="ru-RU"/>
              </w:rPr>
            </w:pPr>
            <w:r>
              <w:rPr>
                <w:sz w:val="24"/>
                <w:szCs w:val="24"/>
                <w:lang w:eastAsia="ru-RU"/>
              </w:rPr>
              <w:t>Адрес электронной почты:</w:t>
            </w:r>
          </w:p>
        </w:tc>
        <w:tc>
          <w:tcPr>
            <w:tcW w:w="4964"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0" w:type="dxa"/>
            <w:tcBorders/>
          </w:tcPr>
          <w:p>
            <w:pPr>
              <w:pStyle w:val="Normal"/>
              <w:spacing w:before="0" w:after="0"/>
              <w:rPr>
                <w:sz w:val="24"/>
                <w:szCs w:val="24"/>
                <w:lang w:eastAsia="ru-RU"/>
              </w:rPr>
            </w:pPr>
            <w:hyperlink r:id="rId11">
              <w:r>
                <w:rPr>
                  <w:rStyle w:val="Hyperlink"/>
                  <w:sz w:val="24"/>
                  <w:szCs w:val="24"/>
                  <w:lang w:eastAsia="ru-RU"/>
                </w:rPr>
                <w:t>info.hms@meteorf.ru</w:t>
              </w:r>
            </w:hyperlink>
          </w:p>
        </w:tc>
        <w:tc>
          <w:tcPr>
            <w:tcW w:w="4964"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0" w:type="dxa"/>
            <w:tcBorders/>
          </w:tcPr>
          <w:p>
            <w:pPr>
              <w:pStyle w:val="Normal"/>
              <w:spacing w:before="0" w:after="0"/>
              <w:rPr>
                <w:sz w:val="24"/>
                <w:szCs w:val="24"/>
                <w:lang w:eastAsia="ru-RU"/>
              </w:rPr>
            </w:pPr>
            <w:r>
              <w:rPr>
                <w:sz w:val="24"/>
                <w:szCs w:val="24"/>
                <w:lang w:eastAsia="ru-RU"/>
              </w:rPr>
              <w:t>Телефон: +7 499 795 24 16</w:t>
            </w:r>
          </w:p>
        </w:tc>
        <w:tc>
          <w:tcPr>
            <w:tcW w:w="4964"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0" w:type="dxa"/>
            <w:tcBorders/>
          </w:tcPr>
          <w:p>
            <w:pPr>
              <w:pStyle w:val="Normal"/>
              <w:spacing w:before="0" w:after="0"/>
              <w:rPr>
                <w:sz w:val="24"/>
                <w:szCs w:val="24"/>
                <w:lang w:eastAsia="ru-RU"/>
              </w:rPr>
            </w:pPr>
            <w:r>
              <w:rPr>
                <w:sz w:val="24"/>
                <w:szCs w:val="24"/>
                <w:lang w:eastAsia="ru-RU"/>
              </w:rPr>
            </w:r>
          </w:p>
        </w:tc>
        <w:tc>
          <w:tcPr>
            <w:tcW w:w="4964" w:type="dxa"/>
            <w:tcBorders/>
          </w:tcPr>
          <w:p>
            <w:pPr>
              <w:pStyle w:val="Normal"/>
              <w:snapToGrid w:val="false"/>
              <w:spacing w:before="0" w:after="0"/>
              <w:rPr>
                <w:sz w:val="24"/>
                <w:szCs w:val="24"/>
                <w:lang w:eastAsia="ru-RU"/>
              </w:rPr>
            </w:pPr>
            <w:r>
              <w:rPr>
                <w:sz w:val="24"/>
                <w:szCs w:val="24"/>
                <w:lang w:eastAsia="ru-RU"/>
              </w:rPr>
            </w:r>
          </w:p>
        </w:tc>
      </w:tr>
      <w:tr>
        <w:trPr/>
        <w:tc>
          <w:tcPr>
            <w:tcW w:w="5070" w:type="dxa"/>
            <w:tcBorders/>
          </w:tcPr>
          <w:p>
            <w:pPr>
              <w:pStyle w:val="Normal"/>
              <w:spacing w:before="0" w:after="0"/>
              <w:rPr>
                <w:sz w:val="24"/>
                <w:szCs w:val="24"/>
                <w:lang w:eastAsia="ru-RU"/>
              </w:rPr>
            </w:pPr>
            <w:r>
              <w:rPr>
                <w:sz w:val="24"/>
                <w:szCs w:val="24"/>
                <w:lang w:eastAsia="ru-RU"/>
              </w:rPr>
            </w:r>
          </w:p>
        </w:tc>
        <w:tc>
          <w:tcPr>
            <w:tcW w:w="4964" w:type="dxa"/>
            <w:tcBorders/>
          </w:tcPr>
          <w:p>
            <w:pPr>
              <w:pStyle w:val="Normal"/>
              <w:snapToGrid w:val="false"/>
              <w:spacing w:before="0" w:after="0"/>
              <w:rPr>
                <w:sz w:val="24"/>
                <w:szCs w:val="24"/>
                <w:lang w:eastAsia="ru-RU"/>
              </w:rPr>
            </w:pPr>
            <w:r>
              <w:rPr>
                <w:sz w:val="24"/>
                <w:szCs w:val="24"/>
                <w:lang w:eastAsia="ru-RU"/>
              </w:rPr>
            </w:r>
          </w:p>
        </w:tc>
      </w:tr>
      <w:tr>
        <w:trPr/>
        <w:tc>
          <w:tcPr>
            <w:tcW w:w="5070" w:type="dxa"/>
            <w:tcBorders/>
          </w:tcPr>
          <w:p>
            <w:pPr>
              <w:pStyle w:val="Normal"/>
              <w:spacing w:before="0" w:after="0"/>
              <w:rPr>
                <w:sz w:val="24"/>
                <w:szCs w:val="24"/>
                <w:lang w:eastAsia="ru-RU"/>
              </w:rPr>
            </w:pPr>
            <w:r>
              <w:rPr>
                <w:sz w:val="24"/>
                <w:szCs w:val="24"/>
                <w:lang w:eastAsia="ru-RU"/>
              </w:rPr>
            </w:r>
          </w:p>
        </w:tc>
        <w:tc>
          <w:tcPr>
            <w:tcW w:w="4964"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0" w:type="dxa"/>
            <w:tcBorders/>
          </w:tcPr>
          <w:p>
            <w:pPr>
              <w:pStyle w:val="Normal"/>
              <w:spacing w:before="0" w:after="0"/>
              <w:rPr>
                <w:sz w:val="24"/>
                <w:szCs w:val="24"/>
                <w:lang w:eastAsia="ru-RU"/>
              </w:rPr>
            </w:pPr>
            <w:r>
              <w:rPr>
                <w:sz w:val="24"/>
                <w:szCs w:val="24"/>
                <w:lang w:eastAsia="ru-RU"/>
              </w:rPr>
            </w:r>
          </w:p>
        </w:tc>
        <w:tc>
          <w:tcPr>
            <w:tcW w:w="4964"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0"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64"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0"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64"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0"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64"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0" w:type="dxa"/>
            <w:tcBorders/>
          </w:tcPr>
          <w:p>
            <w:pPr>
              <w:pStyle w:val="Normal"/>
              <w:spacing w:before="0" w:after="0"/>
              <w:rPr>
                <w:sz w:val="24"/>
                <w:szCs w:val="24"/>
                <w:lang w:eastAsia="ru-RU"/>
              </w:rPr>
            </w:pPr>
            <w:r>
              <w:rPr>
                <w:sz w:val="24"/>
                <w:szCs w:val="24"/>
                <w:lang w:eastAsia="ru-RU"/>
              </w:rPr>
              <w:t>__ _____________ 20__ г.</w:t>
            </w:r>
          </w:p>
        </w:tc>
        <w:tc>
          <w:tcPr>
            <w:tcW w:w="4964" w:type="dxa"/>
            <w:tcBorders/>
          </w:tcPr>
          <w:p>
            <w:pPr>
              <w:pStyle w:val="Normal"/>
              <w:spacing w:before="0" w:after="0"/>
              <w:rPr>
                <w:sz w:val="24"/>
                <w:szCs w:val="24"/>
                <w:lang w:eastAsia="ru-RU"/>
              </w:rPr>
            </w:pPr>
            <w:r>
              <w:rPr>
                <w:sz w:val="24"/>
                <w:szCs w:val="24"/>
                <w:lang w:eastAsia="ru-RU"/>
              </w:rPr>
              <w:t>__ _____________ 20__ г.</w:t>
            </w:r>
          </w:p>
        </w:tc>
      </w:tr>
      <w:tr>
        <w:trPr/>
        <w:tc>
          <w:tcPr>
            <w:tcW w:w="5070" w:type="dxa"/>
            <w:tcBorders/>
            <w:vAlign w:val="center"/>
          </w:tcPr>
          <w:p>
            <w:pPr>
              <w:pStyle w:val="Normal"/>
              <w:snapToGrid w:val="false"/>
              <w:spacing w:before="0" w:after="0"/>
              <w:rPr>
                <w:sz w:val="24"/>
                <w:szCs w:val="24"/>
                <w:lang w:eastAsia="ru-RU"/>
              </w:rPr>
            </w:pPr>
            <w:r>
              <w:rPr>
                <w:sz w:val="24"/>
                <w:szCs w:val="24"/>
                <w:lang w:eastAsia="ru-RU"/>
              </w:rPr>
            </w:r>
          </w:p>
        </w:tc>
        <w:tc>
          <w:tcPr>
            <w:tcW w:w="4964"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на поставку накопителя данных внутреннего</w:t>
      </w:r>
    </w:p>
    <w:p>
      <w:pPr>
        <w:pStyle w:val="Normal"/>
        <w:spacing w:before="0" w:after="0"/>
        <w:jc w:val="center"/>
        <w:rPr>
          <w:b/>
          <w:sz w:val="24"/>
          <w:szCs w:val="24"/>
          <w:lang w:val="ru-RU"/>
        </w:rPr>
      </w:pPr>
      <w:r>
        <w:rPr>
          <w:b/>
          <w:sz w:val="24"/>
          <w:szCs w:val="24"/>
          <w:lang w:val="ru-RU"/>
        </w:rPr>
        <w:t>для восстановления работоспособности моноблока</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Look w:val="0000" w:noHBand="0" w:noVBand="0" w:firstColumn="0" w:lastRow="0" w:lastColumn="0" w:firstRow="0"/>
      </w:tblPr>
      <w:tblGrid>
        <w:gridCol w:w="2512"/>
        <w:gridCol w:w="1570"/>
        <w:gridCol w:w="2000"/>
        <w:gridCol w:w="1277"/>
        <w:gridCol w:w="1052"/>
        <w:gridCol w:w="1623"/>
      </w:tblGrid>
      <w:tr>
        <w:trPr>
          <w:trHeight w:val="1286" w:hRule="atLeast"/>
        </w:trPr>
        <w:tc>
          <w:tcPr>
            <w:tcW w:w="251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570"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277"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Единица измерения</w:t>
            </w:r>
          </w:p>
        </w:tc>
        <w:tc>
          <w:tcPr>
            <w:tcW w:w="105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Коли-чество</w:t>
            </w:r>
          </w:p>
          <w:p>
            <w:pPr>
              <w:pStyle w:val="Normal"/>
              <w:spacing w:before="0" w:after="0"/>
              <w:jc w:val="center"/>
              <w:rPr/>
            </w:pPr>
            <w:r>
              <w:rPr/>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1286" w:hRule="atLeast"/>
        </w:trPr>
        <w:tc>
          <w:tcPr>
            <w:tcW w:w="2512" w:type="dxa"/>
            <w:tcBorders>
              <w:top w:val="single" w:sz="4" w:space="0" w:color="000000"/>
              <w:left w:val="single" w:sz="4" w:space="0" w:color="000000"/>
              <w:bottom w:val="single" w:sz="4" w:space="0" w:color="000000"/>
              <w:right w:val="single" w:sz="4" w:space="0" w:color="000000"/>
            </w:tcBorders>
          </w:tcPr>
          <w:p>
            <w:pPr>
              <w:pStyle w:val="Normal"/>
              <w:spacing w:before="0" w:after="0"/>
              <w:rPr>
                <w:sz w:val="24"/>
                <w:szCs w:val="24"/>
                <w:lang w:val="ru-RU" w:eastAsia="ru-RU"/>
              </w:rPr>
            </w:pPr>
            <w:r>
              <w:rPr>
                <w:color w:val="000000"/>
                <w:sz w:val="24"/>
                <w:szCs w:val="24"/>
                <w:lang w:val="ru-RU" w:eastAsia="ru-RU"/>
              </w:rPr>
              <w:t>SSD накопитель Samsung 870 EVO 500 ГБ (MZ-77E500BW)</w:t>
            </w:r>
          </w:p>
        </w:tc>
        <w:tc>
          <w:tcPr>
            <w:tcW w:w="1570"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277" w:type="dxa"/>
            <w:tcBorders>
              <w:top w:val="single" w:sz="4" w:space="0" w:color="000000"/>
              <w:left w:val="single" w:sz="4" w:space="0" w:color="000000"/>
              <w:bottom w:val="single" w:sz="4" w:space="0" w:color="000000"/>
            </w:tcBorders>
          </w:tcPr>
          <w:p>
            <w:pPr>
              <w:pStyle w:val="Normal"/>
              <w:spacing w:before="280" w:after="0"/>
              <w:jc w:val="center"/>
              <w:rPr/>
            </w:pPr>
            <w:r>
              <w:rPr>
                <w:sz w:val="24"/>
                <w:szCs w:val="24"/>
              </w:rPr>
              <w:t>штука</w:t>
            </w:r>
          </w:p>
        </w:tc>
        <w:tc>
          <w:tcPr>
            <w:tcW w:w="1052" w:type="dxa"/>
            <w:tcBorders>
              <w:top w:val="single" w:sz="4" w:space="0" w:color="000000"/>
              <w:left w:val="single" w:sz="4" w:space="0" w:color="000000"/>
              <w:bottom w:val="single" w:sz="4" w:space="0" w:color="000000"/>
              <w:right w:val="single" w:sz="4" w:space="0" w:color="000000"/>
            </w:tcBorders>
          </w:tcPr>
          <w:p>
            <w:pPr>
              <w:pStyle w:val="Normal"/>
              <w:spacing w:before="280" w:after="0"/>
              <w:jc w:val="center"/>
              <w:rPr/>
            </w:pPr>
            <w:r>
              <w:rPr>
                <w:bCs/>
                <w:sz w:val="24"/>
                <w:szCs w:val="24"/>
              </w:rPr>
              <w:t>9</w:t>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r>
    </w:tbl>
    <w:p>
      <w:pPr>
        <w:pStyle w:val="Normal"/>
        <w:spacing w:before="0" w:after="0"/>
        <w:jc w:val="center"/>
        <w:rPr>
          <w:b/>
          <w:sz w:val="24"/>
          <w:szCs w:val="24"/>
          <w:lang w:val="ru-RU"/>
        </w:rPr>
      </w:pPr>
      <w:r>
        <w:rPr>
          <w:b/>
          <w:sz w:val="24"/>
          <w:szCs w:val="24"/>
          <w:lang w:val="ru-RU"/>
        </w:rPr>
      </w:r>
    </w:p>
    <w:p>
      <w:pPr>
        <w:pStyle w:val="Normal"/>
        <w:spacing w:before="0" w:after="0"/>
        <w:jc w:val="both"/>
        <w:rPr>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jc w:val="both"/>
        <w:rPr>
          <w:sz w:val="24"/>
          <w:szCs w:val="24"/>
          <w:lang w:val="ru-RU"/>
        </w:rPr>
      </w:pPr>
      <w:r>
        <w:rPr>
          <w:sz w:val="24"/>
          <w:szCs w:val="24"/>
          <w:lang w:val="ru-RU"/>
        </w:rPr>
      </w:r>
    </w:p>
    <w:p>
      <w:pPr>
        <w:pStyle w:val="Normal"/>
        <w:spacing w:before="0" w:after="0"/>
        <w:jc w:val="both"/>
        <w:rPr>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r>
        <w:br w:type="page"/>
      </w:r>
    </w:p>
    <w:p>
      <w:pPr>
        <w:pStyle w:val="Normal"/>
        <w:spacing w:before="0" w:after="0"/>
        <w:jc w:val="right"/>
        <w:rPr/>
      </w:pPr>
      <w:r>
        <w:rPr/>
      </w: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r>
    </w:p>
    <w:p>
      <w:pPr>
        <w:pStyle w:val="Normal"/>
        <w:spacing w:before="0" w:after="0"/>
        <w:jc w:val="center"/>
        <w:rPr>
          <w:b/>
          <w:bCs/>
          <w:color w:val="000000"/>
          <w:sz w:val="24"/>
          <w:szCs w:val="24"/>
          <w:lang w:val="ru-RU"/>
        </w:rPr>
      </w:pPr>
      <w:r>
        <w:rPr>
          <w:b/>
          <w:bCs/>
          <w:color w:val="000000"/>
          <w:sz w:val="24"/>
          <w:szCs w:val="24"/>
          <w:lang w:val="ru-RU"/>
        </w:rPr>
        <w:t>ТЕХНИЧЕСКОЕ ЗАДАНИЕ</w:t>
      </w:r>
    </w:p>
    <w:p>
      <w:pPr>
        <w:pStyle w:val="Normal"/>
        <w:spacing w:before="0" w:after="0"/>
        <w:jc w:val="center"/>
        <w:rPr>
          <w:b/>
          <w:bCs/>
        </w:rPr>
      </w:pPr>
      <w:r>
        <w:rPr>
          <w:b/>
          <w:bCs/>
          <w:sz w:val="24"/>
          <w:szCs w:val="24"/>
          <w:lang w:val="ru-RU"/>
        </w:rPr>
        <w:t>на поставку накопителя данных внутреннего</w:t>
      </w:r>
    </w:p>
    <w:p>
      <w:pPr>
        <w:pStyle w:val="Normal"/>
        <w:spacing w:before="0" w:after="227"/>
        <w:jc w:val="center"/>
        <w:rPr>
          <w:b/>
          <w:bCs/>
        </w:rPr>
      </w:pPr>
      <w:r>
        <w:rPr>
          <w:b/>
          <w:bCs/>
          <w:sz w:val="24"/>
          <w:szCs w:val="24"/>
          <w:lang w:val="ru-RU"/>
        </w:rPr>
        <w:t>для восстановления работоспособности моноблока</w:t>
      </w:r>
    </w:p>
    <w:p>
      <w:pPr>
        <w:pStyle w:val="Normal"/>
        <w:spacing w:before="0" w:after="0"/>
        <w:jc w:val="center"/>
        <w:rPr>
          <w:sz w:val="24"/>
          <w:szCs w:val="24"/>
          <w:lang w:val="ru-RU"/>
        </w:rPr>
      </w:pPr>
      <w:r>
        <w:rPr>
          <w:sz w:val="24"/>
          <w:szCs w:val="24"/>
          <w:lang w:val="ru-RU"/>
        </w:rPr>
        <w:t>(Технические и функциональные характеристики товара)</w:t>
      </w:r>
    </w:p>
    <w:p>
      <w:pPr>
        <w:pStyle w:val="Normal"/>
        <w:spacing w:before="0" w:after="0"/>
        <w:jc w:val="both"/>
        <w:rPr>
          <w:b/>
          <w:bCs/>
          <w:sz w:val="24"/>
          <w:szCs w:val="24"/>
          <w:lang w:val="ru-RU"/>
        </w:rPr>
      </w:pPr>
      <w:r>
        <w:rPr>
          <w:b/>
          <w:bCs/>
          <w:sz w:val="24"/>
          <w:szCs w:val="24"/>
          <w:lang w:val="ru-RU"/>
        </w:rPr>
      </w:r>
    </w:p>
    <w:p>
      <w:pPr>
        <w:pStyle w:val="Normal"/>
        <w:spacing w:before="0" w:after="227"/>
        <w:jc w:val="both"/>
        <w:rPr>
          <w:lang w:val="ru-RU"/>
        </w:rPr>
      </w:pPr>
      <w:r>
        <w:rPr>
          <w:b/>
          <w:bCs/>
          <w:sz w:val="24"/>
          <w:szCs w:val="24"/>
          <w:lang w:val="ru-RU"/>
        </w:rPr>
        <w:t xml:space="preserve">1. Объект закупки: </w:t>
      </w:r>
      <w:r>
        <w:rPr>
          <w:b w:val="false"/>
          <w:bCs w:val="false"/>
          <w:sz w:val="24"/>
          <w:szCs w:val="24"/>
          <w:lang w:val="ru-RU"/>
        </w:rPr>
        <w:t>накопитель данных внутренний</w:t>
      </w:r>
      <w:r>
        <w:rPr>
          <w:sz w:val="24"/>
          <w:szCs w:val="24"/>
          <w:lang w:val="ru-RU"/>
        </w:rPr>
        <w:t xml:space="preserve"> (далее – Това</w:t>
      </w:r>
      <w:r>
        <w:rPr>
          <w:b w:val="false"/>
          <w:bCs w:val="false"/>
          <w:sz w:val="24"/>
          <w:szCs w:val="24"/>
          <w:lang w:val="ru-RU"/>
        </w:rPr>
        <w:t xml:space="preserve">р). </w:t>
      </w:r>
    </w:p>
    <w:p>
      <w:pPr>
        <w:pStyle w:val="Normal"/>
        <w:tabs>
          <w:tab w:val="clear" w:pos="708"/>
          <w:tab w:val="left" w:pos="142" w:leader="none"/>
          <w:tab w:val="left" w:pos="993" w:leader="none"/>
        </w:tabs>
        <w:spacing w:before="0" w:after="0"/>
        <w:rPr>
          <w:b/>
          <w:bCs/>
          <w:sz w:val="24"/>
          <w:szCs w:val="24"/>
        </w:rPr>
      </w:pPr>
      <w:r>
        <w:rPr>
          <w:b/>
          <w:bCs/>
          <w:sz w:val="24"/>
          <w:szCs w:val="24"/>
        </w:rPr>
        <w:t>2. Наименование, характеристики, количество товара:</w:t>
      </w:r>
    </w:p>
    <w:p>
      <w:pPr>
        <w:pStyle w:val="Normal"/>
        <w:tabs>
          <w:tab w:val="clear" w:pos="708"/>
          <w:tab w:val="left" w:pos="142" w:leader="none"/>
          <w:tab w:val="left" w:pos="993" w:leader="none"/>
        </w:tabs>
        <w:spacing w:before="0" w:after="0"/>
        <w:rPr/>
      </w:pPr>
      <w:r>
        <w:rPr/>
      </w:r>
    </w:p>
    <w:tbl>
      <w:tblPr>
        <w:tblW w:w="10020" w:type="dxa"/>
        <w:jc w:val="left"/>
        <w:tblInd w:w="108" w:type="dxa"/>
        <w:tblLayout w:type="fixed"/>
        <w:tblCellMar>
          <w:top w:w="0" w:type="dxa"/>
          <w:left w:w="108" w:type="dxa"/>
          <w:bottom w:w="0" w:type="dxa"/>
          <w:right w:w="108" w:type="dxa"/>
        </w:tblCellMar>
      </w:tblPr>
      <w:tblGrid>
        <w:gridCol w:w="493"/>
        <w:gridCol w:w="2243"/>
        <w:gridCol w:w="1854"/>
        <w:gridCol w:w="778"/>
        <w:gridCol w:w="630"/>
        <w:gridCol w:w="2162"/>
        <w:gridCol w:w="1859"/>
      </w:tblGrid>
      <w:tr>
        <w:trPr>
          <w:trHeight w:val="447" w:hRule="atLeast"/>
        </w:trPr>
        <w:tc>
          <w:tcPr>
            <w:tcW w:w="49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2"/>
                <w:szCs w:val="22"/>
              </w:rPr>
            </w:pPr>
            <w:r>
              <w:rPr>
                <w:b/>
                <w:color w:val="000000"/>
                <w:sz w:val="22"/>
                <w:szCs w:val="22"/>
                <w:lang w:eastAsia="ru-RU"/>
              </w:rPr>
              <w:t xml:space="preserve">№ </w:t>
            </w:r>
            <w:r>
              <w:rPr>
                <w:b/>
                <w:color w:val="000000"/>
                <w:sz w:val="22"/>
                <w:szCs w:val="22"/>
                <w:lang w:eastAsia="ru-RU"/>
              </w:rPr>
              <w:t>п/п</w:t>
            </w:r>
          </w:p>
        </w:tc>
        <w:tc>
          <w:tcPr>
            <w:tcW w:w="22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overflowPunct w:val="true"/>
              <w:spacing w:before="0" w:after="0"/>
              <w:ind w:firstLine="7" w:right="0"/>
              <w:jc w:val="center"/>
              <w:textAlignment w:val="baseline"/>
              <w:rPr>
                <w:sz w:val="22"/>
                <w:szCs w:val="22"/>
              </w:rPr>
            </w:pPr>
            <w:r>
              <w:rPr>
                <w:b/>
                <w:sz w:val="22"/>
                <w:szCs w:val="22"/>
                <w:lang w:val="ru-RU" w:eastAsia="ru-RU"/>
              </w:rPr>
              <w:t>Наименование Товара</w:t>
            </w:r>
          </w:p>
        </w:tc>
        <w:tc>
          <w:tcPr>
            <w:tcW w:w="185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2"/>
                <w:szCs w:val="22"/>
              </w:rPr>
            </w:pPr>
            <w:r>
              <w:rPr>
                <w:b/>
                <w:sz w:val="22"/>
                <w:szCs w:val="22"/>
                <w:lang w:val="ru-RU" w:eastAsia="ru-RU"/>
              </w:rPr>
              <w:t>ОКПД2</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2"/>
                <w:szCs w:val="22"/>
              </w:rPr>
            </w:pPr>
            <w:r>
              <w:rPr>
                <w:b/>
                <w:sz w:val="22"/>
                <w:szCs w:val="22"/>
                <w:lang w:eastAsia="ru-RU"/>
              </w:rPr>
              <w:t>Ед. изм.</w:t>
            </w:r>
          </w:p>
        </w:tc>
        <w:tc>
          <w:tcPr>
            <w:tcW w:w="6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2"/>
                <w:szCs w:val="22"/>
              </w:rPr>
            </w:pPr>
            <w:r>
              <w:rPr>
                <w:b/>
                <w:sz w:val="22"/>
                <w:szCs w:val="22"/>
                <w:lang w:eastAsia="ru-RU"/>
              </w:rPr>
              <w:t>Кол-во</w:t>
            </w:r>
          </w:p>
        </w:tc>
        <w:tc>
          <w:tcPr>
            <w:tcW w:w="4021" w:type="dxa"/>
            <w:gridSpan w:val="2"/>
            <w:tcBorders>
              <w:top w:val="single" w:sz="4" w:space="0" w:color="000000"/>
              <w:left w:val="single" w:sz="4" w:space="0" w:color="000000"/>
              <w:bottom w:val="single" w:sz="4" w:space="0" w:color="000000"/>
              <w:right w:val="single" w:sz="4" w:space="0" w:color="000000"/>
            </w:tcBorders>
            <w:vAlign w:val="center"/>
          </w:tcPr>
          <w:p>
            <w:pPr>
              <w:pStyle w:val="Normal"/>
              <w:overflowPunct w:val="true"/>
              <w:spacing w:before="0" w:after="0"/>
              <w:ind w:firstLine="7" w:right="0"/>
              <w:jc w:val="center"/>
              <w:textAlignment w:val="baseline"/>
              <w:rPr>
                <w:sz w:val="22"/>
                <w:szCs w:val="22"/>
              </w:rPr>
            </w:pPr>
            <w:r>
              <w:rPr>
                <w:b/>
                <w:sz w:val="22"/>
                <w:szCs w:val="22"/>
                <w:lang w:eastAsia="ru-RU"/>
              </w:rPr>
              <w:t>Показатели поставляемого товара</w:t>
            </w:r>
          </w:p>
        </w:tc>
      </w:tr>
      <w:tr>
        <w:trPr>
          <w:trHeight w:val="264" w:hRule="atLeast"/>
        </w:trPr>
        <w:tc>
          <w:tcPr>
            <w:tcW w:w="49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b/>
                <w:color w:val="000000"/>
                <w:sz w:val="22"/>
                <w:szCs w:val="22"/>
                <w:lang w:eastAsia="ru-RU"/>
              </w:rPr>
            </w:pPr>
            <w:r>
              <w:rPr>
                <w:b/>
                <w:color w:val="000000"/>
                <w:sz w:val="22"/>
                <w:szCs w:val="22"/>
                <w:lang w:eastAsia="ru-RU"/>
              </w:rPr>
            </w:r>
          </w:p>
        </w:tc>
        <w:tc>
          <w:tcPr>
            <w:tcW w:w="22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b/>
                <w:color w:val="000000"/>
                <w:sz w:val="22"/>
                <w:szCs w:val="22"/>
                <w:lang w:eastAsia="ru-RU"/>
              </w:rPr>
            </w:pPr>
            <w:r>
              <w:rPr>
                <w:b/>
                <w:color w:val="000000"/>
                <w:sz w:val="22"/>
                <w:szCs w:val="22"/>
                <w:lang w:eastAsia="ru-RU"/>
              </w:rPr>
            </w:r>
          </w:p>
        </w:tc>
        <w:tc>
          <w:tcPr>
            <w:tcW w:w="185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b/>
                <w:sz w:val="22"/>
                <w:szCs w:val="22"/>
                <w:lang w:eastAsia="ru-RU"/>
              </w:rPr>
            </w:pPr>
            <w:r>
              <w:rPr>
                <w:b/>
                <w:sz w:val="22"/>
                <w:szCs w:val="22"/>
                <w:lang w:eastAsia="ru-RU"/>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b/>
                <w:color w:val="000000"/>
                <w:sz w:val="22"/>
                <w:szCs w:val="22"/>
                <w:lang w:eastAsia="ru-RU"/>
              </w:rPr>
            </w:pPr>
            <w:r>
              <w:rPr>
                <w:b/>
                <w:color w:val="000000"/>
                <w:sz w:val="22"/>
                <w:szCs w:val="22"/>
                <w:lang w:eastAsia="ru-RU"/>
              </w:rPr>
            </w:r>
          </w:p>
        </w:tc>
        <w:tc>
          <w:tcPr>
            <w:tcW w:w="6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rPr>
                <w:b/>
                <w:color w:val="000000"/>
                <w:sz w:val="22"/>
                <w:szCs w:val="22"/>
                <w:lang w:eastAsia="ru-RU"/>
              </w:rPr>
            </w:pPr>
            <w:r>
              <w:rPr>
                <w:b/>
                <w:color w:val="000000"/>
                <w:sz w:val="22"/>
                <w:szCs w:val="22"/>
                <w:lang w:eastAsia="ru-RU"/>
              </w:rPr>
            </w:r>
          </w:p>
        </w:tc>
        <w:tc>
          <w:tcPr>
            <w:tcW w:w="216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2"/>
                <w:szCs w:val="22"/>
              </w:rPr>
            </w:pPr>
            <w:r>
              <w:rPr>
                <w:b/>
                <w:sz w:val="22"/>
                <w:szCs w:val="22"/>
                <w:lang w:eastAsia="ru-RU"/>
              </w:rPr>
              <w:t>Наименование показателей</w:t>
            </w:r>
          </w:p>
        </w:tc>
        <w:tc>
          <w:tcPr>
            <w:tcW w:w="18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sz w:val="22"/>
                <w:szCs w:val="22"/>
              </w:rPr>
            </w:pPr>
            <w:r>
              <w:rPr>
                <w:b/>
                <w:sz w:val="22"/>
                <w:szCs w:val="22"/>
                <w:lang w:eastAsia="ru-RU"/>
              </w:rPr>
              <w:t>Требования к значениям характеристик</w:t>
            </w:r>
          </w:p>
        </w:tc>
      </w:tr>
      <w:tr>
        <w:trPr>
          <w:trHeight w:val="192" w:hRule="atLeast"/>
        </w:trPr>
        <w:tc>
          <w:tcPr>
            <w:tcW w:w="493" w:type="dxa"/>
            <w:tcBorders>
              <w:top w:val="single" w:sz="4" w:space="0" w:color="000000"/>
              <w:left w:val="single" w:sz="4" w:space="0" w:color="000000"/>
              <w:bottom w:val="single" w:sz="4" w:space="0" w:color="000000"/>
              <w:right w:val="single" w:sz="4" w:space="0" w:color="000000"/>
            </w:tcBorders>
          </w:tcPr>
          <w:p>
            <w:pPr>
              <w:pStyle w:val="Normal"/>
              <w:keepLines/>
              <w:spacing w:before="0" w:after="0"/>
              <w:jc w:val="center"/>
              <w:rPr>
                <w:sz w:val="22"/>
                <w:szCs w:val="22"/>
              </w:rPr>
            </w:pPr>
            <w:r>
              <w:rPr>
                <w:rFonts w:eastAsia="Lucida Sans Unicode"/>
                <w:sz w:val="22"/>
                <w:szCs w:val="22"/>
              </w:rPr>
              <w:t>1</w:t>
            </w:r>
          </w:p>
        </w:tc>
        <w:tc>
          <w:tcPr>
            <w:tcW w:w="2243" w:type="dxa"/>
            <w:tcBorders>
              <w:top w:val="single" w:sz="4" w:space="0" w:color="000000"/>
              <w:left w:val="single" w:sz="4" w:space="0" w:color="000000"/>
              <w:bottom w:val="single" w:sz="4" w:space="0" w:color="000000"/>
              <w:right w:val="single" w:sz="4" w:space="0" w:color="000000"/>
            </w:tcBorders>
          </w:tcPr>
          <w:p>
            <w:pPr>
              <w:pStyle w:val="Normal"/>
              <w:keepLines/>
              <w:spacing w:before="0" w:after="0"/>
              <w:jc w:val="center"/>
              <w:rPr>
                <w:sz w:val="22"/>
                <w:szCs w:val="22"/>
              </w:rPr>
            </w:pPr>
            <w:r>
              <w:rPr>
                <w:rFonts w:eastAsia="Lucida Sans Unicode"/>
                <w:sz w:val="22"/>
                <w:szCs w:val="22"/>
              </w:rPr>
              <w:t>2</w:t>
            </w:r>
          </w:p>
        </w:tc>
        <w:tc>
          <w:tcPr>
            <w:tcW w:w="185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sz w:val="22"/>
                <w:szCs w:val="22"/>
              </w:rPr>
            </w:pPr>
            <w:r>
              <w:rPr>
                <w:color w:val="000000"/>
                <w:sz w:val="22"/>
                <w:szCs w:val="22"/>
                <w:lang w:eastAsia="ru-RU"/>
              </w:rPr>
              <w:t>3</w:t>
            </w:r>
          </w:p>
        </w:tc>
        <w:tc>
          <w:tcPr>
            <w:tcW w:w="778"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sz w:val="22"/>
                <w:szCs w:val="22"/>
              </w:rPr>
            </w:pPr>
            <w:r>
              <w:rPr>
                <w:color w:val="000000"/>
                <w:sz w:val="22"/>
                <w:szCs w:val="22"/>
                <w:lang w:eastAsia="ru-RU"/>
              </w:rPr>
              <w:t>4</w:t>
            </w:r>
          </w:p>
        </w:tc>
        <w:tc>
          <w:tcPr>
            <w:tcW w:w="630" w:type="dxa"/>
            <w:tcBorders>
              <w:top w:val="single" w:sz="4" w:space="0" w:color="000000"/>
              <w:left w:val="single" w:sz="4" w:space="0" w:color="000000"/>
              <w:bottom w:val="single" w:sz="4" w:space="0" w:color="000000"/>
              <w:right w:val="single" w:sz="4" w:space="0" w:color="000000"/>
            </w:tcBorders>
          </w:tcPr>
          <w:p>
            <w:pPr>
              <w:pStyle w:val="Normal"/>
              <w:keepLines/>
              <w:spacing w:before="0" w:after="0"/>
              <w:jc w:val="center"/>
              <w:rPr>
                <w:sz w:val="22"/>
                <w:szCs w:val="22"/>
              </w:rPr>
            </w:pPr>
            <w:r>
              <w:rPr>
                <w:rFonts w:eastAsia="Lucida Sans Unicode"/>
                <w:sz w:val="22"/>
                <w:szCs w:val="22"/>
              </w:rPr>
              <w:t>5</w:t>
            </w:r>
          </w:p>
        </w:tc>
        <w:tc>
          <w:tcPr>
            <w:tcW w:w="21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018" w:leader="none"/>
              </w:tabs>
              <w:overflowPunct w:val="true"/>
              <w:spacing w:before="0" w:after="0"/>
              <w:ind w:firstLine="108" w:right="0"/>
              <w:jc w:val="center"/>
              <w:textAlignment w:val="baseline"/>
              <w:rPr>
                <w:sz w:val="22"/>
                <w:szCs w:val="22"/>
              </w:rPr>
            </w:pPr>
            <w:r>
              <w:rPr>
                <w:sz w:val="22"/>
                <w:szCs w:val="22"/>
                <w:lang w:eastAsia="ru-RU"/>
              </w:rPr>
              <w:t>6</w:t>
            </w:r>
          </w:p>
        </w:tc>
        <w:tc>
          <w:tcPr>
            <w:tcW w:w="185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585" w:leader="none"/>
              </w:tabs>
              <w:overflowPunct w:val="true"/>
              <w:spacing w:before="0" w:after="0"/>
              <w:jc w:val="center"/>
              <w:textAlignment w:val="baseline"/>
              <w:rPr>
                <w:sz w:val="22"/>
                <w:szCs w:val="22"/>
              </w:rPr>
            </w:pPr>
            <w:r>
              <w:rPr>
                <w:sz w:val="22"/>
                <w:szCs w:val="22"/>
                <w:lang w:eastAsia="ru-RU"/>
              </w:rPr>
              <w:t>7</w:t>
            </w:r>
          </w:p>
        </w:tc>
      </w:tr>
      <w:tr>
        <w:trPr>
          <w:trHeight w:val="192" w:hRule="atLeast"/>
        </w:trPr>
        <w:tc>
          <w:tcPr>
            <w:tcW w:w="493" w:type="dxa"/>
            <w:tcBorders>
              <w:top w:val="single" w:sz="4" w:space="0" w:color="000000"/>
              <w:left w:val="single" w:sz="4" w:space="0" w:color="000000"/>
              <w:bottom w:val="single" w:sz="4" w:space="0" w:color="000000"/>
              <w:right w:val="single" w:sz="4" w:space="0" w:color="000000"/>
            </w:tcBorders>
          </w:tcPr>
          <w:p>
            <w:pPr>
              <w:pStyle w:val="Normal"/>
              <w:keepLines/>
              <w:spacing w:before="280" w:after="0"/>
              <w:jc w:val="center"/>
              <w:rPr>
                <w:sz w:val="22"/>
                <w:szCs w:val="22"/>
              </w:rPr>
            </w:pPr>
            <w:r>
              <w:rPr>
                <w:rFonts w:eastAsia="Lucida Sans Unicode"/>
                <w:sz w:val="22"/>
                <w:szCs w:val="22"/>
                <w:lang w:val="ru-RU"/>
              </w:rPr>
              <w:t>1</w:t>
            </w:r>
          </w:p>
        </w:tc>
        <w:tc>
          <w:tcPr>
            <w:tcW w:w="2243" w:type="dxa"/>
            <w:tcBorders>
              <w:top w:val="single" w:sz="4" w:space="0" w:color="000000"/>
              <w:left w:val="single" w:sz="4" w:space="0" w:color="000000"/>
              <w:bottom w:val="single" w:sz="4" w:space="0" w:color="000000"/>
              <w:right w:val="single" w:sz="4" w:space="0" w:color="000000"/>
            </w:tcBorders>
          </w:tcPr>
          <w:p>
            <w:pPr>
              <w:pStyle w:val="Normal"/>
              <w:keepLines/>
              <w:spacing w:before="0" w:after="0"/>
              <w:jc w:val="left"/>
              <w:rPr>
                <w:sz w:val="22"/>
                <w:szCs w:val="22"/>
              </w:rPr>
            </w:pPr>
            <w:r>
              <w:rPr>
                <w:sz w:val="22"/>
                <w:szCs w:val="22"/>
              </w:rPr>
              <w:t>SSD</w:t>
            </w:r>
            <w:r>
              <w:rPr>
                <w:sz w:val="22"/>
                <w:szCs w:val="22"/>
                <w:lang w:val="ru-RU"/>
              </w:rPr>
              <w:t xml:space="preserve"> накопитель </w:t>
            </w:r>
            <w:r>
              <w:rPr>
                <w:sz w:val="22"/>
                <w:szCs w:val="22"/>
              </w:rPr>
              <w:t>Samsung</w:t>
            </w:r>
            <w:r>
              <w:rPr>
                <w:sz w:val="22"/>
                <w:szCs w:val="22"/>
                <w:lang w:val="ru-RU"/>
              </w:rPr>
              <w:t xml:space="preserve"> 870 </w:t>
            </w:r>
            <w:r>
              <w:rPr>
                <w:sz w:val="22"/>
                <w:szCs w:val="22"/>
              </w:rPr>
              <w:t>EVO</w:t>
            </w:r>
            <w:r>
              <w:rPr>
                <w:sz w:val="22"/>
                <w:szCs w:val="22"/>
                <w:lang w:val="ru-RU"/>
              </w:rPr>
              <w:t xml:space="preserve"> 500 ГБ (</w:t>
            </w:r>
            <w:r>
              <w:rPr>
                <w:sz w:val="22"/>
                <w:szCs w:val="22"/>
              </w:rPr>
              <w:t>MZ</w:t>
            </w:r>
            <w:r>
              <w:rPr>
                <w:sz w:val="22"/>
                <w:szCs w:val="22"/>
                <w:lang w:val="ru-RU"/>
              </w:rPr>
              <w:t>-77</w:t>
            </w:r>
            <w:r>
              <w:rPr>
                <w:sz w:val="22"/>
                <w:szCs w:val="22"/>
              </w:rPr>
              <w:t>E</w:t>
            </w:r>
            <w:r>
              <w:rPr>
                <w:sz w:val="22"/>
                <w:szCs w:val="22"/>
                <w:lang w:val="ru-RU"/>
              </w:rPr>
              <w:t>500</w:t>
            </w:r>
            <w:r>
              <w:rPr>
                <w:sz w:val="22"/>
                <w:szCs w:val="22"/>
              </w:rPr>
              <w:t>BW</w:t>
            </w:r>
            <w:r>
              <w:rPr>
                <w:sz w:val="22"/>
                <w:szCs w:val="22"/>
                <w:lang w:val="ru-RU"/>
              </w:rPr>
              <w:t>)</w:t>
            </w:r>
          </w:p>
        </w:tc>
        <w:tc>
          <w:tcPr>
            <w:tcW w:w="1854" w:type="dxa"/>
            <w:tcBorders>
              <w:top w:val="single" w:sz="4" w:space="0" w:color="000000"/>
              <w:left w:val="single" w:sz="4" w:space="0" w:color="000000"/>
              <w:bottom w:val="single" w:sz="4" w:space="0" w:color="000000"/>
              <w:right w:val="single" w:sz="4" w:space="0" w:color="000000"/>
            </w:tcBorders>
          </w:tcPr>
          <w:p>
            <w:pPr>
              <w:pStyle w:val="Normal"/>
              <w:spacing w:before="0" w:after="0"/>
              <w:jc w:val="left"/>
              <w:rPr>
                <w:sz w:val="22"/>
                <w:szCs w:val="22"/>
              </w:rPr>
            </w:pPr>
            <w:r>
              <w:rPr>
                <w:sz w:val="22"/>
                <w:szCs w:val="22"/>
                <w:shd w:fill="FFFFFF" w:val="clear"/>
                <w:lang w:val="ru-RU"/>
              </w:rPr>
              <w:t xml:space="preserve"> </w:t>
            </w:r>
            <w:r>
              <w:rPr>
                <w:sz w:val="22"/>
                <w:szCs w:val="22"/>
                <w:shd w:fill="FFFFFF" w:val="clear"/>
                <w:lang w:val="ru-RU"/>
              </w:rPr>
              <w:t>26.20.21.110 - Базовые системы хранения данных (обеспечивающие сохранность данных при отключении питания)</w:t>
            </w:r>
          </w:p>
        </w:tc>
        <w:tc>
          <w:tcPr>
            <w:tcW w:w="778" w:type="dxa"/>
            <w:tcBorders>
              <w:top w:val="single" w:sz="4" w:space="0" w:color="000000"/>
              <w:left w:val="single" w:sz="4" w:space="0" w:color="000000"/>
              <w:bottom w:val="single" w:sz="4" w:space="0" w:color="000000"/>
              <w:right w:val="single" w:sz="4" w:space="0" w:color="000000"/>
            </w:tcBorders>
          </w:tcPr>
          <w:p>
            <w:pPr>
              <w:pStyle w:val="Normal"/>
              <w:spacing w:before="0" w:after="280"/>
              <w:jc w:val="center"/>
              <w:rPr>
                <w:sz w:val="22"/>
                <w:szCs w:val="22"/>
              </w:rPr>
            </w:pPr>
            <w:r>
              <w:rPr>
                <w:rFonts w:eastAsia="Lucida Sans Unicode"/>
                <w:sz w:val="22"/>
                <w:szCs w:val="22"/>
              </w:rPr>
              <w:t>шт.</w:t>
            </w:r>
          </w:p>
          <w:p>
            <w:pPr>
              <w:pStyle w:val="Normal"/>
              <w:spacing w:before="280" w:after="0"/>
              <w:jc w:val="center"/>
              <w:rPr>
                <w:rFonts w:eastAsia="Lucida Sans Unicode"/>
                <w:sz w:val="22"/>
                <w:szCs w:val="22"/>
              </w:rPr>
            </w:pPr>
            <w:r>
              <w:rPr>
                <w:rFonts w:eastAsia="Lucida Sans Unicode"/>
                <w:sz w:val="22"/>
                <w:szCs w:val="22"/>
              </w:rPr>
            </w:r>
          </w:p>
        </w:tc>
        <w:tc>
          <w:tcPr>
            <w:tcW w:w="630" w:type="dxa"/>
            <w:tcBorders>
              <w:top w:val="single" w:sz="4" w:space="0" w:color="000000"/>
              <w:left w:val="single" w:sz="4" w:space="0" w:color="000000"/>
              <w:bottom w:val="single" w:sz="4" w:space="0" w:color="000000"/>
              <w:right w:val="single" w:sz="4" w:space="0" w:color="000000"/>
            </w:tcBorders>
          </w:tcPr>
          <w:p>
            <w:pPr>
              <w:pStyle w:val="Normal"/>
              <w:keepLines/>
              <w:spacing w:before="0" w:after="280"/>
              <w:jc w:val="center"/>
              <w:rPr>
                <w:sz w:val="22"/>
                <w:szCs w:val="22"/>
              </w:rPr>
            </w:pPr>
            <w:r>
              <w:rPr>
                <w:rFonts w:eastAsia="Lucida Sans Unicode"/>
                <w:sz w:val="22"/>
                <w:szCs w:val="22"/>
                <w:lang w:val="ru-RU"/>
              </w:rPr>
              <w:t>8</w:t>
            </w:r>
          </w:p>
          <w:p>
            <w:pPr>
              <w:pStyle w:val="Normal"/>
              <w:keepLines/>
              <w:spacing w:before="280" w:after="0"/>
              <w:jc w:val="center"/>
              <w:rPr>
                <w:rFonts w:eastAsia="Lucida Sans Unicode"/>
                <w:sz w:val="22"/>
                <w:szCs w:val="22"/>
                <w:lang w:val="ru-RU"/>
              </w:rPr>
            </w:pPr>
            <w:r>
              <w:rPr>
                <w:rFonts w:eastAsia="Lucida Sans Unicode"/>
                <w:sz w:val="22"/>
                <w:szCs w:val="22"/>
                <w:lang w:val="ru-RU"/>
              </w:rPr>
            </w:r>
          </w:p>
        </w:tc>
        <w:tc>
          <w:tcPr>
            <w:tcW w:w="2162" w:type="dxa"/>
            <w:tcBorders>
              <w:top w:val="single" w:sz="4" w:space="0" w:color="000000"/>
              <w:left w:val="single" w:sz="4" w:space="0" w:color="000000"/>
              <w:bottom w:val="single" w:sz="4" w:space="0" w:color="000000"/>
              <w:right w:val="single" w:sz="4" w:space="0" w:color="000000"/>
            </w:tcBorders>
          </w:tcPr>
          <w:p>
            <w:pPr>
              <w:pStyle w:val="Normal"/>
              <w:spacing w:before="0" w:after="280"/>
              <w:jc w:val="left"/>
              <w:rPr>
                <w:sz w:val="22"/>
                <w:szCs w:val="22"/>
              </w:rPr>
            </w:pPr>
            <w:r>
              <w:rPr>
                <w:sz w:val="22"/>
                <w:szCs w:val="22"/>
                <w:lang w:val="ru-RU"/>
              </w:rPr>
              <w:t>Форм-фактор / тип</w:t>
            </w:r>
          </w:p>
          <w:p>
            <w:pPr>
              <w:pStyle w:val="Normal"/>
              <w:spacing w:before="280" w:after="0"/>
              <w:jc w:val="left"/>
              <w:rPr>
                <w:sz w:val="22"/>
                <w:szCs w:val="22"/>
              </w:rPr>
            </w:pPr>
            <w:r>
              <w:rPr>
                <w:sz w:val="22"/>
                <w:szCs w:val="22"/>
                <w:lang w:val="ru-RU"/>
              </w:rPr>
              <w:t>Интерфейсы</w:t>
            </w:r>
          </w:p>
          <w:p>
            <w:pPr>
              <w:pStyle w:val="Normal"/>
              <w:spacing w:before="0" w:after="0"/>
              <w:jc w:val="left"/>
              <w:rPr>
                <w:sz w:val="22"/>
                <w:szCs w:val="22"/>
              </w:rPr>
            </w:pPr>
            <w:r>
              <w:rPr>
                <w:sz w:val="22"/>
                <w:szCs w:val="22"/>
                <w:lang w:val="ru-RU"/>
              </w:rPr>
              <w:t>Объем</w:t>
            </w:r>
          </w:p>
        </w:tc>
        <w:tc>
          <w:tcPr>
            <w:tcW w:w="1859" w:type="dxa"/>
            <w:tcBorders>
              <w:top w:val="single" w:sz="4" w:space="0" w:color="000000"/>
              <w:left w:val="single" w:sz="4" w:space="0" w:color="000000"/>
              <w:bottom w:val="single" w:sz="4" w:space="0" w:color="000000"/>
              <w:right w:val="single" w:sz="4" w:space="0" w:color="000000"/>
            </w:tcBorders>
          </w:tcPr>
          <w:p>
            <w:pPr>
              <w:pStyle w:val="Normal"/>
              <w:spacing w:before="0" w:after="280"/>
              <w:jc w:val="left"/>
              <w:rPr>
                <w:sz w:val="22"/>
                <w:szCs w:val="22"/>
              </w:rPr>
            </w:pPr>
            <w:r>
              <w:rPr>
                <w:sz w:val="22"/>
                <w:szCs w:val="22"/>
              </w:rPr>
              <w:t>2,5”/ SSD</w:t>
            </w:r>
          </w:p>
          <w:p>
            <w:pPr>
              <w:pStyle w:val="Normal"/>
              <w:spacing w:before="280" w:after="0"/>
              <w:jc w:val="left"/>
              <w:rPr>
                <w:sz w:val="22"/>
                <w:szCs w:val="22"/>
              </w:rPr>
            </w:pPr>
            <w:r>
              <w:rPr>
                <w:sz w:val="22"/>
                <w:szCs w:val="22"/>
              </w:rPr>
              <w:t>SATA III</w:t>
            </w:r>
          </w:p>
          <w:p>
            <w:pPr>
              <w:pStyle w:val="Normal"/>
              <w:spacing w:before="0" w:after="0"/>
              <w:jc w:val="left"/>
              <w:rPr>
                <w:sz w:val="22"/>
                <w:szCs w:val="22"/>
              </w:rPr>
            </w:pPr>
            <w:r>
              <w:rPr>
                <w:sz w:val="22"/>
                <w:szCs w:val="22"/>
                <w:lang w:eastAsia="ru-RU"/>
              </w:rPr>
              <w:t>≥</w:t>
            </w:r>
            <w:r>
              <w:rPr>
                <w:sz w:val="22"/>
                <w:szCs w:val="22"/>
              </w:rPr>
              <w:t>500 ГБ</w:t>
            </w:r>
          </w:p>
        </w:tc>
      </w:tr>
      <w:tr>
        <w:trPr>
          <w:trHeight w:val="192" w:hRule="atLeast"/>
        </w:trPr>
        <w:tc>
          <w:tcPr>
            <w:tcW w:w="10019" w:type="dxa"/>
            <w:gridSpan w:val="7"/>
            <w:tcBorders>
              <w:top w:val="single" w:sz="4" w:space="0" w:color="000000"/>
              <w:left w:val="single" w:sz="4" w:space="0" w:color="000000"/>
              <w:bottom w:val="single" w:sz="4" w:space="0" w:color="000000"/>
              <w:right w:val="single" w:sz="4" w:space="0" w:color="000000"/>
            </w:tcBorders>
          </w:tcPr>
          <w:p>
            <w:pPr>
              <w:pStyle w:val="Normal"/>
              <w:spacing w:before="280" w:after="0"/>
              <w:rPr>
                <w:sz w:val="20"/>
                <w:szCs w:val="20"/>
                <w:lang w:val="ru-RU"/>
              </w:rPr>
            </w:pPr>
            <w:r>
              <w:rPr>
                <w:sz w:val="18"/>
                <w:szCs w:val="18"/>
                <w:lang w:val="ru-RU" w:eastAsia="ru-RU"/>
              </w:rPr>
              <w:t xml:space="preserve">Назначение для моноблока в связи с чем </w:t>
            </w:r>
            <w:r>
              <w:rPr>
                <w:sz w:val="18"/>
                <w:szCs w:val="18"/>
                <w:lang w:val="ru-RU"/>
              </w:rPr>
              <w:t xml:space="preserve">толщина - </w:t>
            </w:r>
            <w:r>
              <w:rPr>
                <w:b/>
                <w:bCs/>
                <w:sz w:val="18"/>
                <w:szCs w:val="18"/>
                <w:lang w:val="ru-RU"/>
              </w:rPr>
              <w:t>не более 7,0 мм,</w:t>
            </w:r>
            <w:r>
              <w:rPr>
                <w:sz w:val="18"/>
                <w:szCs w:val="18"/>
                <w:lang w:val="ru-RU" w:eastAsia="ru-RU"/>
              </w:rPr>
              <w:t xml:space="preserve"> </w:t>
            </w:r>
            <w:r>
              <w:rPr>
                <w:sz w:val="18"/>
                <w:szCs w:val="18"/>
                <w:lang w:val="ru-RU"/>
              </w:rPr>
              <w:t xml:space="preserve">Скорость чтения  - </w:t>
            </w:r>
            <w:r>
              <w:rPr>
                <w:sz w:val="18"/>
                <w:szCs w:val="18"/>
                <w:lang w:val="ru-RU" w:eastAsia="ru-RU"/>
              </w:rPr>
              <w:t>≥</w:t>
            </w:r>
            <w:r>
              <w:rPr>
                <w:sz w:val="18"/>
                <w:szCs w:val="18"/>
                <w:lang w:val="ru-RU"/>
              </w:rPr>
              <w:t xml:space="preserve"> 560 МБ/с, Скорость записи  - </w:t>
            </w:r>
            <w:r>
              <w:rPr>
                <w:sz w:val="18"/>
                <w:szCs w:val="18"/>
                <w:lang w:val="ru-RU" w:eastAsia="ru-RU"/>
              </w:rPr>
              <w:t xml:space="preserve">≥ </w:t>
            </w:r>
            <w:r>
              <w:rPr>
                <w:sz w:val="18"/>
                <w:szCs w:val="18"/>
                <w:lang w:val="ru-RU"/>
              </w:rPr>
              <w:t>530 МБ/с , Тип флэш-памяти - 3</w:t>
            </w:r>
            <w:r>
              <w:rPr>
                <w:sz w:val="18"/>
                <w:szCs w:val="18"/>
              </w:rPr>
              <w:t>D</w:t>
            </w:r>
            <w:r>
              <w:rPr>
                <w:sz w:val="18"/>
                <w:szCs w:val="18"/>
                <w:lang w:val="ru-RU"/>
              </w:rPr>
              <w:t xml:space="preserve"> </w:t>
            </w:r>
            <w:r>
              <w:rPr>
                <w:sz w:val="18"/>
                <w:szCs w:val="18"/>
              </w:rPr>
              <w:t>TLC</w:t>
            </w:r>
            <w:r>
              <w:rPr>
                <w:sz w:val="18"/>
                <w:szCs w:val="18"/>
                <w:lang w:val="ru-RU"/>
              </w:rPr>
              <w:t xml:space="preserve"> , Время наработки на отказ - 1</w:t>
            </w:r>
            <w:r>
              <w:rPr>
                <w:sz w:val="18"/>
                <w:szCs w:val="18"/>
              </w:rPr>
              <w:t> </w:t>
            </w:r>
            <w:r>
              <w:rPr>
                <w:sz w:val="18"/>
                <w:szCs w:val="18"/>
                <w:lang w:val="ru-RU"/>
              </w:rPr>
              <w:t xml:space="preserve">500 000 ч, Потребляемая мощность - </w:t>
            </w:r>
            <w:r>
              <w:rPr>
                <w:sz w:val="18"/>
                <w:szCs w:val="18"/>
                <w:lang w:val="ru-RU" w:eastAsia="ru-RU"/>
              </w:rPr>
              <w:t xml:space="preserve">не более </w:t>
            </w:r>
            <w:r>
              <w:rPr>
                <w:sz w:val="18"/>
                <w:szCs w:val="18"/>
                <w:lang w:val="ru-RU"/>
              </w:rPr>
              <w:t xml:space="preserve">3,5 Вт, Ресурс </w:t>
            </w:r>
            <w:r>
              <w:rPr>
                <w:sz w:val="18"/>
                <w:szCs w:val="18"/>
              </w:rPr>
              <w:t>TBW</w:t>
            </w:r>
            <w:r>
              <w:rPr>
                <w:sz w:val="18"/>
                <w:szCs w:val="18"/>
                <w:lang w:val="ru-RU"/>
              </w:rPr>
              <w:t xml:space="preserve"> - 300 ТБ, Скорость произвольного чтения (4КВ) (</w:t>
            </w:r>
            <w:r>
              <w:rPr>
                <w:sz w:val="18"/>
                <w:szCs w:val="18"/>
              </w:rPr>
              <w:t>IOPS</w:t>
            </w:r>
            <w:r>
              <w:rPr>
                <w:sz w:val="18"/>
                <w:szCs w:val="18"/>
                <w:lang w:val="ru-RU"/>
              </w:rPr>
              <w:t xml:space="preserve">) - </w:t>
            </w:r>
            <w:r>
              <w:rPr>
                <w:sz w:val="18"/>
                <w:szCs w:val="18"/>
                <w:lang w:val="ru-RU" w:eastAsia="ru-RU"/>
              </w:rPr>
              <w:t xml:space="preserve">98000, </w:t>
            </w:r>
            <w:r>
              <w:rPr>
                <w:sz w:val="18"/>
                <w:szCs w:val="18"/>
                <w:lang w:val="ru-RU"/>
              </w:rPr>
              <w:t>Скорость произвольной записи (4КВ) (</w:t>
            </w:r>
            <w:r>
              <w:rPr>
                <w:sz w:val="18"/>
                <w:szCs w:val="18"/>
              </w:rPr>
              <w:t>IOPS</w:t>
            </w:r>
            <w:r>
              <w:rPr>
                <w:sz w:val="18"/>
                <w:szCs w:val="18"/>
                <w:lang w:val="ru-RU"/>
              </w:rPr>
              <w:t xml:space="preserve">) — </w:t>
            </w:r>
            <w:r>
              <w:rPr>
                <w:sz w:val="18"/>
                <w:szCs w:val="18"/>
                <w:lang w:val="ru-RU" w:eastAsia="ru-RU"/>
              </w:rPr>
              <w:t>88000</w:t>
            </w:r>
          </w:p>
          <w:p>
            <w:pPr>
              <w:pStyle w:val="Normal"/>
              <w:tabs>
                <w:tab w:val="clear" w:pos="708"/>
                <w:tab w:val="left" w:pos="1134" w:leader="none"/>
              </w:tabs>
              <w:spacing w:before="0" w:after="0"/>
              <w:jc w:val="both"/>
              <w:rPr>
                <w:lang w:val="ru-RU"/>
              </w:rPr>
            </w:pPr>
            <w:r>
              <w:rPr>
                <w:lang w:val="ru-RU"/>
              </w:rPr>
            </w:r>
          </w:p>
          <w:p>
            <w:pPr>
              <w:pStyle w:val="Normal"/>
              <w:tabs>
                <w:tab w:val="clear" w:pos="708"/>
                <w:tab w:val="left" w:pos="1134" w:leader="none"/>
              </w:tabs>
              <w:spacing w:before="0" w:after="0"/>
              <w:jc w:val="both"/>
              <w:rPr>
                <w:lang w:val="ru-RU"/>
              </w:rPr>
            </w:pPr>
            <w:r>
              <w:rPr>
                <w:sz w:val="24"/>
                <w:szCs w:val="24"/>
                <w:lang w:val="ru-RU" w:eastAsia="ru-RU"/>
              </w:rPr>
              <w:t xml:space="preserve">Оборудование (товарный знак и модель) и программное обеспечение, имеющееся у Государственного заказчика и требующие совместимости с поставляемым оборудованием: </w:t>
            </w:r>
            <w:r>
              <w:rPr>
                <w:b/>
                <w:bCs/>
                <w:sz w:val="24"/>
                <w:szCs w:val="24"/>
                <w:lang w:val="ru-RU" w:eastAsia="ru-RU"/>
              </w:rPr>
              <w:t>моноблок DELL.</w:t>
            </w:r>
          </w:p>
        </w:tc>
      </w:tr>
    </w:tbl>
    <w:p>
      <w:pPr>
        <w:pStyle w:val="Normal"/>
        <w:tabs>
          <w:tab w:val="clear" w:pos="708"/>
          <w:tab w:val="left" w:pos="142" w:leader="none"/>
          <w:tab w:val="left" w:pos="993" w:leader="none"/>
        </w:tabs>
        <w:spacing w:before="0" w:after="0"/>
        <w:rPr>
          <w:color w:val="000000"/>
          <w:shd w:fill="FFFFFF" w:val="clear"/>
          <w:lang w:val="ru-RU"/>
        </w:rPr>
      </w:pPr>
      <w:r>
        <w:rPr>
          <w:color w:val="000000"/>
          <w:shd w:fill="FFFFFF" w:val="clear"/>
          <w:lang w:val="ru-RU"/>
        </w:rPr>
      </w:r>
    </w:p>
    <w:p>
      <w:pPr>
        <w:pStyle w:val="Normal"/>
        <w:tabs>
          <w:tab w:val="clear" w:pos="708"/>
          <w:tab w:val="left" w:pos="142" w:leader="none"/>
          <w:tab w:val="left" w:pos="993" w:leader="none"/>
        </w:tabs>
        <w:spacing w:before="0" w:after="0"/>
        <w:rPr>
          <w:lang w:val="ru-RU"/>
        </w:rPr>
      </w:pPr>
      <w:r>
        <w:rPr>
          <w:lang w:val="ru-RU"/>
        </w:rPr>
      </w:r>
    </w:p>
    <w:p>
      <w:pPr>
        <w:pStyle w:val="Normal"/>
        <w:spacing w:before="0" w:after="227"/>
        <w:jc w:val="both"/>
        <w:rPr>
          <w:lang w:val="ru-RU"/>
        </w:rPr>
      </w:pPr>
      <w:r>
        <w:rPr>
          <w:b/>
          <w:bCs/>
          <w:sz w:val="24"/>
          <w:szCs w:val="24"/>
          <w:lang w:val="ru-RU"/>
        </w:rPr>
        <w:t xml:space="preserve">3. Место поставки: </w:t>
      </w:r>
      <w:r>
        <w:rPr>
          <w:bCs/>
          <w:sz w:val="24"/>
          <w:szCs w:val="24"/>
          <w:lang w:val="ru-RU"/>
        </w:rPr>
        <w:t>РФ, 123242, г. Москва, Нововаганьковский пер., д.8.</w:t>
      </w:r>
    </w:p>
    <w:p>
      <w:pPr>
        <w:pStyle w:val="Normal"/>
        <w:tabs>
          <w:tab w:val="clear" w:pos="708"/>
          <w:tab w:val="left" w:pos="709" w:leader="none"/>
          <w:tab w:val="left" w:pos="993" w:leader="none"/>
        </w:tabs>
        <w:spacing w:before="0" w:after="0"/>
        <w:jc w:val="both"/>
        <w:rPr>
          <w:lang w:val="ru-RU"/>
        </w:rPr>
      </w:pPr>
      <w:r>
        <w:rPr>
          <w:b/>
          <w:bCs/>
          <w:sz w:val="24"/>
          <w:szCs w:val="24"/>
          <w:lang w:val="ru-RU"/>
        </w:rPr>
        <w:t xml:space="preserve">4. Срок поставки: </w:t>
      </w:r>
      <w:r>
        <w:rPr>
          <w:sz w:val="24"/>
          <w:szCs w:val="24"/>
          <w:lang w:val="ru-RU"/>
        </w:rPr>
        <w:t>Поставка Товара должна быть осуществлена одной партией в места поставки Товара, с даты заключения Государственного контракта, в течение 10 (десять) календарных дней, в рабочие дни с 09.00 до 16.00 (понедельник, вторник, среда, четверг, пятница (время московское)), кроме выходных и официально объявленных праздничных дней.</w:t>
      </w:r>
    </w:p>
    <w:p>
      <w:pPr>
        <w:pStyle w:val="Normal"/>
        <w:tabs>
          <w:tab w:val="clear" w:pos="708"/>
          <w:tab w:val="left" w:pos="709" w:leader="none"/>
          <w:tab w:val="left" w:pos="993" w:leader="none"/>
        </w:tabs>
        <w:spacing w:before="0" w:after="0"/>
        <w:jc w:val="both"/>
        <w:rPr>
          <w:lang w:val="ru-RU"/>
        </w:rPr>
      </w:pPr>
      <w:r>
        <w:rPr>
          <w:sz w:val="24"/>
          <w:szCs w:val="24"/>
          <w:lang w:val="ru-RU"/>
        </w:rPr>
        <w:tab/>
        <w:t xml:space="preserve">Не позднее, чем за 1 (один) рабочий день до даты доставки (отгрузки) Товара в Место поставки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 </w:t>
      </w:r>
    </w:p>
    <w:p>
      <w:pPr>
        <w:pStyle w:val="Normal"/>
        <w:tabs>
          <w:tab w:val="clear" w:pos="708"/>
          <w:tab w:val="left" w:pos="709" w:leader="none"/>
          <w:tab w:val="left" w:pos="993" w:leader="none"/>
        </w:tabs>
        <w:spacing w:before="0" w:after="120"/>
        <w:jc w:val="both"/>
        <w:rPr>
          <w:b/>
          <w:bCs/>
          <w:sz w:val="24"/>
          <w:szCs w:val="24"/>
          <w:lang w:val="ru-RU"/>
        </w:rPr>
      </w:pPr>
      <w:r>
        <w:rPr>
          <w:b/>
          <w:bCs/>
          <w:sz w:val="24"/>
          <w:szCs w:val="24"/>
          <w:lang w:val="ru-RU"/>
        </w:rPr>
        <w:t xml:space="preserve">Контактный номер телефона для поставки: +7 499-795-20-44. </w:t>
      </w:r>
    </w:p>
    <w:p>
      <w:pPr>
        <w:pStyle w:val="Normal"/>
        <w:tabs>
          <w:tab w:val="clear" w:pos="708"/>
          <w:tab w:val="left" w:pos="284" w:leader="none"/>
          <w:tab w:val="left" w:pos="993" w:leader="none"/>
        </w:tabs>
        <w:spacing w:before="0" w:after="280"/>
        <w:ind w:left="1211"/>
        <w:jc w:val="center"/>
        <w:rPr>
          <w:b/>
          <w:bCs/>
          <w:sz w:val="24"/>
          <w:szCs w:val="24"/>
          <w:lang w:val="ru-RU"/>
        </w:rPr>
      </w:pPr>
      <w:r>
        <w:rPr>
          <w:b/>
          <w:bCs/>
          <w:sz w:val="24"/>
          <w:szCs w:val="24"/>
          <w:lang w:val="ru-RU"/>
        </w:rPr>
        <w:t>5. Условия поставки:</w:t>
      </w:r>
    </w:p>
    <w:p>
      <w:pPr>
        <w:pStyle w:val="Normal"/>
        <w:tabs>
          <w:tab w:val="clear" w:pos="708"/>
          <w:tab w:val="left" w:pos="284" w:leader="none"/>
          <w:tab w:val="left" w:pos="993" w:leader="none"/>
        </w:tabs>
        <w:spacing w:before="0" w:after="0"/>
        <w:jc w:val="both"/>
        <w:rPr>
          <w:lang w:val="ru-RU"/>
        </w:rPr>
      </w:pPr>
      <w:r>
        <w:rPr>
          <w:b/>
          <w:bCs/>
          <w:sz w:val="24"/>
          <w:szCs w:val="24"/>
          <w:lang w:val="ru-RU"/>
        </w:rPr>
        <w:t xml:space="preserve">5.1. </w:t>
      </w:r>
      <w:r>
        <w:rPr>
          <w:bCs/>
          <w:sz w:val="24"/>
          <w:szCs w:val="24"/>
          <w:lang w:val="ru-RU"/>
        </w:rPr>
        <w:t xml:space="preserve"> Погрузка, доставка, разгрузка проводится за счет Поставщика в пределах сроков, установленных в </w:t>
      </w:r>
      <w:r>
        <w:rPr>
          <w:sz w:val="24"/>
          <w:szCs w:val="24"/>
          <w:lang w:val="ru-RU"/>
        </w:rPr>
        <w:t xml:space="preserve">пункте 4 настоящего Технического задания. </w:t>
      </w:r>
    </w:p>
    <w:p>
      <w:pPr>
        <w:pStyle w:val="Normal"/>
        <w:tabs>
          <w:tab w:val="clear" w:pos="708"/>
          <w:tab w:val="left" w:pos="284" w:leader="none"/>
          <w:tab w:val="left" w:pos="993" w:leader="none"/>
        </w:tabs>
        <w:spacing w:before="0" w:after="0"/>
        <w:jc w:val="both"/>
        <w:rPr>
          <w:lang w:val="ru-RU"/>
        </w:rPr>
      </w:pPr>
      <w:r>
        <w:rPr>
          <w:b/>
          <w:bCs/>
          <w:sz w:val="24"/>
          <w:szCs w:val="24"/>
          <w:lang w:val="ru-RU"/>
        </w:rPr>
        <w:t>5.2.</w:t>
      </w:r>
      <w:r>
        <w:rPr>
          <w:bCs/>
          <w:sz w:val="24"/>
          <w:szCs w:val="24"/>
          <w:lang w:val="ru-RU"/>
        </w:rPr>
        <w:t xml:space="preserve"> Товар должен сопровождаться следующими документами:</w:t>
      </w:r>
    </w:p>
    <w:p>
      <w:pPr>
        <w:pStyle w:val="Normal"/>
        <w:spacing w:before="0" w:after="0"/>
        <w:contextualSpacing/>
        <w:jc w:val="both"/>
        <w:rPr>
          <w:lang w:val="ru-RU"/>
        </w:rPr>
      </w:pPr>
      <w:r>
        <w:rPr>
          <w:b/>
          <w:bCs/>
          <w:sz w:val="24"/>
          <w:szCs w:val="24"/>
          <w:lang w:val="ru-RU"/>
        </w:rPr>
        <w:t xml:space="preserve">- </w:t>
      </w:r>
      <w:r>
        <w:rPr>
          <w:bCs/>
          <w:sz w:val="24"/>
          <w:szCs w:val="24"/>
          <w:lang w:val="ru-RU"/>
        </w:rPr>
        <w:t>сертификатом (паспортом) качества завода-изготовителя на русском языке на каждую серию товара;</w:t>
      </w:r>
    </w:p>
    <w:p>
      <w:pPr>
        <w:pStyle w:val="Normal"/>
        <w:spacing w:before="0" w:after="0"/>
        <w:contextualSpacing/>
        <w:jc w:val="both"/>
        <w:rPr>
          <w:bCs/>
          <w:sz w:val="24"/>
          <w:szCs w:val="24"/>
          <w:lang w:val="ru-RU"/>
        </w:rPr>
      </w:pPr>
      <w:r>
        <w:rPr>
          <w:bCs/>
          <w:sz w:val="24"/>
          <w:szCs w:val="24"/>
          <w:lang w:val="ru-RU"/>
        </w:rPr>
        <w:t>- сертификатом соответствия (для продукции, включенной в перечень продукции, подлежащей обязательной сертификации);</w:t>
      </w:r>
    </w:p>
    <w:p>
      <w:pPr>
        <w:pStyle w:val="Normal"/>
        <w:spacing w:before="0" w:after="0"/>
        <w:contextualSpacing/>
        <w:jc w:val="both"/>
        <w:rPr>
          <w:bCs/>
          <w:sz w:val="24"/>
          <w:szCs w:val="24"/>
          <w:lang w:val="ru-RU"/>
        </w:rPr>
      </w:pPr>
      <w:r>
        <w:rPr>
          <w:bCs/>
          <w:sz w:val="24"/>
          <w:szCs w:val="24"/>
          <w:lang w:val="ru-RU"/>
        </w:rPr>
        <w:t>-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tabs>
          <w:tab w:val="clear" w:pos="708"/>
          <w:tab w:val="left" w:pos="709" w:leader="none"/>
          <w:tab w:val="left" w:pos="993" w:leader="none"/>
        </w:tabs>
        <w:jc w:val="center"/>
        <w:rPr>
          <w:lang w:val="ru-RU"/>
        </w:rPr>
      </w:pPr>
      <w:r>
        <w:rPr>
          <w:b/>
          <w:bCs/>
          <w:sz w:val="24"/>
          <w:szCs w:val="24"/>
          <w:lang w:val="ru-RU"/>
        </w:rPr>
        <w:t>6. Требования</w:t>
      </w:r>
      <w:r>
        <w:rPr>
          <w:b/>
          <w:sz w:val="24"/>
          <w:szCs w:val="24"/>
          <w:lang w:val="ru-RU"/>
        </w:rPr>
        <w:t xml:space="preserve"> к качеству и безопасности товара.</w:t>
      </w:r>
    </w:p>
    <w:p>
      <w:pPr>
        <w:pStyle w:val="Normal"/>
        <w:tabs>
          <w:tab w:val="clear" w:pos="708"/>
          <w:tab w:val="left" w:pos="1134" w:leader="none"/>
        </w:tabs>
        <w:spacing w:before="0" w:after="0"/>
        <w:jc w:val="both"/>
        <w:rPr>
          <w:lang w:val="ru-RU"/>
        </w:rPr>
      </w:pPr>
      <w:r>
        <w:rPr>
          <w:b/>
          <w:sz w:val="24"/>
          <w:szCs w:val="24"/>
          <w:lang w:val="ru-RU"/>
        </w:rPr>
        <w:t>6.1</w:t>
      </w:r>
      <w:r>
        <w:rPr>
          <w:sz w:val="24"/>
          <w:szCs w:val="24"/>
          <w:lang w:val="ru-RU"/>
        </w:rPr>
        <w:t>.</w:t>
        <w:tab/>
        <w:t>Поставляемый Товар должен быть новым Товаром (товаром, который не был в употреблении, в ремонте).</w:t>
      </w:r>
    </w:p>
    <w:p>
      <w:pPr>
        <w:pStyle w:val="Normal"/>
        <w:tabs>
          <w:tab w:val="clear" w:pos="708"/>
          <w:tab w:val="left" w:pos="1134" w:leader="none"/>
        </w:tabs>
        <w:spacing w:before="0" w:after="0"/>
        <w:jc w:val="both"/>
        <w:rPr>
          <w:lang w:val="ru-RU"/>
        </w:rPr>
      </w:pPr>
      <w:r>
        <w:rPr>
          <w:b/>
          <w:sz w:val="24"/>
          <w:szCs w:val="24"/>
          <w:lang w:val="ru-RU"/>
        </w:rPr>
        <w:t>6.2</w:t>
      </w:r>
      <w:r>
        <w:rPr>
          <w:sz w:val="24"/>
          <w:szCs w:val="24"/>
          <w:lang w:val="ru-RU"/>
        </w:rPr>
        <w:t>.</w:t>
        <w:tab/>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Normal"/>
        <w:tabs>
          <w:tab w:val="clear" w:pos="708"/>
          <w:tab w:val="left" w:pos="1134" w:leader="none"/>
        </w:tabs>
        <w:spacing w:before="0" w:after="0"/>
        <w:jc w:val="both"/>
        <w:rPr>
          <w:lang w:val="ru-RU"/>
        </w:rPr>
      </w:pPr>
      <w:r>
        <w:rPr>
          <w:b/>
          <w:sz w:val="24"/>
          <w:szCs w:val="24"/>
          <w:lang w:val="ru-RU"/>
        </w:rPr>
        <w:t>6.3.</w:t>
      </w:r>
      <w:r>
        <w:rPr>
          <w:sz w:val="24"/>
          <w:szCs w:val="24"/>
          <w:lang w:val="ru-RU"/>
        </w:rPr>
        <w:tab/>
        <w:t>Качественные характеристики Товара должны соответствовать настоящим техническим требованиям, соответствовать требованиям стандартов и технических условий, установленных в Российской Федерации.</w:t>
      </w:r>
    </w:p>
    <w:p>
      <w:pPr>
        <w:pStyle w:val="Normal"/>
        <w:tabs>
          <w:tab w:val="clear" w:pos="708"/>
          <w:tab w:val="left" w:pos="1134" w:leader="none"/>
        </w:tabs>
        <w:spacing w:before="0" w:after="0"/>
        <w:jc w:val="both"/>
        <w:rPr>
          <w:lang w:val="ru-RU"/>
        </w:rPr>
      </w:pPr>
      <w:r>
        <w:rPr>
          <w:lang w:val="ru-RU"/>
        </w:rPr>
      </w:r>
    </w:p>
    <w:p>
      <w:pPr>
        <w:pStyle w:val="Normal"/>
        <w:tabs>
          <w:tab w:val="clear" w:pos="708"/>
          <w:tab w:val="left" w:pos="709" w:leader="none"/>
          <w:tab w:val="left" w:pos="993" w:leader="none"/>
        </w:tabs>
        <w:jc w:val="center"/>
        <w:rPr>
          <w:b/>
          <w:bCs/>
          <w:sz w:val="24"/>
          <w:szCs w:val="24"/>
          <w:lang w:val="ru-RU"/>
        </w:rPr>
      </w:pPr>
      <w:r>
        <w:rPr>
          <w:b/>
          <w:bCs/>
          <w:sz w:val="24"/>
          <w:szCs w:val="24"/>
          <w:lang w:val="ru-RU"/>
        </w:rPr>
        <w:t>7. Требования к упаковке, маркировке товара.</w:t>
      </w:r>
    </w:p>
    <w:p>
      <w:pPr>
        <w:pStyle w:val="Normal"/>
        <w:spacing w:before="0" w:after="0"/>
        <w:jc w:val="both"/>
        <w:rPr>
          <w:lang w:val="ru-RU"/>
        </w:rPr>
      </w:pPr>
      <w:r>
        <w:rPr>
          <w:b/>
          <w:sz w:val="24"/>
          <w:szCs w:val="24"/>
          <w:lang w:val="ru-RU"/>
        </w:rPr>
        <w:t>7.1.</w:t>
      </w:r>
      <w:r>
        <w:rPr>
          <w:sz w:val="24"/>
          <w:szCs w:val="24"/>
          <w:lang w:val="ru-RU"/>
        </w:rPr>
        <w:t xml:space="preserve"> 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Normal"/>
        <w:tabs>
          <w:tab w:val="clear" w:pos="708"/>
          <w:tab w:val="left" w:pos="709" w:leader="none"/>
          <w:tab w:val="left" w:pos="1134" w:leader="none"/>
        </w:tabs>
        <w:spacing w:before="0" w:after="0"/>
        <w:jc w:val="both"/>
        <w:rPr>
          <w:lang w:val="ru-RU"/>
        </w:rPr>
      </w:pPr>
      <w:r>
        <w:rPr>
          <w:b/>
          <w:sz w:val="24"/>
          <w:szCs w:val="24"/>
          <w:lang w:val="ru-RU"/>
        </w:rPr>
        <w:t>7.2.</w:t>
      </w:r>
      <w:r>
        <w:rPr>
          <w:sz w:val="24"/>
          <w:szCs w:val="24"/>
          <w:lang w:val="ru-RU"/>
        </w:rPr>
        <w:t xml:space="preserve"> Товар должен поставляться в упаковке, соответствующей характеру и способу транспортировки. </w:t>
      </w:r>
    </w:p>
    <w:p>
      <w:pPr>
        <w:pStyle w:val="Normal"/>
        <w:tabs>
          <w:tab w:val="clear" w:pos="708"/>
          <w:tab w:val="left" w:pos="709" w:leader="none"/>
        </w:tabs>
        <w:spacing w:before="0" w:after="0"/>
        <w:jc w:val="both"/>
        <w:rPr>
          <w:lang w:val="ru-RU"/>
        </w:rPr>
      </w:pPr>
      <w:r>
        <w:rPr>
          <w:b/>
          <w:sz w:val="24"/>
          <w:szCs w:val="24"/>
          <w:lang w:val="ru-RU"/>
        </w:rPr>
        <w:t>7.3.</w:t>
      </w:r>
      <w:r>
        <w:rPr>
          <w:sz w:val="24"/>
          <w:szCs w:val="24"/>
          <w:lang w:val="ru-RU"/>
        </w:rPr>
        <w:t xml:space="preserve"> 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Normal"/>
        <w:spacing w:before="0" w:after="0"/>
        <w:jc w:val="both"/>
        <w:rPr>
          <w:lang w:val="ru-RU"/>
        </w:rPr>
      </w:pPr>
      <w:r>
        <w:rPr>
          <w:b/>
          <w:sz w:val="24"/>
          <w:szCs w:val="24"/>
          <w:lang w:val="ru-RU"/>
        </w:rPr>
        <w:t>7.4.</w:t>
      </w:r>
      <w:r>
        <w:rPr>
          <w:sz w:val="24"/>
          <w:szCs w:val="24"/>
          <w:lang w:val="ru-RU"/>
        </w:rPr>
        <w:t xml:space="preserve"> Маркировка Товара должна обеспечивать полную и однозначную идентификацию каждой единицы Товара при его приемке.</w:t>
      </w:r>
    </w:p>
    <w:p>
      <w:pPr>
        <w:pStyle w:val="Normal"/>
        <w:spacing w:before="0" w:after="0"/>
        <w:jc w:val="both"/>
        <w:rPr>
          <w:lang w:val="ru-RU"/>
        </w:rPr>
      </w:pPr>
      <w:r>
        <w:rPr>
          <w:lang w:val="ru-RU"/>
        </w:rPr>
      </w:r>
    </w:p>
    <w:p>
      <w:pPr>
        <w:pStyle w:val="Normal"/>
        <w:spacing w:before="0" w:after="0"/>
        <w:jc w:val="center"/>
        <w:rPr>
          <w:b/>
          <w:bCs/>
          <w:sz w:val="24"/>
          <w:szCs w:val="24"/>
          <w:lang w:val="ru-RU"/>
        </w:rPr>
      </w:pPr>
      <w:r>
        <w:rPr>
          <w:b/>
          <w:bCs/>
          <w:sz w:val="24"/>
          <w:szCs w:val="24"/>
          <w:lang w:val="ru-RU"/>
        </w:rPr>
        <w:t>8. Требования к гарантии на товар</w:t>
      </w:r>
    </w:p>
    <w:p>
      <w:pPr>
        <w:pStyle w:val="Normal"/>
        <w:spacing w:before="0" w:after="0"/>
        <w:jc w:val="center"/>
        <w:rPr>
          <w:b/>
          <w:bCs/>
          <w:sz w:val="24"/>
          <w:szCs w:val="24"/>
          <w:lang w:val="ru-RU"/>
        </w:rPr>
      </w:pPr>
      <w:r>
        <w:rPr>
          <w:b/>
          <w:bCs/>
          <w:sz w:val="24"/>
          <w:szCs w:val="24"/>
          <w:lang w:val="ru-RU"/>
        </w:rPr>
      </w:r>
    </w:p>
    <w:p>
      <w:pPr>
        <w:pStyle w:val="Normal"/>
        <w:spacing w:before="0" w:after="0"/>
        <w:jc w:val="both"/>
        <w:rPr>
          <w:sz w:val="24"/>
          <w:szCs w:val="24"/>
          <w:lang w:val="ru-RU"/>
        </w:rPr>
      </w:pPr>
      <w:r>
        <w:rPr>
          <w:b/>
          <w:bCs/>
          <w:sz w:val="24"/>
          <w:szCs w:val="24"/>
          <w:lang w:val="ru-RU"/>
        </w:rPr>
        <w:t>8.1.</w:t>
      </w:r>
      <w:r>
        <w:rPr>
          <w:sz w:val="24"/>
          <w:szCs w:val="24"/>
          <w:lang w:val="ru-RU"/>
        </w:rPr>
        <w:t xml:space="preserve"> Товар должен иметь гарантийный срок – не менее 12 месяцев. Началом течения гарантийного срока является дата подписания Государственным заказчиком  документа о приемке товара. </w:t>
      </w:r>
    </w:p>
    <w:p>
      <w:pPr>
        <w:pStyle w:val="Normal"/>
        <w:spacing w:before="0" w:after="0"/>
        <w:jc w:val="both"/>
        <w:rPr>
          <w:sz w:val="24"/>
          <w:szCs w:val="24"/>
          <w:lang w:val="ru-RU"/>
        </w:rPr>
      </w:pPr>
      <w:r>
        <w:rPr>
          <w:b/>
          <w:bCs/>
          <w:sz w:val="24"/>
          <w:szCs w:val="24"/>
          <w:lang w:val="ru-RU"/>
        </w:rPr>
        <w:t xml:space="preserve">8.2. </w:t>
      </w:r>
      <w:r>
        <w:rPr>
          <w:sz w:val="24"/>
          <w:szCs w:val="24"/>
          <w:lang w:val="ru-RU"/>
        </w:rPr>
        <w:t>В период действия гарантийного срока замена Товара или ремонт любой неисправной его части осуществляется Поставщиком за свой счет, если неисправность не является результатом действия непреодолимой силы, неправильного обращения, внесения изменений или повреждения со стороны Государственного заказчика или третьих лиц.</w:t>
      </w:r>
    </w:p>
    <w:p>
      <w:pPr>
        <w:pStyle w:val="Normal"/>
        <w:spacing w:before="0" w:after="0"/>
        <w:jc w:val="both"/>
        <w:rPr>
          <w:sz w:val="24"/>
          <w:szCs w:val="24"/>
          <w:lang w:val="ru-RU"/>
        </w:rPr>
      </w:pPr>
      <w:r>
        <w:rPr>
          <w:b/>
          <w:bCs/>
          <w:sz w:val="24"/>
          <w:szCs w:val="24"/>
          <w:lang w:val="ru-RU"/>
        </w:rPr>
        <w:t>8.3.</w:t>
      </w:r>
      <w:r>
        <w:rPr>
          <w:sz w:val="24"/>
          <w:szCs w:val="24"/>
          <w:lang w:val="ru-RU"/>
        </w:rPr>
        <w:t xml:space="preserve"> Гарантийный срок продлевается на время, в течение которого Товар не мог использоваться из-за обнаруженных в нем недостатков.</w:t>
      </w:r>
    </w:p>
    <w:p>
      <w:pPr>
        <w:pStyle w:val="Normal"/>
        <w:spacing w:before="0" w:after="0"/>
        <w:jc w:val="both"/>
        <w:rPr>
          <w:sz w:val="24"/>
          <w:szCs w:val="24"/>
          <w:lang w:val="ru-RU"/>
        </w:rPr>
      </w:pPr>
      <w:r>
        <w:rPr>
          <w:b/>
          <w:bCs/>
          <w:sz w:val="24"/>
          <w:szCs w:val="24"/>
          <w:lang w:val="ru-RU"/>
        </w:rPr>
        <w:t>8.4.</w:t>
      </w:r>
      <w:r>
        <w:rPr>
          <w:sz w:val="24"/>
          <w:szCs w:val="24"/>
          <w:lang w:val="ru-RU"/>
        </w:rPr>
        <w:t xml:space="preserve"> Гарантийный срок на комплектующее изделие равен гарантийному сроку на основное изделие и начинает течь одновременно с гарантийным сроком на основное изделие.</w:t>
      </w:r>
    </w:p>
    <w:p>
      <w:pPr>
        <w:pStyle w:val="Normal"/>
        <w:spacing w:before="0" w:after="0"/>
        <w:jc w:val="both"/>
        <w:rPr>
          <w:sz w:val="24"/>
          <w:szCs w:val="24"/>
          <w:lang w:val="ru-RU"/>
        </w:rPr>
      </w:pPr>
      <w:r>
        <w:rPr>
          <w:b/>
          <w:bCs/>
          <w:sz w:val="24"/>
          <w:szCs w:val="24"/>
          <w:lang w:val="ru-RU"/>
        </w:rPr>
        <w:t>8.5.</w:t>
      </w:r>
      <w:r>
        <w:rPr>
          <w:sz w:val="24"/>
          <w:szCs w:val="24"/>
          <w:lang w:val="ru-RU"/>
        </w:rPr>
        <w:t xml:space="preserve">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pPr>
        <w:pStyle w:val="Normal"/>
        <w:spacing w:before="0" w:after="0"/>
        <w:jc w:val="both"/>
        <w:rPr>
          <w:sz w:val="24"/>
          <w:szCs w:val="24"/>
          <w:lang w:val="ru-RU"/>
        </w:rPr>
      </w:pPr>
      <w:r>
        <w:rPr>
          <w:b/>
          <w:bCs/>
          <w:sz w:val="24"/>
          <w:szCs w:val="24"/>
          <w:lang w:val="ru-RU"/>
        </w:rPr>
        <w:t>8.6.</w:t>
      </w:r>
      <w:r>
        <w:rPr>
          <w:sz w:val="24"/>
          <w:szCs w:val="24"/>
          <w:lang w:val="ru-RU"/>
        </w:rPr>
        <w:t xml:space="preserve"> Ремонт или замена Товара (комплектующего изделия) производится Поставщиком в течение 10 (десяти) календарных дней с момента получения соответствующего извещения от Государственного заказчика.</w:t>
      </w:r>
    </w:p>
    <w:p>
      <w:pPr>
        <w:pStyle w:val="Normal"/>
        <w:spacing w:before="0" w:after="0"/>
        <w:jc w:val="both"/>
        <w:rPr>
          <w:sz w:val="24"/>
          <w:szCs w:val="24"/>
          <w:lang w:val="ru-RU"/>
        </w:rPr>
      </w:pPr>
      <w:r>
        <w:rPr>
          <w:b/>
          <w:bCs/>
          <w:sz w:val="24"/>
          <w:szCs w:val="24"/>
          <w:lang w:val="ru-RU"/>
        </w:rPr>
        <w:t>8.7.</w:t>
      </w:r>
      <w:r>
        <w:rPr>
          <w:sz w:val="24"/>
          <w:szCs w:val="24"/>
          <w:lang w:val="ru-RU"/>
        </w:rPr>
        <w:t xml:space="preserve"> Доставка неисправного Товара (комплектующего изделия) для ремонта, а также доставка отремонтированного Товара (комплектующего изделия) к Государственному заказчику, осуществляется силами и за счет Поставщика в течение всего Гарантийного периода.</w:t>
      </w:r>
    </w:p>
    <w:p>
      <w:pPr>
        <w:pStyle w:val="Normal"/>
        <w:spacing w:before="0" w:after="0"/>
        <w:jc w:val="both"/>
        <w:rPr>
          <w:sz w:val="24"/>
          <w:szCs w:val="24"/>
          <w:lang w:val="ru-RU"/>
        </w:rPr>
      </w:pPr>
      <w:r>
        <w:rPr>
          <w:sz w:val="24"/>
          <w:szCs w:val="24"/>
          <w:lang w:val="ru-RU"/>
        </w:rPr>
      </w:r>
    </w:p>
    <w:p>
      <w:pPr>
        <w:pStyle w:val="Normal"/>
        <w:spacing w:before="0" w:after="0"/>
        <w:jc w:val="both"/>
        <w:rPr>
          <w:b/>
          <w:bCs/>
        </w:rPr>
      </w:pPr>
      <w:r>
        <w:rPr>
          <w:b/>
          <w:bCs/>
        </w:rPr>
      </w:r>
    </w:p>
    <w:p>
      <w:pPr>
        <w:pStyle w:val="Normal"/>
        <w:spacing w:before="0" w:after="0"/>
        <w:jc w:val="both"/>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both"/>
        <w:rPr>
          <w:sz w:val="24"/>
          <w:szCs w:val="24"/>
          <w:lang w:val="ru-RU"/>
        </w:rPr>
      </w:pPr>
      <w:r>
        <w:rPr>
          <w:sz w:val="24"/>
          <w:szCs w:val="24"/>
          <w:lang w:val="ru-RU"/>
        </w:rPr>
      </w:r>
    </w:p>
    <w:sectPr>
      <w:footerReference w:type="even" r:id="rId12"/>
      <w:footerReference w:type="default" r:id="rId13"/>
      <w:footerReference w:type="first" r:id="rId14"/>
      <w:type w:val="nextPage"/>
      <w:pgSz w:w="11906" w:h="16838"/>
      <w:pgMar w:left="1134" w:right="737" w:gutter="0" w:header="0" w:top="624"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Open Sans">
    <w:charset w:val="01"/>
    <w:family w:val="swiss"/>
    <w:pitch w:val="variable"/>
  </w:font>
  <w:font w:name="Liberation Sans">
    <w:altName w:val="Arial"/>
    <w:charset w:val="01"/>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ConsPlusNormal" w:customStyle="1">
    <w:name w:val="ConsPlusNormal Знак"/>
    <w:qFormat/>
    <w:rPr>
      <w:rFonts w:ascii="Arial" w:hAnsi="Arial" w:eastAsia="Times New Roman" w:cs="Arial"/>
      <w:sz w:val="20"/>
      <w:szCs w:val="20"/>
    </w:rPr>
  </w:style>
  <w:style w:type="character" w:styleId="Style14" w:customStyle="1">
    <w:name w:val="Абзац списка Знак"/>
    <w:qFormat/>
    <w:rPr>
      <w:rFonts w:ascii="Times New Roman" w:hAnsi="Times New Roman" w:eastAsia="Times New Roman" w:cs="Times New Roman"/>
      <w:sz w:val="24"/>
      <w:szCs w:val="24"/>
    </w:rPr>
  </w:style>
  <w:style w:type="character" w:styleId="Style15" w:customStyle="1">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CommentReference">
    <w:name w:val="annotation reference"/>
    <w:qFormat/>
    <w:rPr>
      <w:sz w:val="16"/>
      <w:szCs w:val="16"/>
    </w:rPr>
  </w:style>
  <w:style w:type="character" w:styleId="Style16" w:customStyle="1">
    <w:name w:val="Текст примечания Знак"/>
    <w:qFormat/>
    <w:rPr>
      <w:rFonts w:ascii="Times New Roman" w:hAnsi="Times New Roman" w:eastAsia="Times New Roman" w:cs="Times New Roman"/>
      <w:lang w:val="en-US"/>
    </w:rPr>
  </w:style>
  <w:style w:type="character" w:styleId="Style17" w:customStyle="1">
    <w:name w:val="Тема примечания Знак"/>
    <w:qFormat/>
    <w:rPr>
      <w:rFonts w:ascii="Times New Roman" w:hAnsi="Times New Roman" w:eastAsia="Times New Roman" w:cs="Times New Roman"/>
      <w:b/>
      <w:bCs/>
      <w:lang w:val="en-US"/>
    </w:rPr>
  </w:style>
  <w:style w:type="character" w:styleId="Style18" w:customStyle="1">
    <w:name w:val="Текст выноски Знак"/>
    <w:qFormat/>
    <w:rPr>
      <w:rFonts w:ascii="Segoe UI" w:hAnsi="Segoe UI" w:eastAsia="Times New Roman" w:cs="Segoe UI"/>
      <w:sz w:val="18"/>
      <w:szCs w:val="18"/>
      <w:lang w:val="en-US"/>
    </w:rPr>
  </w:style>
  <w:style w:type="character" w:styleId="iceouttxt" w:customStyle="1">
    <w:name w:val="iceouttxt"/>
    <w:qFormat/>
    <w:rPr/>
  </w:style>
  <w:style w:type="character" w:styleId="Style19" w:customStyle="1">
    <w:name w:val="Верхний колонтитул Знак"/>
    <w:qFormat/>
    <w:rPr>
      <w:rFonts w:ascii="Times New Roman" w:hAnsi="Times New Roman" w:eastAsia="Times New Roman" w:cs="Times New Roman"/>
      <w:sz w:val="22"/>
      <w:szCs w:val="22"/>
      <w:lang w:val="en-US"/>
    </w:rPr>
  </w:style>
  <w:style w:type="character" w:styleId="Style20" w:customStyle="1">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1">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2">
    <w:name w:val="Указатель"/>
    <w:basedOn w:val="Normal"/>
    <w:qFormat/>
    <w:pPr>
      <w:suppressLineNumbers/>
    </w:pPr>
    <w:rPr>
      <w:rFonts w:cs="Droid Sans"/>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Lucida Sans"/>
      <w:sz w:val="28"/>
      <w:szCs w:val="28"/>
    </w:rPr>
  </w:style>
  <w:style w:type="paragraph" w:styleId="IndexHeading">
    <w:name w:val="index heading"/>
    <w:basedOn w:val="Normal"/>
    <w:qFormat/>
    <w:pPr>
      <w:suppressLineNumbers/>
    </w:pPr>
    <w:rPr>
      <w:rFonts w:cs="Lucida Sans"/>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NormalWeb">
    <w:name w:val="Normal (Web)"/>
    <w:basedOn w:val="Normal"/>
    <w:qFormat/>
    <w:pPr/>
    <w:rPr>
      <w:sz w:val="24"/>
      <w:szCs w:val="24"/>
      <w:lang w:val="ru-RU"/>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ListParagraph">
    <w:name w:val="List Paragraph"/>
    <w:basedOn w:val="Normal"/>
    <w:qFormat/>
    <w:pPr>
      <w:spacing w:before="0" w:after="0"/>
      <w:ind w:left="720"/>
      <w:contextualSpacing/>
    </w:pPr>
    <w:rPr>
      <w:sz w:val="24"/>
      <w:szCs w:val="24"/>
      <w:lang w:val="ru-RU"/>
    </w:rPr>
  </w:style>
  <w:style w:type="paragraph" w:styleId="CommentText">
    <w:name w:val="annotation text"/>
    <w:basedOn w:val="Normal"/>
    <w:qFormat/>
    <w:pPr/>
    <w:rPr>
      <w:sz w:val="20"/>
      <w:szCs w:val="20"/>
    </w:rPr>
  </w:style>
  <w:style w:type="paragraph" w:styleId="annotationsubject">
    <w:name w:val="annotation subject"/>
    <w:basedOn w:val="CommentText"/>
    <w:next w:val="CommentText"/>
    <w:qFormat/>
    <w:pPr/>
    <w:rPr>
      <w:b/>
      <w:bCs/>
    </w:rPr>
  </w:style>
  <w:style w:type="paragraph" w:styleId="BalloonText">
    <w:name w:val="Balloon Text"/>
    <w:basedOn w:val="Normal"/>
    <w:qFormat/>
    <w:pPr>
      <w:spacing w:before="0" w:after="0"/>
    </w:pPr>
    <w:rPr>
      <w:rFonts w:ascii="Segoe UI" w:hAnsi="Segoe UI" w:cs="Segoe UI"/>
      <w:sz w:val="18"/>
      <w:szCs w:val="18"/>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23">
    <w:name w:val="Колонтитулы"/>
    <w:basedOn w:val="Normal"/>
    <w:qFormat/>
    <w:pPr/>
    <w:rPr/>
  </w:style>
  <w:style w:type="paragraph" w:styleId="HeaderandFooter">
    <w:name w:val="Header and Footer"/>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1" Type="http://schemas.openxmlformats.org/officeDocument/2006/relationships/hyperlink" Target="mailto:info.hms@meteorf.ru"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297</TotalTime>
  <Application>LibreOffice/24.8.4.1$Linux_X86_64 LibreOffice_project/480$Build-1</Application>
  <AppVersion>15.0000</AppVersion>
  <Pages>12</Pages>
  <Words>3830</Words>
  <Characters>27732</Characters>
  <CharactersWithSpaces>31411</CharactersWithSpaces>
  <Paragraphs>288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2026-05-07T12:29:00Z</dcterms:created>
  <dc:creator>n.butuzova</dc:creator>
  <dc:description/>
  <dc:language>ru-RU</dc:language>
  <cp:lastModifiedBy/>
  <cp:lastPrinted>2024-01-26T11:20:00Z</cp:lastPrinted>
  <dcterms:modified xsi:type="dcterms:W3CDTF">2026-08-03T13:20:45Z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