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p>
      <w:pPr>
        <w:pStyle w:val="618"/>
        <w:ind w:firstLine="851"/>
        <w:jc w:val="center"/>
        <w:rPr>
          <w:rFonts w:eastAsia="Calibri"/>
          <w:b/>
          <w:color w:val="000000"/>
        </w:rPr>
        <w:outlineLvl w:val="1"/>
      </w:pPr>
      <w:r>
        <w:rPr>
          <w:rFonts w:eastAsia="Calibri"/>
          <w:b/>
          <w:color w:val="000000"/>
        </w:rPr>
        <w:t xml:space="preserve">ТЕХНИЧЕСКОЕ ЗАДАНИЕ</w:t>
      </w:r>
      <w:r>
        <w:rPr>
          <w:rFonts w:eastAsia="Calibri"/>
          <w:b/>
          <w:color w:val="000000"/>
        </w:rPr>
      </w:r>
    </w:p>
    <w:p>
      <w:pPr>
        <w:pStyle w:val="618"/>
        <w:ind w:firstLine="851"/>
        <w:jc w:val="center"/>
        <w:rPr>
          <w:rFonts w:eastAsia="Calibri"/>
          <w:b/>
          <w:bCs/>
          <w:iCs/>
          <w:color w:val="000000"/>
        </w:rPr>
        <w:outlineLvl w:val="1"/>
      </w:pPr>
      <w:r>
        <w:rPr>
          <w:rFonts w:eastAsia="Calibri"/>
          <w:b/>
          <w:bCs/>
          <w:iCs/>
          <w:color w:val="000000"/>
        </w:rPr>
        <w:t xml:space="preserve">Общие требования</w:t>
      </w:r>
      <w:r>
        <w:rPr>
          <w:rFonts w:eastAsia="Calibri"/>
          <w:b/>
          <w:bCs/>
          <w:iCs/>
          <w:color w:val="000000"/>
        </w:rPr>
      </w:r>
    </w:p>
    <w:p>
      <w:pPr>
        <w:pStyle w:val="618"/>
        <w:ind w:firstLine="851"/>
        <w:jc w:val="center"/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618"/>
        <w:numPr>
          <w:ilvl w:val="0"/>
          <w:numId w:val="1"/>
        </w:numPr>
        <w:ind w:left="0" w:firstLine="284"/>
        <w:jc w:val="both"/>
        <w:rPr>
          <w:bCs/>
          <w:caps/>
          <w:sz w:val="20"/>
          <w:szCs w:val="20"/>
        </w:rPr>
      </w:pPr>
      <w:r>
        <w:rPr>
          <w:bCs/>
          <w:iCs/>
          <w:color w:val="000000"/>
        </w:rPr>
        <w:t xml:space="preserve">Целями данной закупки является обеспечение Территориального органа Федеральной службы государственной статистики по Липецкой области государственными </w:t>
      </w:r>
      <w:r>
        <w:rPr>
          <w:bCs/>
          <w:color w:val="000000"/>
        </w:rPr>
        <w:t xml:space="preserve">знаками почтовой оплаты Российской Федерации</w:t>
      </w:r>
      <w:r>
        <w:rPr>
          <w:bCs/>
          <w:color w:val="000000"/>
        </w:rPr>
        <w:t xml:space="preserve">.</w:t>
      </w:r>
      <w:r>
        <w:rPr>
          <w:bCs/>
          <w:caps/>
          <w:sz w:val="20"/>
          <w:szCs w:val="20"/>
        </w:rPr>
      </w:r>
      <w:r>
        <w:rPr>
          <w:bCs/>
          <w:caps/>
          <w:sz w:val="20"/>
          <w:szCs w:val="20"/>
        </w:rPr>
      </w:r>
    </w:p>
    <w:p>
      <w:pPr>
        <w:pStyle w:val="618"/>
        <w:ind w:left="284"/>
        <w:jc w:val="both"/>
        <w:rPr>
          <w:bCs/>
          <w:caps/>
          <w:sz w:val="20"/>
          <w:szCs w:val="20"/>
        </w:rPr>
      </w:pPr>
      <w:r>
        <w:rPr>
          <w:bCs/>
          <w:caps/>
          <w:sz w:val="20"/>
          <w:szCs w:val="20"/>
        </w:rPr>
      </w:r>
      <w:r>
        <w:rPr>
          <w:bCs/>
          <w:caps/>
          <w:sz w:val="20"/>
          <w:szCs w:val="20"/>
        </w:rPr>
      </w:r>
    </w:p>
    <w:p>
      <w:pPr>
        <w:pStyle w:val="618"/>
        <w:ind w:firstLine="851"/>
        <w:jc w:val="center"/>
        <w:tabs>
          <w:tab w:val="left" w:pos="1134" w:leader="none"/>
        </w:tabs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  <w:t xml:space="preserve">Требования к описанию объекта закупки и условий контракта в соответствии со статьей 33 Закона</w:t>
      </w:r>
      <w:r>
        <w:rPr>
          <w:b/>
          <w:bCs/>
          <w:iCs/>
          <w:color w:val="000000"/>
        </w:rPr>
      </w:r>
    </w:p>
    <w:p>
      <w:pPr>
        <w:pStyle w:val="618"/>
        <w:ind w:firstLine="851"/>
        <w:jc w:val="center"/>
        <w:tabs>
          <w:tab w:val="left" w:pos="1134" w:leader="none"/>
        </w:tabs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618"/>
        <w:ind w:firstLine="851"/>
        <w:jc w:val="both"/>
        <w:tabs>
          <w:tab w:val="left" w:pos="1134" w:leader="none"/>
        </w:tabs>
        <w:rPr>
          <w:b/>
          <w:bCs/>
          <w:iCs/>
          <w:color w:val="000000"/>
        </w:rPr>
        <w:outlineLvl w:val="1"/>
      </w:pPr>
      <w:r>
        <w:rPr>
          <w:bCs/>
          <w:iCs/>
          <w:color w:val="000000"/>
        </w:rPr>
        <w:t xml:space="preserve">Требования к техническим и функциональным характеристикам (потребительским свойствам) товара и его размерам: согласно Приложению № 1 к настоящему Техническому заданию.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618"/>
        <w:jc w:val="both"/>
      </w:pPr>
      <w:r>
        <w:t xml:space="preserve">           Поставляемые знаки почтовой оплаты  Российской Федерации (почтовые мар</w:t>
      </w:r>
      <w:r>
        <w:t xml:space="preserve">ки) номиналом</w:t>
      </w:r>
      <w:r>
        <w:t xml:space="preserve"> </w:t>
      </w:r>
      <w:r>
        <w:t xml:space="preserve">0,60 рублей, </w:t>
      </w:r>
      <w:r>
        <w:t xml:space="preserve">1 р</w:t>
      </w:r>
      <w:r>
        <w:t xml:space="preserve">убль,</w:t>
      </w:r>
      <w:r>
        <w:t xml:space="preserve"> 2 рубля,</w:t>
      </w:r>
      <w:r>
        <w:t xml:space="preserve"> </w:t>
      </w:r>
      <w:r>
        <w:t xml:space="preserve">5 рублей, 10 рублей</w:t>
      </w:r>
      <w:r>
        <w:t xml:space="preserve">,</w:t>
      </w:r>
      <w:r>
        <w:t xml:space="preserve"> 23 рубля,</w:t>
      </w:r>
      <w:r>
        <w:t xml:space="preserve"> 25 рублей, 50 рублей</w:t>
      </w:r>
      <w:r>
        <w:t xml:space="preserve">, 100 рублей.</w:t>
      </w:r>
      <w:r>
        <w:t xml:space="preserve">  Государственные знаки почтовой оплаты (почтовые марки) должны  соответствовать государственным стандартам,  быть подлинными, новыми,  не изъятыми из почтового обращения, соответствовать требованиям при</w:t>
      </w:r>
      <w:r>
        <w:t xml:space="preserve">каза Министерства связи РФ от 26</w:t>
      </w:r>
      <w:r>
        <w:t xml:space="preserve">.05.1994г. № 115 "Об утверждении Положения о знаках почтовой оплаты и специальных почтов</w:t>
      </w:r>
      <w:r>
        <w:t xml:space="preserve">ых штемпелях Российской Федерации", отвечать требованиям безопасности жизни и здоровья, санитарным нормам и правилам.  На них должен быть указан номинал, определяющий франкировальную силу знака почтовой оплаты.  Поставляемые знаки почтовой оплаты РФ должны</w:t>
      </w:r>
      <w:r>
        <w:t xml:space="preserve"> быть перфорированными и</w:t>
      </w:r>
      <w:r>
        <w:t xml:space="preserve"> иметь самоклеющуюся основу (почтовая марка с контактным клеем на снимающейся бумажной подложке, которым не требуется увлажнение для прилипания к бумаге). </w:t>
      </w:r>
      <w:r/>
    </w:p>
    <w:p>
      <w:pPr>
        <w:pStyle w:val="618"/>
        <w:jc w:val="both"/>
      </w:pPr>
      <w:r>
        <w:t xml:space="preserve">           </w:t>
      </w:r>
      <w:r>
        <w:t xml:space="preserve">           1. Требования к безопасности товара: Товар должен  соответствовать требованиям безопасности, установленным действующим законодательством</w:t>
      </w:r>
      <w:r>
        <w:t xml:space="preserve"> РФ. Безопасность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РФ от 07.02.1992г. № 2300-1 «О защите прав потребителей».</w:t>
      </w:r>
      <w:r/>
    </w:p>
    <w:p>
      <w:pPr>
        <w:pStyle w:val="618"/>
        <w:ind w:left="750"/>
        <w:jc w:val="both"/>
      </w:pPr>
      <w:r>
        <w:t xml:space="preserve">2. Требования к упаковке товара: знаки почтовой оплаты (почтовые марки) должны быть упакованы так, чтобы обеспечить сохранность марок и защиту от внешних повреждений.</w:t>
      </w:r>
      <w:r/>
    </w:p>
    <w:p>
      <w:pPr>
        <w:pStyle w:val="618"/>
        <w:ind w:firstLine="750"/>
        <w:jc w:val="both"/>
      </w:pPr>
      <w:r>
        <w:t xml:space="preserve">3. Почтовая марка является государственным знаком почтовой оплаты, подтверждающим оплату услуг почтовой связи, и гарантирует </w:t>
      </w:r>
      <w:r>
        <w:t xml:space="preserve">Заказчику доставку внутренней (</w:t>
      </w:r>
      <w:r>
        <w:t xml:space="preserve">простой и заказной) корреспонденции предприятием почтовой связи.       </w:t>
      </w:r>
      <w:r/>
    </w:p>
    <w:p>
      <w:pPr>
        <w:pStyle w:val="618"/>
        <w:jc w:val="both"/>
      </w:pPr>
      <w:r/>
      <w:r/>
    </w:p>
    <w:p>
      <w:pPr>
        <w:pStyle w:val="618"/>
        <w:jc w:val="both"/>
        <w:rPr>
          <w:bCs/>
          <w:iCs/>
          <w:color w:val="000000"/>
          <w:u w:val="single"/>
        </w:rPr>
      </w:pPr>
      <w:r>
        <w:t xml:space="preserve">           </w:t>
      </w:r>
      <w:r>
        <w:rPr>
          <w:bCs/>
          <w:iCs/>
          <w:color w:val="000000"/>
          <w:u w:val="single"/>
        </w:rPr>
        <w:t xml:space="preserve">Место, условия и сроки (периоды) поставки товара</w:t>
      </w:r>
      <w:r>
        <w:rPr>
          <w:bCs/>
          <w:iCs/>
          <w:color w:val="000000"/>
          <w:u w:val="single"/>
        </w:rPr>
      </w:r>
    </w:p>
    <w:p>
      <w:pPr>
        <w:pStyle w:val="618"/>
        <w:ind w:firstLine="851"/>
        <w:jc w:val="both"/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  <w:t xml:space="preserve">1.Место поставки товара: г. Липецк, ул. Космонавтов, 9/1.</w:t>
      </w:r>
      <w:r>
        <w:rPr>
          <w:bCs/>
          <w:iCs/>
          <w:color w:val="000000"/>
        </w:rPr>
      </w:r>
    </w:p>
    <w:p>
      <w:pPr>
        <w:pStyle w:val="618"/>
        <w:ind w:firstLine="851"/>
        <w:jc w:val="both"/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  <w:t xml:space="preserve">2. Сроки</w:t>
      </w:r>
      <w:r>
        <w:rPr>
          <w:bCs/>
          <w:iCs/>
          <w:color w:val="000000"/>
        </w:rPr>
        <w:t xml:space="preserve"> поставки товара:  Поставка товара осуществляется единовременно, в полном объеме согласно спецификации на товар (Приложение № 1 к Государственному контракту) в течение  10 (десяти) рабочих дней со дня подписания обеими сторонами Государственного контракта.</w:t>
      </w:r>
      <w:r>
        <w:rPr>
          <w:bCs/>
          <w:iCs/>
          <w:color w:val="000000"/>
        </w:rPr>
      </w:r>
      <w:r>
        <w:rPr>
          <w:bCs/>
          <w:iCs/>
          <w:color w:val="000000"/>
        </w:rPr>
      </w:r>
    </w:p>
    <w:p>
      <w:pPr>
        <w:pStyle w:val="618"/>
        <w:ind w:firstLine="851"/>
        <w:jc w:val="center"/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</w:r>
      <w:r>
        <w:rPr>
          <w:bCs/>
          <w:iCs/>
          <w:color w:val="000000"/>
        </w:rPr>
      </w:r>
    </w:p>
    <w:p>
      <w:pPr>
        <w:pStyle w:val="618"/>
        <w:ind w:firstLine="851"/>
        <w:jc w:val="center"/>
        <w:widowControl w:val="off"/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  <w:t xml:space="preserve">Требования к сроку предоставления гарантии качества товара</w:t>
      </w:r>
      <w:r>
        <w:rPr>
          <w:b/>
          <w:bCs/>
          <w:iCs/>
          <w:color w:val="000000"/>
        </w:rPr>
      </w:r>
    </w:p>
    <w:p>
      <w:pPr>
        <w:pStyle w:val="618"/>
        <w:ind w:firstLine="851"/>
        <w:jc w:val="center"/>
        <w:widowControl w:val="off"/>
        <w:rPr>
          <w:b/>
          <w:bCs/>
          <w:iCs/>
          <w:color w:val="000000"/>
        </w:rPr>
        <w:outlineLvl w:val="1"/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618"/>
        <w:ind w:firstLine="851"/>
        <w:jc w:val="both"/>
        <w:widowControl w:val="off"/>
        <w:tabs>
          <w:tab w:val="left" w:pos="1134" w:leader="none"/>
        </w:tabs>
        <w:rPr>
          <w:bCs/>
          <w:iCs/>
        </w:rPr>
        <w:outlineLvl w:val="1"/>
      </w:pPr>
      <w:r>
        <w:rPr>
          <w:bCs/>
          <w:iCs/>
        </w:rPr>
        <w:t xml:space="preserve">1. Весь Товар должен быть новым с остаточным сроком годности не менее 80% с момента подписания акта сдачи-приёмки товара, не бывшим в употреблении, соответствующим общепринятым стандартам</w:t>
      </w:r>
      <w:r>
        <w:t xml:space="preserve"> </w:t>
      </w:r>
      <w:r>
        <w:rPr>
          <w:bCs/>
          <w:iCs/>
        </w:rPr>
        <w:t xml:space="preserve">утвержденным на данный вид Товара. </w:t>
      </w:r>
      <w:r>
        <w:rPr>
          <w:bCs/>
          <w:iCs/>
        </w:rPr>
      </w:r>
    </w:p>
    <w:p>
      <w:pPr>
        <w:pStyle w:val="618"/>
        <w:ind w:firstLine="851"/>
        <w:jc w:val="both"/>
        <w:widowControl w:val="off"/>
        <w:tabs>
          <w:tab w:val="left" w:pos="1134" w:leader="none"/>
        </w:tabs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  <w:t xml:space="preserve">2. Объем предоставления гарантии качества на поставляемые товары: в полном объеме на все товары, представленные в приложении  к Техническому заданию.</w:t>
      </w:r>
      <w:r>
        <w:rPr>
          <w:bCs/>
          <w:iCs/>
          <w:color w:val="000000"/>
        </w:rPr>
      </w:r>
    </w:p>
    <w:p>
      <w:pPr>
        <w:pStyle w:val="618"/>
        <w:ind w:firstLine="851"/>
        <w:jc w:val="both"/>
        <w:widowControl w:val="off"/>
        <w:tabs>
          <w:tab w:val="left" w:pos="1134" w:leader="none"/>
        </w:tabs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  <w:t xml:space="preserve">3. На Товаре не должно быть разрывов, вмятин, царапин и других механических повреждений (дефектов). </w:t>
      </w:r>
      <w:r>
        <w:rPr>
          <w:bCs/>
          <w:iCs/>
          <w:color w:val="000000"/>
        </w:rPr>
      </w:r>
      <w:r>
        <w:rPr>
          <w:bCs/>
          <w:iCs/>
          <w:color w:val="000000"/>
        </w:rPr>
      </w:r>
    </w:p>
    <w:p>
      <w:pPr>
        <w:pStyle w:val="618"/>
        <w:ind w:firstLine="851"/>
        <w:jc w:val="both"/>
        <w:widowControl w:val="off"/>
        <w:tabs>
          <w:tab w:val="left" w:pos="1134" w:leader="none"/>
        </w:tabs>
        <w:rPr>
          <w:bCs/>
          <w:iCs/>
          <w:color w:val="000000"/>
        </w:rPr>
        <w:outlineLvl w:val="1"/>
      </w:pPr>
      <w:r>
        <w:rPr>
          <w:bCs/>
          <w:iCs/>
          <w:color w:val="000000"/>
        </w:rPr>
      </w:r>
      <w:r>
        <w:rPr>
          <w:bCs/>
          <w:iCs/>
          <w:color w:val="000000"/>
        </w:rPr>
      </w:r>
    </w:p>
    <w:p>
      <w:pPr>
        <w:pStyle w:val="618"/>
        <w:jc w:val="both"/>
        <w:tabs>
          <w:tab w:val="left" w:pos="8284" w:leader="none"/>
        </w:tabs>
      </w:pPr>
      <w:r/>
      <w:r/>
    </w:p>
    <w:p>
      <w:pPr>
        <w:pStyle w:val="618"/>
        <w:jc w:val="center"/>
        <w:rPr>
          <w:b/>
        </w:rPr>
      </w:pPr>
      <w:r>
        <w:rPr>
          <w:b/>
        </w:rPr>
        <w:t xml:space="preserve">Оплата</w:t>
      </w:r>
      <w:r>
        <w:rPr>
          <w:b/>
        </w:rPr>
      </w:r>
    </w:p>
    <w:p>
      <w:pPr>
        <w:pStyle w:val="618"/>
        <w:jc w:val="both"/>
      </w:pPr>
      <w:r>
        <w:t xml:space="preserve">         В безналичном порядке на основа</w:t>
      </w:r>
      <w:r>
        <w:t xml:space="preserve">нии счета Поставщика в течение 10 (десяти</w:t>
      </w:r>
      <w:r>
        <w:t xml:space="preserve">) рабочих дней от даты подписания в ЕИС акта сдачи-приемки товара.</w:t>
      </w:r>
      <w:r/>
    </w:p>
    <w:p>
      <w:pPr>
        <w:pStyle w:val="618"/>
        <w:jc w:val="both"/>
      </w:pPr>
      <w:r/>
      <w:r/>
    </w:p>
    <w:p>
      <w:pPr>
        <w:pStyle w:val="618"/>
        <w:jc w:val="both"/>
      </w:pPr>
      <w:r/>
      <w:r/>
    </w:p>
    <w:p>
      <w:pPr>
        <w:pStyle w:val="618"/>
        <w:ind w:firstLine="750"/>
        <w:jc w:val="both"/>
      </w:pPr>
      <w:r>
        <w:rPr>
          <w:u w:val="single"/>
          <w:lang w:eastAsia="ar-SA"/>
        </w:rPr>
        <w:t xml:space="preserve">Исполнитель подтверждает, что соответствует единым требованиям, установленным частью 1 статьи 31 ФЗ № 44-ФЗ.</w:t>
      </w:r>
      <w:r/>
    </w:p>
    <w:p>
      <w:pPr>
        <w:pStyle w:val="618"/>
        <w:jc w:val="both"/>
      </w:pPr>
      <w:r/>
      <w:r/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18"/>
        <w:jc w:val="both"/>
      </w:pPr>
      <w:r/>
      <w:r/>
    </w:p>
    <w:p>
      <w:pPr>
        <w:pStyle w:val="618"/>
        <w:jc w:val="right"/>
      </w:pPr>
      <w:r>
        <w:t xml:space="preserve">Приложение № 1 к Техническому заданию</w:t>
      </w:r>
      <w:r/>
    </w:p>
    <w:p>
      <w:pPr>
        <w:pStyle w:val="618"/>
        <w:jc w:val="right"/>
      </w:pPr>
      <w:r/>
      <w:r/>
    </w:p>
    <w:p>
      <w:pPr>
        <w:pStyle w:val="618"/>
        <w:jc w:val="center"/>
        <w:rPr>
          <w:b/>
          <w:color w:val="000000"/>
        </w:rPr>
      </w:pPr>
      <w:r>
        <w:rPr>
          <w:b/>
          <w:color w:val="000000"/>
        </w:rPr>
        <w:t xml:space="preserve">Сведения о технических и функциональных характеристиках (потребительских свойствах) товара и его размерах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18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tbl>
      <w:tblPr>
        <w:tblW w:w="9654" w:type="dxa"/>
        <w:tblInd w:w="9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3"/>
        <w:gridCol w:w="2571"/>
        <w:gridCol w:w="4819"/>
        <w:gridCol w:w="1701"/>
      </w:tblGrid>
      <w:tr>
        <w:tblPrEx/>
        <w:trPr>
          <w:trHeight w:val="6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п/п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товара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Н</w:t>
            </w:r>
            <w:r>
              <w:rPr>
                <w:b/>
              </w:rPr>
              <w:t xml:space="preserve">оминал</w:t>
            </w:r>
            <w:r>
              <w:rPr>
                <w:b/>
              </w:rPr>
              <w:t xml:space="preserve"> (руб.)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К</w:t>
            </w:r>
            <w:r>
              <w:rPr>
                <w:b/>
              </w:rPr>
              <w:t xml:space="preserve">оличество, шт.</w:t>
            </w:r>
            <w:r>
              <w:rPr>
                <w:b/>
              </w:rPr>
            </w:r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1,00</w:t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922</w:t>
            </w:r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2.</w:t>
            </w: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2,00</w:t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250</w:t>
            </w:r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</w:t>
            </w:r>
            <w:r>
              <w:t xml:space="preserve">,00</w:t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200</w:t>
            </w:r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10,00</w:t>
            </w: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500</w:t>
            </w:r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25,00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400</w:t>
            </w:r>
            <w:r/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50,00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50</w:t>
            </w:r>
            <w:r/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rPr>
                <w:b/>
              </w:rPr>
            </w:pPr>
            <w:r>
              <w:rPr>
                <w:b/>
              </w:rPr>
              <w:t xml:space="preserve">Марки </w:t>
            </w:r>
            <w:r>
              <w:rPr>
                <w:b/>
              </w:rPr>
              <w:t xml:space="preserve">почтовые </w:t>
            </w:r>
            <w:r>
              <w:rPr>
                <w:b/>
              </w:rPr>
              <w:t xml:space="preserve"> стандартные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100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50</w:t>
            </w:r>
            <w:r/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7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pStyle w:val="618"/>
        <w:jc w:val="both"/>
      </w:pPr>
      <w:r/>
      <w:r/>
    </w:p>
    <w:p>
      <w:pPr>
        <w:pStyle w:val="618"/>
        <w:jc w:val="both"/>
      </w:pPr>
      <w:r/>
      <w:r/>
    </w:p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qFormat/>
    <w:tblPr/>
  </w:style>
  <w:style w:type="numbering" w:styleId="621">
    <w:name w:val="Нет списка"/>
    <w:next w:val="621"/>
    <w:link w:val="618"/>
    <w:uiPriority w:val="99"/>
    <w:semiHidden/>
    <w:unhideWhenUsed/>
  </w:style>
  <w:style w:type="character" w:styleId="1424" w:default="1">
    <w:name w:val="Default Paragraph Font"/>
    <w:uiPriority w:val="1"/>
    <w:semiHidden/>
    <w:unhideWhenUsed/>
  </w:style>
  <w:style w:type="numbering" w:styleId="1425" w:default="1">
    <w:name w:val="No List"/>
    <w:uiPriority w:val="99"/>
    <w:semiHidden/>
    <w:unhideWhenUsed/>
  </w:style>
  <w:style w:type="table" w:styleId="14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p48_KosyakovaEA</dc:creator>
  <cp:revision>33</cp:revision>
  <dcterms:created xsi:type="dcterms:W3CDTF">2021-07-23T11:53:00Z</dcterms:created>
  <dcterms:modified xsi:type="dcterms:W3CDTF">2026-07-29T11:07:46Z</dcterms:modified>
  <cp:version>786432</cp:version>
</cp:coreProperties>
</file>