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69E7D" w14:textId="77777777" w:rsidR="0055798E" w:rsidRDefault="0034515C">
      <w:pPr>
        <w:spacing w:after="60"/>
        <w:jc w:val="center"/>
      </w:pPr>
      <w:r>
        <w:rPr>
          <w:b/>
          <w:bCs/>
          <w:sz w:val="24"/>
          <w:szCs w:val="24"/>
        </w:rPr>
        <w:t>ТЕХНИЧЕСКОЕ ЗАДАНИЕ</w:t>
      </w:r>
    </w:p>
    <w:p w14:paraId="23FADAE2" w14:textId="77777777" w:rsidR="0055798E" w:rsidRDefault="0034515C">
      <w:pPr>
        <w:spacing w:after="60"/>
        <w:jc w:val="center"/>
      </w:pPr>
      <w:r>
        <w:rPr>
          <w:b/>
          <w:bCs/>
          <w:sz w:val="24"/>
          <w:szCs w:val="24"/>
        </w:rPr>
        <w:t>на оказание комплекса услуг по разработке имиджевой презентации университета, обучению команды и аналитико-методическому сопровождению приёмной кампании</w:t>
      </w:r>
    </w:p>
    <w:p w14:paraId="69ABCFCA" w14:textId="77777777" w:rsidR="0055798E" w:rsidRDefault="0034515C">
      <w:pPr>
        <w:spacing w:after="240"/>
        <w:jc w:val="center"/>
      </w:pPr>
      <w:r>
        <w:rPr>
          <w:b/>
          <w:bCs/>
          <w:sz w:val="24"/>
          <w:szCs w:val="24"/>
        </w:rPr>
        <w:t>ФГБОУ ВО «Камчатский государственный университет имени Витуса Беринга»</w:t>
      </w:r>
    </w:p>
    <w:p w14:paraId="7F4F615B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Цель и задачи</w:t>
      </w:r>
    </w:p>
    <w:p w14:paraId="2356CC42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Цель: обеспечить комплексную подготовку Камчатского государственного университета имени Витуса Беринга к приёмной кампании 2027 года: разработать имиджевую презентацию университета, обучить команду университета самостоятельной работе с материалами, провести аналитические исследования по итогам приёмной кампании 2026 года и сформировать на их основе план действий приёмной кампании с учётом целей развития университета в рамках программы развития.</w:t>
      </w:r>
    </w:p>
    <w:p w14:paraId="53E6BE8A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Задачи:</w:t>
      </w:r>
    </w:p>
    <w:p w14:paraId="5628A7AC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разработать имиджевую презентацию университета (18 слайдов) в едином фирменном стиле с передачей исходников;</w:t>
      </w:r>
    </w:p>
    <w:p w14:paraId="70B54EC4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обучить команду дизайнеров университета самостоятельной поддержке и развитию материалов в </w:t>
      </w:r>
      <w:proofErr w:type="spellStart"/>
      <w:r>
        <w:rPr>
          <w:sz w:val="24"/>
          <w:szCs w:val="24"/>
        </w:rPr>
        <w:t>Figma</w:t>
      </w:r>
      <w:proofErr w:type="spellEnd"/>
      <w:r>
        <w:rPr>
          <w:sz w:val="24"/>
          <w:szCs w:val="24"/>
        </w:rPr>
        <w:t>;</w:t>
      </w:r>
    </w:p>
    <w:p w14:paraId="769BBADF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провести серию образовательных вебинаров о воронке маркетинга приёмной кампании для команды университета;</w:t>
      </w:r>
    </w:p>
    <w:p w14:paraId="4F5CFF03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провести исследования по итогам приёмной кампании 2026 года: опросы первокурсников и старшекурсников, аудит бизнес-процессов приёмной кампании;</w:t>
      </w:r>
    </w:p>
    <w:p w14:paraId="3DAFF5A0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сформировать совместно с командой университета план действий приёмной кампании с мероприятиями, сроками, ответственными и показателями результата.</w:t>
      </w:r>
    </w:p>
    <w:p w14:paraId="226EC54E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Этап № 1. Имиджевая презентация университета (18 слайдов)</w:t>
      </w:r>
    </w:p>
    <w:p w14:paraId="0E94146F" w14:textId="2B7C959D" w:rsidR="0055798E" w:rsidRDefault="0034515C">
      <w:pPr>
        <w:spacing w:after="120"/>
        <w:jc w:val="both"/>
      </w:pPr>
      <w:r>
        <w:rPr>
          <w:sz w:val="24"/>
          <w:szCs w:val="24"/>
        </w:rPr>
        <w:t xml:space="preserve">Срок: в течение </w:t>
      </w:r>
      <w:r w:rsidR="00640327">
        <w:rPr>
          <w:sz w:val="24"/>
          <w:szCs w:val="24"/>
        </w:rPr>
        <w:t>7</w:t>
      </w:r>
      <w:r>
        <w:rPr>
          <w:sz w:val="24"/>
          <w:szCs w:val="24"/>
        </w:rPr>
        <w:t xml:space="preserve"> календарных дней с даты подписания Договора.</w:t>
      </w:r>
    </w:p>
    <w:p w14:paraId="61E0AAA8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Состав работ</w:t>
      </w:r>
    </w:p>
    <w:p w14:paraId="02FFE20D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Редактура и доработка текстов презентации: заголовки, тезисы, подписи, ключевые цифры и факты.</w:t>
      </w:r>
    </w:p>
    <w:p w14:paraId="2D8FB93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Подбор и обработка визуального ряда: фотографии, иллюстрации, инфографика.</w:t>
      </w:r>
    </w:p>
    <w:p w14:paraId="7DC1E23A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Дизайн и вёрстка 18 слайдов в едином фирменном стиле университета.</w:t>
      </w:r>
    </w:p>
    <w:p w14:paraId="1210BB1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Внесение корректировок по итогам согласования с Заказчиком.</w:t>
      </w:r>
    </w:p>
    <w:p w14:paraId="26E62A1D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Результаты этапа (передаваемые материалы)</w:t>
      </w:r>
    </w:p>
    <w:p w14:paraId="66EA5C52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Готовая имиджевая презентация университета (18 слайдов) в </w:t>
      </w:r>
      <w:proofErr w:type="spellStart"/>
      <w:r>
        <w:rPr>
          <w:sz w:val="24"/>
          <w:szCs w:val="24"/>
        </w:rPr>
        <w:t>Figma</w:t>
      </w:r>
      <w:proofErr w:type="spellEnd"/>
      <w:r>
        <w:rPr>
          <w:sz w:val="24"/>
          <w:szCs w:val="24"/>
        </w:rPr>
        <w:t xml:space="preserve"> с передачей исходников и возможностью самостоятельного обновления материалов Заказчиком.</w:t>
      </w:r>
    </w:p>
    <w:p w14:paraId="47E4A20F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Опционально — адаптация и </w:t>
      </w:r>
      <w:proofErr w:type="spellStart"/>
      <w:r>
        <w:rPr>
          <w:sz w:val="24"/>
          <w:szCs w:val="24"/>
        </w:rPr>
        <w:t>пересборка</w:t>
      </w:r>
      <w:proofErr w:type="spellEnd"/>
      <w:r>
        <w:rPr>
          <w:sz w:val="24"/>
          <w:szCs w:val="24"/>
        </w:rPr>
        <w:t xml:space="preserve"> презентации в формате </w:t>
      </w:r>
      <w:proofErr w:type="spellStart"/>
      <w:r>
        <w:rPr>
          <w:sz w:val="24"/>
          <w:szCs w:val="24"/>
        </w:rPr>
        <w:t>PowerPoint</w:t>
      </w:r>
      <w:proofErr w:type="spellEnd"/>
      <w:r>
        <w:rPr>
          <w:sz w:val="24"/>
          <w:szCs w:val="24"/>
        </w:rPr>
        <w:t xml:space="preserve"> (.</w:t>
      </w:r>
      <w:proofErr w:type="spellStart"/>
      <w:r>
        <w:rPr>
          <w:sz w:val="24"/>
          <w:szCs w:val="24"/>
        </w:rPr>
        <w:t>pptx</w:t>
      </w:r>
      <w:proofErr w:type="spellEnd"/>
      <w:r>
        <w:rPr>
          <w:sz w:val="24"/>
          <w:szCs w:val="24"/>
        </w:rPr>
        <w:t xml:space="preserve">). Рекомендуемый рабочий формат — </w:t>
      </w:r>
      <w:proofErr w:type="spellStart"/>
      <w:r>
        <w:rPr>
          <w:sz w:val="24"/>
          <w:szCs w:val="24"/>
        </w:rPr>
        <w:t>Figma</w:t>
      </w:r>
      <w:proofErr w:type="spellEnd"/>
      <w:r>
        <w:rPr>
          <w:sz w:val="24"/>
          <w:szCs w:val="24"/>
        </w:rPr>
        <w:t>: он обеспечивает точность вёрстки и лёгкое обновление материалов.</w:t>
      </w:r>
    </w:p>
    <w:p w14:paraId="292A0559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 xml:space="preserve">Этап № 2. Обучение команды дизайнеров университета работе в </w:t>
      </w:r>
      <w:proofErr w:type="spellStart"/>
      <w:r>
        <w:rPr>
          <w:b/>
          <w:bCs/>
          <w:sz w:val="24"/>
          <w:szCs w:val="24"/>
        </w:rPr>
        <w:t>Figma</w:t>
      </w:r>
      <w:proofErr w:type="spellEnd"/>
    </w:p>
    <w:p w14:paraId="4C1BF063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Срок: в согласованные Сторонами даты после завершения Этапа № 1.</w:t>
      </w:r>
    </w:p>
    <w:p w14:paraId="66E1E3A0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Состав работ</w:t>
      </w:r>
    </w:p>
    <w:p w14:paraId="02E64CE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Подготовка и проведение серии веб-уроков на примере рабочих файлов университета (имиджевой презентации): устройство макетов, компоненты, стили, вёрстка и обновление слайдов.</w:t>
      </w:r>
    </w:p>
    <w:p w14:paraId="5821740A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lastRenderedPageBreak/>
        <w:t>Обучение работе с фирменным стилем университета: правила использования шрифтов, цветов, сеток и графики.</w:t>
      </w:r>
    </w:p>
    <w:p w14:paraId="166D84F8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Ответы на вопросы команды дизайнеров, разбор практических ситуаций при обновлении материалов.</w:t>
      </w:r>
    </w:p>
    <w:p w14:paraId="0292E6B4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Результаты этапа (передаваемые материалы)</w:t>
      </w:r>
    </w:p>
    <w:p w14:paraId="58A93B3D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Записи веб-уроков в электронном виде.</w:t>
      </w:r>
    </w:p>
    <w:p w14:paraId="6F5287AC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Команда дизайнеров университета самостоятельно поддерживает и развивает материалы университета в </w:t>
      </w:r>
      <w:proofErr w:type="spellStart"/>
      <w:r>
        <w:rPr>
          <w:sz w:val="24"/>
          <w:szCs w:val="24"/>
        </w:rPr>
        <w:t>Figma</w:t>
      </w:r>
      <w:proofErr w:type="spellEnd"/>
      <w:r>
        <w:rPr>
          <w:sz w:val="24"/>
          <w:szCs w:val="24"/>
        </w:rPr>
        <w:t>.</w:t>
      </w:r>
    </w:p>
    <w:p w14:paraId="4C2BD3A2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Этап № 3. Серия образовательных вебинаров о воронке маркетинга приёмной кампании</w:t>
      </w:r>
    </w:p>
    <w:p w14:paraId="4862DB52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Срок: в согласованные Сторонами даты.</w:t>
      </w:r>
    </w:p>
    <w:p w14:paraId="1384C118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Состав работ</w:t>
      </w:r>
    </w:p>
    <w:p w14:paraId="66F06333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Подготовка и проведение серии вебинаров для команды приёмной кампании университета.</w:t>
      </w:r>
    </w:p>
    <w:p w14:paraId="2F1A7F2F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Тематические блоки программы</w:t>
      </w:r>
    </w:p>
    <w:p w14:paraId="268DF7E1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Устройство маркетинговой воронки приёмной кампании: этапы, логика движения абитуриента, показатели каждого этапа.</w:t>
      </w:r>
    </w:p>
    <w:p w14:paraId="2F6B495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Точки контакта с абитуриентом и работа с </w:t>
      </w:r>
      <w:proofErr w:type="spellStart"/>
      <w:r>
        <w:rPr>
          <w:sz w:val="24"/>
          <w:szCs w:val="24"/>
        </w:rPr>
        <w:t>лидами</w:t>
      </w:r>
      <w:proofErr w:type="spellEnd"/>
      <w:r>
        <w:rPr>
          <w:sz w:val="24"/>
          <w:szCs w:val="24"/>
        </w:rPr>
        <w:t>: каналы, скорость и качество реакции, сопровождение от первого обращения до зачисления.</w:t>
      </w:r>
    </w:p>
    <w:p w14:paraId="41EA0100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Контент и мероприятия на каждом этапе воронки: форматы, каналы, календарная логика.</w:t>
      </w:r>
    </w:p>
    <w:p w14:paraId="493527C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Разбор практических кейсов вузов и адаптация инструментов под специфику университета.</w:t>
      </w:r>
    </w:p>
    <w:p w14:paraId="1743E1C6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Презентация исследований, выполненных для КамГУ им. Витуса Беринга.</w:t>
      </w:r>
    </w:p>
    <w:p w14:paraId="223932A9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Ответы на вопросы команды, практические задания и чек-листы.</w:t>
      </w:r>
    </w:p>
    <w:p w14:paraId="07594D0C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Результаты этапа (передаваемые материалы)</w:t>
      </w:r>
    </w:p>
    <w:p w14:paraId="07ED7C10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Видеозаписи и презентации вебинаров.</w:t>
      </w:r>
    </w:p>
    <w:p w14:paraId="3CBD15D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Методические материалы и чек-листы для команды приёмной кампании.</w:t>
      </w:r>
    </w:p>
    <w:p w14:paraId="3CFC3432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Этап № 4. Исследования по итогам приёмной кампании 2026 года</w:t>
      </w:r>
    </w:p>
    <w:p w14:paraId="326B4080" w14:textId="2640CE04" w:rsidR="0055798E" w:rsidRDefault="0034515C">
      <w:pPr>
        <w:spacing w:after="120"/>
        <w:jc w:val="both"/>
      </w:pPr>
      <w:r>
        <w:rPr>
          <w:sz w:val="24"/>
          <w:szCs w:val="24"/>
        </w:rPr>
        <w:t xml:space="preserve">Срок: в течение </w:t>
      </w:r>
      <w:r w:rsidR="00640327">
        <w:rPr>
          <w:sz w:val="24"/>
          <w:szCs w:val="24"/>
        </w:rPr>
        <w:t>7</w:t>
      </w:r>
      <w:r>
        <w:rPr>
          <w:sz w:val="24"/>
          <w:szCs w:val="24"/>
        </w:rPr>
        <w:t xml:space="preserve"> календарных дней с даты подписания Договора.</w:t>
      </w:r>
    </w:p>
    <w:p w14:paraId="57963C46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Состав работ</w:t>
      </w:r>
    </w:p>
    <w:p w14:paraId="39933819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Опрос первокурсников набора 2026 года: факторы выбора университета, источники информации, барьеры при поступлении, инсайты.</w:t>
      </w:r>
    </w:p>
    <w:p w14:paraId="5FDBFBC9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Опрос студентов четвёртого курса: ожидания при поступлении и реальный опыт обучения, восприятие сильных и слабых сторон университета.</w:t>
      </w:r>
    </w:p>
    <w:p w14:paraId="15572CA8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Аудит бизнес-процессов приёмной кампании: работа с контактами, скорость и качество ответов, путь абитуриента от заявки до зачисления, выявление разрывов (фокус-группа с командой университета).</w:t>
      </w:r>
    </w:p>
    <w:p w14:paraId="4C58EC51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Результаты этапа (передаваемые материалы)</w:t>
      </w:r>
    </w:p>
    <w:p w14:paraId="0A6EBD9D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Аналитический отчёт: инсайты первокурсников, ожидания старшекурсников, карта пробелов в бизнес-процессах приёмной кампании, выводы и рекомендации.</w:t>
      </w:r>
    </w:p>
    <w:p w14:paraId="556CEFE0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lastRenderedPageBreak/>
        <w:t>Этап № 5. План действий приёмной кампании университета</w:t>
      </w:r>
    </w:p>
    <w:p w14:paraId="4F3B34EC" w14:textId="7EA8EF13" w:rsidR="0055798E" w:rsidRDefault="0034515C">
      <w:pPr>
        <w:spacing w:after="120"/>
        <w:jc w:val="both"/>
      </w:pPr>
      <w:r>
        <w:rPr>
          <w:sz w:val="24"/>
          <w:szCs w:val="24"/>
        </w:rPr>
        <w:t xml:space="preserve">Срок: в течение </w:t>
      </w:r>
      <w:r w:rsidR="00640327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календарных дней после завершения Этапа № 4.</w:t>
      </w:r>
    </w:p>
    <w:p w14:paraId="2D6A25B1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Состав работ</w:t>
      </w:r>
    </w:p>
    <w:p w14:paraId="5C34B69D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Групповая (проектная) работа с командой университета по итогам исследований.</w:t>
      </w:r>
    </w:p>
    <w:p w14:paraId="6D4E918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Формирование плана приёмной кампании: конкретные мероприятия, действия и идеи по этапам воронки, календарный план, ответственные, показатели результата.</w:t>
      </w:r>
    </w:p>
    <w:p w14:paraId="7A31E8D7" w14:textId="77777777" w:rsidR="0055798E" w:rsidRDefault="0034515C">
      <w:pPr>
        <w:spacing w:after="120"/>
        <w:jc w:val="both"/>
      </w:pPr>
      <w:r>
        <w:rPr>
          <w:b/>
          <w:bCs/>
          <w:sz w:val="24"/>
          <w:szCs w:val="24"/>
        </w:rPr>
        <w:t>Результаты этапа (передаваемые материалы)</w:t>
      </w:r>
    </w:p>
    <w:p w14:paraId="67BE8999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Утверждённый план действий приёмной кампании (мероприятия, сроки, ответственные, KPI), пригодный для </w:t>
      </w:r>
      <w:proofErr w:type="spellStart"/>
      <w:r>
        <w:rPr>
          <w:sz w:val="24"/>
          <w:szCs w:val="24"/>
        </w:rPr>
        <w:t>переиспользования</w:t>
      </w:r>
      <w:proofErr w:type="spellEnd"/>
      <w:r>
        <w:rPr>
          <w:sz w:val="24"/>
          <w:szCs w:val="24"/>
        </w:rPr>
        <w:t xml:space="preserve"> в следующих приёмных кампаниях.</w:t>
      </w:r>
    </w:p>
    <w:p w14:paraId="13B1986A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Общие требования к результатам и качеству</w:t>
      </w:r>
    </w:p>
    <w:p w14:paraId="1F30C83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Имиджевая презентация выполнена в фирменном стиле университета, состоит из 18 слайдов, передана в </w:t>
      </w:r>
      <w:proofErr w:type="spellStart"/>
      <w:r>
        <w:rPr>
          <w:sz w:val="24"/>
          <w:szCs w:val="24"/>
        </w:rPr>
        <w:t>Figma</w:t>
      </w:r>
      <w:proofErr w:type="spellEnd"/>
      <w:r>
        <w:rPr>
          <w:sz w:val="24"/>
          <w:szCs w:val="24"/>
        </w:rPr>
        <w:t xml:space="preserve"> с исходниками.</w:t>
      </w:r>
    </w:p>
    <w:p w14:paraId="2D7DB82E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Обучающие мероприятия (веб-уроки и вебинары) проведены в согласованные сроки, записи и материалы переданы Заказчику.</w:t>
      </w:r>
    </w:p>
    <w:p w14:paraId="4B0F7A2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Исследования проведены по трём направлениям (первокурсники, старшекурсники, бизнес-процессы), результаты оформлены в виде единого аналитического отчёта.</w:t>
      </w:r>
    </w:p>
    <w:p w14:paraId="2BCE01E9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План действий приёмной кампании сформирован в проектной работе с командой университета и содержит мероприятия, сроки, ответственных и показатели результата.</w:t>
      </w:r>
    </w:p>
    <w:p w14:paraId="192C1606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Все материалы передаются Заказчику в электронном виде с правом использования в уставной деятельности университета.</w:t>
      </w:r>
    </w:p>
    <w:p w14:paraId="4B559781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Порядок взаимодействия и сдачи-приёмки</w:t>
      </w:r>
    </w:p>
    <w:p w14:paraId="2DA219F7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Заказчик обеспечивает:</w:t>
      </w:r>
    </w:p>
    <w:p w14:paraId="3ECAD400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предоставление фирменного стиля университета, фото- и видеоматериалов, актуальных цифр, фактов и текстовых материалов, необходимых для разработки презентации;</w:t>
      </w:r>
    </w:p>
    <w:p w14:paraId="0633D17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доступ команды Исполнителя к респондентам исследований: организацию опросов первокурсников и студентов четвёртого курса, участие команды приёмной кампании в фокус-группе;</w:t>
      </w:r>
    </w:p>
    <w:p w14:paraId="0CF8081F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участие команды университета (дизайнеры, сотрудники приёмной комиссии и коммуникационных подразделений) в обучающих мероприятиях и проектной работе;</w:t>
      </w:r>
    </w:p>
    <w:p w14:paraId="225C35BA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назначение ответственного сотрудника для оперативного взаимодействия с Исполнителем;</w:t>
      </w:r>
    </w:p>
    <w:p w14:paraId="4685D758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согласование материалов, программ и дат мероприятий в разумные сроки, не приводящие к остановке работ.</w:t>
      </w:r>
    </w:p>
    <w:p w14:paraId="17A31C58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По завершении оказания услуг (этапа услуг) Исполнитель передаёт итоговые материалы и направляет акт. Заказчик в течение __ рабочих дней принимает услуги либо направляет мотивированные замечания. Приёмка оформляется Актом об оказании услуг.</w:t>
      </w:r>
    </w:p>
    <w:p w14:paraId="6783197C" w14:textId="77777777" w:rsidR="0055798E" w:rsidRDefault="0034515C">
      <w:pPr>
        <w:spacing w:before="240" w:after="120"/>
      </w:pPr>
      <w:r>
        <w:rPr>
          <w:b/>
          <w:bCs/>
          <w:sz w:val="24"/>
          <w:szCs w:val="24"/>
        </w:rPr>
        <w:t>Требования к Исполнителю</w:t>
      </w:r>
    </w:p>
    <w:p w14:paraId="2B7588C2" w14:textId="77777777" w:rsidR="0055798E" w:rsidRDefault="0034515C">
      <w:pPr>
        <w:spacing w:after="120"/>
        <w:jc w:val="both"/>
      </w:pPr>
      <w:r>
        <w:rPr>
          <w:sz w:val="24"/>
          <w:szCs w:val="24"/>
        </w:rPr>
        <w:t>Для обеспечения качества результата и минимизации издержек на погружение в предметную область Заказчик устанавливает следующие квалификационные требования к Исполнителю:</w:t>
      </w:r>
    </w:p>
    <w:p w14:paraId="570C44B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Подтверждённая специализация в области коммуникаций и создания материалов для организаций высшего образования и научно-исследовательского сектора: понимание </w:t>
      </w:r>
      <w:r>
        <w:rPr>
          <w:sz w:val="24"/>
          <w:szCs w:val="24"/>
        </w:rPr>
        <w:lastRenderedPageBreak/>
        <w:t>внутренних процессов, структурных и коммуникационных особенностей вузов, а также специфики целевых аудиторий (абитуриенты, родители, студенты, научно-педагогические работники, выпускники, индустриальные и государственные партнёры).</w:t>
      </w:r>
    </w:p>
    <w:p w14:paraId="0CB59400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Портфолио реализованных проектов для вузов: имиджевые и презентационные материалы, фирменные стили, дизайн-макеты и презентации, адаптированные под академическую аудиторию.</w:t>
      </w:r>
    </w:p>
    <w:p w14:paraId="2CFB8437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Опыт сопровождения приёмных кампаний вузов: аналитика, исследования аудиторий абитуриентов, построение маркетинговой воронки и планов приёмных кампаний.</w:t>
      </w:r>
    </w:p>
    <w:p w14:paraId="480BFF02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 xml:space="preserve">Опыт </w:t>
      </w:r>
      <w:proofErr w:type="spellStart"/>
      <w:r>
        <w:rPr>
          <w:sz w:val="24"/>
          <w:szCs w:val="24"/>
        </w:rPr>
        <w:t>медиасопровождения</w:t>
      </w:r>
      <w:proofErr w:type="spellEnd"/>
      <w:r>
        <w:rPr>
          <w:sz w:val="24"/>
          <w:szCs w:val="24"/>
        </w:rPr>
        <w:t xml:space="preserve"> федеральных программ развития высшего образования (в том числе программы стратегического академического лидерства «Приоритет 2030» и/или аналогичных государственных инициатив), подтверждающий понимание актуальных государственных приоритетов в области развития высшей школы, науки и технологий.</w:t>
      </w:r>
    </w:p>
    <w:p w14:paraId="0F42BF14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Опыт реализации образовательных программ и обучающих мероприятий для университетской аудитории, в том числе программ дополнительного образования для коммуникационных служб вузов и сотрудников приёмных комиссий (в партнёрстве с ведущими вузами и профильными государственными организациями).</w:t>
      </w:r>
    </w:p>
    <w:p w14:paraId="0EA92375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Наличие в команде практикующих специалистов (дизайнеры, аналитики, методологи) с реализованными проектами, которые могут быть продемонстрированы, и опытом обучения взрослых аудиторий.</w:t>
      </w:r>
    </w:p>
    <w:p w14:paraId="09C1F408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Опыт работы в рамках государственных программ и закупок: знание процедур согласования, требований к отчётности и корректному представлению информации, соблюдение внутренних регламентов, уважение к корпоративной культуре и истории университета.</w:t>
      </w:r>
    </w:p>
    <w:p w14:paraId="70BB970B" w14:textId="77777777" w:rsidR="0055798E" w:rsidRDefault="0034515C">
      <w:pPr>
        <w:pStyle w:val="a4"/>
        <w:numPr>
          <w:ilvl w:val="0"/>
          <w:numId w:val="2"/>
        </w:numPr>
        <w:spacing w:after="80"/>
        <w:jc w:val="both"/>
      </w:pPr>
      <w:r>
        <w:rPr>
          <w:sz w:val="24"/>
          <w:szCs w:val="24"/>
        </w:rPr>
        <w:t>Соответствие требованиям, установленным закупочной документацией и применимым законодательством о закупках.</w:t>
      </w:r>
    </w:p>
    <w:sectPr w:rsidR="0055798E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383B"/>
    <w:multiLevelType w:val="hybridMultilevel"/>
    <w:tmpl w:val="C9B6D1F0"/>
    <w:lvl w:ilvl="0" w:tplc="654A1FE6">
      <w:start w:val="1"/>
      <w:numFmt w:val="bullet"/>
      <w:lvlText w:val="–"/>
      <w:lvlJc w:val="left"/>
      <w:pPr>
        <w:ind w:left="720" w:hanging="360"/>
      </w:pPr>
    </w:lvl>
    <w:lvl w:ilvl="1" w:tplc="10DE7834">
      <w:numFmt w:val="decimal"/>
      <w:lvlText w:val=""/>
      <w:lvlJc w:val="left"/>
    </w:lvl>
    <w:lvl w:ilvl="2" w:tplc="F404F7D6">
      <w:numFmt w:val="decimal"/>
      <w:lvlText w:val=""/>
      <w:lvlJc w:val="left"/>
    </w:lvl>
    <w:lvl w:ilvl="3" w:tplc="848A1CBA">
      <w:numFmt w:val="decimal"/>
      <w:lvlText w:val=""/>
      <w:lvlJc w:val="left"/>
    </w:lvl>
    <w:lvl w:ilvl="4" w:tplc="9412E2F8">
      <w:numFmt w:val="decimal"/>
      <w:lvlText w:val=""/>
      <w:lvlJc w:val="left"/>
    </w:lvl>
    <w:lvl w:ilvl="5" w:tplc="FC12F0E6">
      <w:numFmt w:val="decimal"/>
      <w:lvlText w:val=""/>
      <w:lvlJc w:val="left"/>
    </w:lvl>
    <w:lvl w:ilvl="6" w:tplc="2A242510">
      <w:numFmt w:val="decimal"/>
      <w:lvlText w:val=""/>
      <w:lvlJc w:val="left"/>
    </w:lvl>
    <w:lvl w:ilvl="7" w:tplc="59C683D0">
      <w:numFmt w:val="decimal"/>
      <w:lvlText w:val=""/>
      <w:lvlJc w:val="left"/>
    </w:lvl>
    <w:lvl w:ilvl="8" w:tplc="52505E24">
      <w:numFmt w:val="decimal"/>
      <w:lvlText w:val=""/>
      <w:lvlJc w:val="left"/>
    </w:lvl>
  </w:abstractNum>
  <w:abstractNum w:abstractNumId="1" w15:restartNumberingAfterBreak="0">
    <w:nsid w:val="5FA34470"/>
    <w:multiLevelType w:val="hybridMultilevel"/>
    <w:tmpl w:val="9D64B600"/>
    <w:lvl w:ilvl="0" w:tplc="A6C0BC02">
      <w:start w:val="1"/>
      <w:numFmt w:val="bullet"/>
      <w:lvlText w:val="●"/>
      <w:lvlJc w:val="left"/>
      <w:pPr>
        <w:ind w:left="720" w:hanging="360"/>
      </w:pPr>
    </w:lvl>
    <w:lvl w:ilvl="1" w:tplc="07A0F232">
      <w:start w:val="1"/>
      <w:numFmt w:val="bullet"/>
      <w:lvlText w:val="○"/>
      <w:lvlJc w:val="left"/>
      <w:pPr>
        <w:ind w:left="1440" w:hanging="360"/>
      </w:pPr>
    </w:lvl>
    <w:lvl w:ilvl="2" w:tplc="F5BCF676">
      <w:start w:val="1"/>
      <w:numFmt w:val="bullet"/>
      <w:lvlText w:val="■"/>
      <w:lvlJc w:val="left"/>
      <w:pPr>
        <w:ind w:left="2160" w:hanging="360"/>
      </w:pPr>
    </w:lvl>
    <w:lvl w:ilvl="3" w:tplc="BABE7D30">
      <w:start w:val="1"/>
      <w:numFmt w:val="bullet"/>
      <w:lvlText w:val="●"/>
      <w:lvlJc w:val="left"/>
      <w:pPr>
        <w:ind w:left="2880" w:hanging="360"/>
      </w:pPr>
    </w:lvl>
    <w:lvl w:ilvl="4" w:tplc="F906F12E">
      <w:start w:val="1"/>
      <w:numFmt w:val="bullet"/>
      <w:lvlText w:val="○"/>
      <w:lvlJc w:val="left"/>
      <w:pPr>
        <w:ind w:left="3600" w:hanging="360"/>
      </w:pPr>
    </w:lvl>
    <w:lvl w:ilvl="5" w:tplc="F2703C8E">
      <w:start w:val="1"/>
      <w:numFmt w:val="bullet"/>
      <w:lvlText w:val="■"/>
      <w:lvlJc w:val="left"/>
      <w:pPr>
        <w:ind w:left="4320" w:hanging="360"/>
      </w:pPr>
    </w:lvl>
    <w:lvl w:ilvl="6" w:tplc="5E845F56">
      <w:start w:val="1"/>
      <w:numFmt w:val="bullet"/>
      <w:lvlText w:val="●"/>
      <w:lvlJc w:val="left"/>
      <w:pPr>
        <w:ind w:left="5040" w:hanging="360"/>
      </w:pPr>
    </w:lvl>
    <w:lvl w:ilvl="7" w:tplc="EB060A62">
      <w:start w:val="1"/>
      <w:numFmt w:val="bullet"/>
      <w:lvlText w:val="●"/>
      <w:lvlJc w:val="left"/>
      <w:pPr>
        <w:ind w:left="5760" w:hanging="360"/>
      </w:pPr>
    </w:lvl>
    <w:lvl w:ilvl="8" w:tplc="CC58FFB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8E"/>
    <w:rsid w:val="0034515C"/>
    <w:rsid w:val="0055798E"/>
    <w:rsid w:val="0064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756B"/>
  <w15:docId w15:val="{40FA6DD2-90E3-4FC2-934D-70BC5F23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1316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Коренев Алексей Викторович</cp:lastModifiedBy>
  <cp:revision>4</cp:revision>
  <dcterms:created xsi:type="dcterms:W3CDTF">2026-09-03T13:58:00Z</dcterms:created>
  <dcterms:modified xsi:type="dcterms:W3CDTF">2026-09-03T22:58:00Z</dcterms:modified>
</cp:coreProperties>
</file>