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8"/>
        <w:jc w:val="center"/>
      </w:pPr>
      <w:r>
        <w:rPr>
          <w:rFonts w:ascii="Arial" w:hAnsi="Arial" w:cs="Arial"/>
          <w:b/>
        </w:rPr>
        <w:t xml:space="preserve">ГОСУДАРСТВЕННЫЙ КОНТРАКТ</w:t>
      </w:r>
      <w:r/>
    </w:p>
    <w:p>
      <w:pPr>
        <w:pStyle w:val="858"/>
        <w:jc w:val="center"/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t xml:space="preserve">на оказание услуг охраны помещений с помощью технических средств охраны</w:t>
      </w:r>
      <w:r/>
    </w:p>
    <w:p>
      <w:pPr>
        <w:pStyle w:val="902"/>
        <w:rPr>
          <w:rFonts w:ascii="Arial Narrow" w:hAnsi="Arial Narrow" w:cs="Arial Narrow"/>
          <w:b w:val="0"/>
          <w:sz w:val="20"/>
        </w:rPr>
      </w:pPr>
      <w:r>
        <w:rPr>
          <w:rFonts w:ascii="Arial Narrow" w:hAnsi="Arial Narrow" w:cs="Arial Narrow"/>
          <w:b w:val="0"/>
          <w:sz w:val="20"/>
        </w:rPr>
      </w:r>
      <w:r>
        <w:rPr>
          <w:rFonts w:ascii="Arial Narrow" w:hAnsi="Arial Narrow" w:cs="Arial Narrow"/>
          <w:b w:val="0"/>
          <w:sz w:val="20"/>
        </w:rPr>
      </w:r>
      <w:r>
        <w:rPr>
          <w:rFonts w:ascii="Arial Narrow" w:hAnsi="Arial Narrow" w:cs="Arial Narrow"/>
          <w:b w:val="0"/>
          <w:sz w:val="20"/>
        </w:rPr>
      </w:r>
    </w:p>
    <w:p>
      <w:pPr>
        <w:pStyle w:val="902"/>
        <w:jc w:val="both"/>
      </w:pPr>
      <w:r>
        <w:rPr>
          <w:rFonts w:ascii="Arial Narrow" w:hAnsi="Arial Narrow" w:cs="Arial Narrow"/>
          <w:sz w:val="20"/>
        </w:rPr>
        <w:t xml:space="preserve">«___» _____________ 2026г.</w:t>
        <w:tab/>
        <w:tab/>
        <w:tab/>
        <w:t xml:space="preserve">                         </w:t>
        <w:tab/>
        <w:t xml:space="preserve">                                                            г. Биробиджан</w:t>
      </w:r>
      <w:r/>
    </w:p>
    <w:p>
      <w:pPr>
        <w:pStyle w:val="90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</w:rPr>
        <w:t xml:space="preserve">№</w:t>
      </w:r>
      <w:r>
        <w:rPr>
          <w:rFonts w:ascii="Arial" w:hAnsi="Arial" w:eastAsia="Arial" w:cs="Arial"/>
          <w:sz w:val="20"/>
        </w:rPr>
        <w:t xml:space="preserve"> 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02"/>
        <w:jc w:val="both"/>
      </w:pPr>
      <w:r>
        <w:rPr>
          <w:rFonts w:ascii="Arial Narrow" w:hAnsi="Arial Narrow" w:cs="Arial Narrow"/>
          <w:b w:val="0"/>
          <w:sz w:val="19"/>
          <w:szCs w:val="19"/>
        </w:rPr>
        <w:tab/>
      </w:r>
      <w:r>
        <w:rPr>
          <w:rFonts w:ascii="Arial Narrow" w:hAnsi="Arial Narrow" w:cs="Arial Narrow"/>
          <w:b w:val="0"/>
          <w:sz w:val="19"/>
          <w:szCs w:val="19"/>
        </w:rPr>
        <w:t xml:space="preserve">__________________________________________________________</w:t>
      </w:r>
      <w:r>
        <w:rPr>
          <w:rFonts w:ascii="Arial Narrow" w:hAnsi="Arial Narrow" w:cs="Arial Narrow"/>
          <w:b w:val="0"/>
          <w:sz w:val="19"/>
          <w:szCs w:val="19"/>
        </w:rPr>
        <w:t xml:space="preserve">), именуемое в дальнейшем «Исполнитель», в </w:t>
      </w:r>
      <w:r>
        <w:rPr>
          <w:rFonts w:ascii="Arial Narrow" w:hAnsi="Arial Narrow" w:cs="Arial Narrow"/>
          <w:b w:val="0"/>
          <w:sz w:val="19"/>
          <w:szCs w:val="19"/>
        </w:rPr>
        <w:t xml:space="preserve">______________________________________________________</w:t>
      </w:r>
      <w:r>
        <w:rPr>
          <w:rFonts w:ascii="Arial Narrow" w:hAnsi="Arial Narrow" w:cs="Arial Narrow"/>
          <w:b w:val="0"/>
          <w:sz w:val="19"/>
          <w:szCs w:val="19"/>
        </w:rPr>
        <w:t xml:space="preserve">действующего на основании Устава, с одной стороны, и Управление Федеральной службы государственной регистрации, кадастра</w:t>
      </w:r>
      <w:r>
        <w:rPr>
          <w:rFonts w:ascii="Arial Narrow" w:hAnsi="Arial Narrow" w:cs="Arial Narrow"/>
          <w:b w:val="0"/>
          <w:sz w:val="19"/>
          <w:szCs w:val="19"/>
        </w:rPr>
        <w:t xml:space="preserve"> и картографии по Еврейской автономной области, именуемое в дальнейшем «Заказчик», в лице руководителя Управления Зуевой Светланы Евгеньевны, действующей на основании Положения об Управлении, с другой стороны, совместно именуемые «Стороны», на основании п.</w:t>
      </w:r>
      <w:r>
        <w:rPr>
          <w:rFonts w:ascii="Arial Narrow" w:hAnsi="Arial Narrow" w:cs="Arial Narrow"/>
          <w:b w:val="0"/>
          <w:sz w:val="19"/>
          <w:szCs w:val="19"/>
        </w:rPr>
        <w:t xml:space="preserve"> 4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нижеследующем:</w:t>
      </w:r>
      <w:r/>
    </w:p>
    <w:p>
      <w:pPr>
        <w:pStyle w:val="902"/>
        <w:ind w:firstLine="567"/>
        <w:jc w:val="both"/>
        <w:rPr>
          <w:rFonts w:ascii="Arial Narrow" w:hAnsi="Arial Narrow" w:cs="Arial Narrow"/>
          <w:b w:val="0"/>
          <w:sz w:val="16"/>
          <w:szCs w:val="16"/>
        </w:rPr>
      </w:pPr>
      <w:r>
        <w:rPr>
          <w:rFonts w:ascii="Arial Narrow" w:hAnsi="Arial Narrow" w:cs="Arial Narrow"/>
          <w:b w:val="0"/>
          <w:sz w:val="16"/>
          <w:szCs w:val="16"/>
        </w:rPr>
      </w:r>
      <w:r>
        <w:rPr>
          <w:rFonts w:ascii="Arial Narrow" w:hAnsi="Arial Narrow" w:cs="Arial Narrow"/>
          <w:b w:val="0"/>
          <w:sz w:val="16"/>
          <w:szCs w:val="16"/>
        </w:rPr>
      </w:r>
      <w:r>
        <w:rPr>
          <w:rFonts w:ascii="Arial Narrow" w:hAnsi="Arial Narrow" w:cs="Arial Narrow"/>
          <w:b w:val="0"/>
          <w:sz w:val="16"/>
          <w:szCs w:val="16"/>
        </w:rPr>
      </w:r>
    </w:p>
    <w:p>
      <w:pPr>
        <w:pStyle w:val="902"/>
        <w:numPr>
          <w:ilvl w:val="0"/>
          <w:numId w:val="3"/>
        </w:numPr>
      </w:pPr>
      <w:r>
        <w:rPr>
          <w:rFonts w:ascii="Arial" w:hAnsi="Arial" w:cs="Arial"/>
          <w:sz w:val="19"/>
          <w:szCs w:val="19"/>
        </w:rPr>
        <w:t xml:space="preserve">ПРЕДМЕТ КОНТРАКТА</w:t>
      </w:r>
      <w:r/>
    </w:p>
    <w:p>
      <w:pPr>
        <w:pStyle w:val="902"/>
        <w:numPr>
          <w:ilvl w:val="1"/>
          <w:numId w:val="3"/>
        </w:numPr>
        <w:ind w:left="0" w:firstLine="0"/>
        <w:jc w:val="both"/>
        <w:tabs>
          <w:tab w:val="left" w:pos="-426" w:leader="none"/>
          <w:tab w:val="left" w:pos="284" w:leader="none"/>
          <w:tab w:val="left" w:pos="1134" w:leader="none"/>
        </w:tabs>
      </w:pPr>
      <w:r>
        <w:rPr>
          <w:rFonts w:ascii="Arial Narrow" w:hAnsi="Arial Narrow" w:cs="Arial Narrow"/>
          <w:b w:val="0"/>
          <w:sz w:val="19"/>
          <w:szCs w:val="19"/>
        </w:rPr>
        <w:t xml:space="preserve">«Исполнитель» обязуется осуществлять контроль за каналом передачи тревожного извещен</w:t>
      </w:r>
      <w:r>
        <w:rPr>
          <w:rFonts w:ascii="Arial Narrow" w:hAnsi="Arial Narrow" w:cs="Arial Narrow"/>
          <w:b w:val="0"/>
          <w:sz w:val="19"/>
          <w:szCs w:val="19"/>
        </w:rPr>
        <w:t xml:space="preserve">ия из зданий, сооружений, помещений           (в дальнейшем именуемых объектами) «Заказчика» и обеспечить экстренный выезд группы задержания по сигналу «Тревога», поступившему из объекта «Заказчика» на пульт централизованной охраны, для принятия мер к заде</w:t>
      </w:r>
      <w:r>
        <w:rPr>
          <w:rFonts w:ascii="Arial Narrow" w:hAnsi="Arial Narrow" w:cs="Arial Narrow"/>
          <w:b w:val="0"/>
          <w:sz w:val="19"/>
          <w:szCs w:val="19"/>
        </w:rPr>
        <w:t xml:space="preserve">ржанию лиц, создающих угрозу личной безопасности работников «Заказчика» и (или) угрозу хищения, повреждения, уничтожения имущества «Заказчика», в период времени, указанный в Перечне (Приложение № 1). «Заказчик» своевременно оплачивает услуги «Исполнителя».</w:t>
      </w:r>
      <w:r/>
    </w:p>
    <w:p>
      <w:pPr>
        <w:pStyle w:val="902"/>
        <w:jc w:val="both"/>
        <w:tabs>
          <w:tab w:val="left" w:pos="1080" w:leader="none"/>
          <w:tab w:val="left" w:pos="1134" w:leader="none"/>
        </w:tabs>
        <w:rPr>
          <w:rFonts w:ascii="Arial Narrow" w:hAnsi="Arial Narrow" w:cs="Arial Narrow"/>
          <w:sz w:val="16"/>
          <w:szCs w:val="16"/>
        </w:rPr>
      </w:pPr>
      <w:r>
        <w:rPr>
          <w:rFonts w:ascii="Arial Narrow" w:hAnsi="Arial Narrow" w:cs="Arial Narrow"/>
          <w:sz w:val="16"/>
          <w:szCs w:val="16"/>
        </w:rPr>
      </w:r>
      <w:r>
        <w:rPr>
          <w:rFonts w:ascii="Arial Narrow" w:hAnsi="Arial Narrow" w:cs="Arial Narrow"/>
          <w:sz w:val="16"/>
          <w:szCs w:val="16"/>
        </w:rPr>
      </w:r>
      <w:r>
        <w:rPr>
          <w:rFonts w:ascii="Arial Narrow" w:hAnsi="Arial Narrow" w:cs="Arial Narrow"/>
          <w:sz w:val="16"/>
          <w:szCs w:val="16"/>
        </w:rPr>
      </w:r>
    </w:p>
    <w:p>
      <w:pPr>
        <w:pStyle w:val="902"/>
        <w:numPr>
          <w:ilvl w:val="0"/>
          <w:numId w:val="3"/>
        </w:numPr>
      </w:pPr>
      <w:r>
        <w:rPr>
          <w:rFonts w:ascii="Arial" w:hAnsi="Arial" w:cs="Arial"/>
          <w:sz w:val="19"/>
          <w:szCs w:val="19"/>
        </w:rPr>
        <w:t xml:space="preserve">ОБЯЗАННОСТИ СТОРОН</w:t>
      </w:r>
      <w:r/>
    </w:p>
    <w:p>
      <w:pPr>
        <w:pStyle w:val="902"/>
        <w:jc w:val="both"/>
        <w:tabs>
          <w:tab w:val="left" w:pos="426" w:leader="none"/>
        </w:tabs>
      </w:pPr>
      <w:r>
        <w:rPr>
          <w:rFonts w:ascii="Arial Narrow" w:hAnsi="Arial Narrow" w:cs="Arial Narrow"/>
          <w:sz w:val="19"/>
          <w:szCs w:val="19"/>
        </w:rPr>
        <w:t xml:space="preserve">2.1. «Исполнитель» обязуется:</w:t>
      </w:r>
      <w:r/>
    </w:p>
    <w:p>
      <w:pPr>
        <w:pStyle w:val="902"/>
        <w:jc w:val="both"/>
        <w:tabs>
          <w:tab w:val="left" w:pos="426" w:leader="none"/>
          <w:tab w:val="left" w:pos="1276" w:leader="none"/>
        </w:tabs>
      </w:pPr>
      <w:r>
        <w:rPr>
          <w:rFonts w:ascii="Arial Narrow" w:hAnsi="Arial Narrow" w:cs="Arial Narrow"/>
          <w:b w:val="0"/>
          <w:sz w:val="19"/>
          <w:szCs w:val="19"/>
        </w:rPr>
        <w:t xml:space="preserve">2.1.1. Осуществлять контроль за каналом передачи тревожного извещения.</w:t>
      </w:r>
      <w:r/>
    </w:p>
    <w:p>
      <w:pPr>
        <w:pStyle w:val="906"/>
        <w:ind w:firstLine="0"/>
        <w:tabs>
          <w:tab w:val="left" w:pos="426" w:leader="none"/>
        </w:tabs>
      </w:pPr>
      <w:r>
        <w:rPr>
          <w:rFonts w:ascii="Arial Narrow" w:hAnsi="Arial Narrow" w:cs="Arial Narrow"/>
          <w:sz w:val="19"/>
          <w:szCs w:val="19"/>
        </w:rPr>
        <w:t xml:space="preserve">2.1.2. При срабатывании тревожной сигнализации, уста</w:t>
      </w:r>
      <w:r>
        <w:rPr>
          <w:rFonts w:ascii="Arial Narrow" w:hAnsi="Arial Narrow" w:cs="Arial Narrow"/>
          <w:sz w:val="19"/>
          <w:szCs w:val="19"/>
        </w:rPr>
        <w:t xml:space="preserve">новленной на объектах «Заказчика», обеспечить в кратчайшее время выезд вооруженного наряда, а при необходимости – выделение дополнительных сил и средств для пресечения противоправных покушений            на имущество «Заказчика» и личность его сотрудников.</w:t>
      </w:r>
      <w:r/>
    </w:p>
    <w:p>
      <w:pPr>
        <w:pStyle w:val="858"/>
        <w:jc w:val="both"/>
        <w:tabs>
          <w:tab w:val="left" w:pos="426" w:leader="none"/>
        </w:tabs>
      </w:pPr>
      <w:r>
        <w:rPr>
          <w:rFonts w:ascii="Arial Narrow" w:hAnsi="Arial Narrow" w:cs="Arial Narrow"/>
          <w:b/>
          <w:sz w:val="19"/>
          <w:szCs w:val="19"/>
        </w:rPr>
        <w:t xml:space="preserve">2.2. «Заказчик» обязуется:</w:t>
      </w:r>
      <w:r/>
    </w:p>
    <w:p>
      <w:pPr>
        <w:pStyle w:val="908"/>
        <w:ind w:firstLine="0"/>
        <w:tabs>
          <w:tab w:val="left" w:pos="426" w:leader="none"/>
        </w:tabs>
      </w:pPr>
      <w:r>
        <w:rPr>
          <w:rFonts w:ascii="Arial Narrow" w:hAnsi="Arial Narrow" w:cs="Arial Narrow"/>
          <w:sz w:val="19"/>
          <w:szCs w:val="19"/>
        </w:rPr>
        <w:t xml:space="preserve">2.2.1. Обеспечить бесперебойное функционирование средств сигнализации, подключенных на пульт централизованного наблюдения «Исполнителя».</w:t>
      </w:r>
      <w:r/>
    </w:p>
    <w:p>
      <w:pPr>
        <w:pStyle w:val="908"/>
        <w:ind w:firstLine="0"/>
        <w:tabs>
          <w:tab w:val="left" w:pos="426" w:leader="none"/>
        </w:tabs>
      </w:pPr>
      <w:r>
        <w:rPr>
          <w:rFonts w:ascii="Arial Narrow" w:hAnsi="Arial Narrow" w:cs="Arial Narrow"/>
          <w:sz w:val="19"/>
          <w:szCs w:val="19"/>
        </w:rPr>
        <w:t xml:space="preserve">2.2.2. Оказывать всестороннее содействие представителям «Исполнителя» при выполнении ими своих обязательств по настоящему Контракту на объекте «Заказчика».</w:t>
      </w:r>
      <w:r/>
    </w:p>
    <w:p>
      <w:pPr>
        <w:pStyle w:val="908"/>
        <w:ind w:firstLine="0"/>
        <w:tabs>
          <w:tab w:val="left" w:pos="426" w:leader="none"/>
        </w:tabs>
      </w:pPr>
      <w:r>
        <w:rPr>
          <w:rFonts w:ascii="Arial Narrow" w:hAnsi="Arial Narrow" w:cs="Arial Narrow"/>
          <w:sz w:val="19"/>
          <w:szCs w:val="19"/>
        </w:rPr>
        <w:t xml:space="preserve">2.2.3. При эксплуатации средств сигнализации, установленных на объект</w:t>
      </w:r>
      <w:r>
        <w:rPr>
          <w:rFonts w:ascii="Arial Narrow" w:hAnsi="Arial Narrow" w:cs="Arial Narrow"/>
          <w:sz w:val="19"/>
          <w:szCs w:val="19"/>
        </w:rPr>
        <w:t xml:space="preserve">е «Заказчика», руководствоваться Инструкцией по пользованию кнопкой тревожной сигнализации (Приложение № 2), а также обеспечить неукоснительное исполнение положений названной Инструкции лицами, ответственными за эксплуатацию средств тревожной сигнализации.</w:t>
      </w:r>
      <w:r/>
    </w:p>
    <w:p>
      <w:pPr>
        <w:pStyle w:val="908"/>
        <w:ind w:firstLine="0"/>
        <w:tabs>
          <w:tab w:val="left" w:pos="426" w:leader="none"/>
        </w:tabs>
      </w:pPr>
      <w:r>
        <w:rPr>
          <w:rFonts w:ascii="Arial Narrow" w:hAnsi="Arial Narrow" w:cs="Arial Narrow"/>
          <w:sz w:val="19"/>
          <w:szCs w:val="19"/>
        </w:rPr>
        <w:t xml:space="preserve">2.2.4. Не разглашать принципы пользования сигнализацией и присвоенный условный номер объекта, ежесуточно проводить проверку работоспособности сигнализации (все тревожные кнопки) с пультом централизованного наблюдения.</w:t>
      </w:r>
      <w:r/>
    </w:p>
    <w:p>
      <w:pPr>
        <w:pStyle w:val="906"/>
        <w:ind w:firstLine="0"/>
        <w:tabs>
          <w:tab w:val="left" w:pos="426" w:leader="none"/>
        </w:tabs>
      </w:pPr>
      <w:r>
        <w:rPr>
          <w:rFonts w:ascii="Arial Narrow" w:hAnsi="Arial Narrow" w:cs="Arial Narrow"/>
          <w:sz w:val="19"/>
          <w:szCs w:val="19"/>
        </w:rPr>
        <w:t xml:space="preserve">2.2.5. Принимать меры к своевременному ремонту средств сигнализации, линий телефонной сети и электропитания, к которым подключена сигнализация.</w:t>
      </w:r>
      <w:r/>
    </w:p>
    <w:p>
      <w:pPr>
        <w:pStyle w:val="858"/>
        <w:ind w:right="5"/>
        <w:jc w:val="both"/>
        <w:shd w:val="clear" w:color="auto" w:fill="ffffff"/>
        <w:tabs>
          <w:tab w:val="left" w:pos="426" w:leader="none"/>
        </w:tabs>
      </w:pPr>
      <w:r>
        <w:rPr>
          <w:rFonts w:ascii="Arial Narrow" w:hAnsi="Arial Narrow" w:cs="Arial Narrow"/>
          <w:sz w:val="19"/>
          <w:szCs w:val="19"/>
        </w:rPr>
        <w:t xml:space="preserve">2.2.6. С</w:t>
      </w:r>
      <w:r>
        <w:rPr>
          <w:rFonts w:ascii="Arial Narrow" w:hAnsi="Arial Narrow" w:cs="Arial Narrow"/>
          <w:spacing w:val="-1"/>
          <w:sz w:val="19"/>
          <w:szCs w:val="19"/>
        </w:rPr>
        <w:t xml:space="preserve">воевременно извещать «Исполнителя», </w:t>
      </w:r>
      <w:r>
        <w:rPr>
          <w:rFonts w:ascii="Arial Narrow" w:hAnsi="Arial Narrow" w:cs="Arial Narrow"/>
          <w:sz w:val="19"/>
          <w:szCs w:val="19"/>
        </w:rPr>
        <w:t xml:space="preserve">но не позднее 3-х рабочих дней,</w:t>
      </w:r>
      <w:r>
        <w:rPr>
          <w:rFonts w:ascii="Arial Narrow" w:hAnsi="Arial Narrow" w:cs="Arial Narrow"/>
          <w:spacing w:val="-1"/>
          <w:sz w:val="19"/>
          <w:szCs w:val="19"/>
        </w:rPr>
        <w:t xml:space="preserve"> об изменениях в учредительных документах,                              о реорганизациях, изменениях своего н</w:t>
      </w:r>
      <w:r>
        <w:rPr>
          <w:rFonts w:ascii="Arial Narrow" w:hAnsi="Arial Narrow" w:cs="Arial Narrow"/>
          <w:spacing w:val="-1"/>
          <w:sz w:val="19"/>
          <w:szCs w:val="19"/>
        </w:rPr>
        <w:t xml:space="preserve">аименования, юридических адресов, банковских реквизитов, проведении мероприятий, в ходе которых может потребоваться изменение режима охраны объекта, а также других существенных изменениях, могущих повлиять на надлежащее исполнение контрактных обязательств.</w:t>
      </w:r>
      <w:r/>
    </w:p>
    <w:p>
      <w:pPr>
        <w:pStyle w:val="902"/>
        <w:numPr>
          <w:ilvl w:val="0"/>
          <w:numId w:val="3"/>
        </w:numPr>
      </w:pPr>
      <w:r>
        <w:rPr>
          <w:rFonts w:ascii="Arial Narrow" w:hAnsi="Arial Narrow" w:cs="Arial Narrow"/>
          <w:sz w:val="19"/>
          <w:szCs w:val="19"/>
        </w:rPr>
        <w:t xml:space="preserve">ПРАВА И ОТВЕТСТВЕННОСТЬ СТОРОН</w:t>
      </w:r>
      <w:r/>
    </w:p>
    <w:p>
      <w:pPr>
        <w:pStyle w:val="902"/>
        <w:numPr>
          <w:ilvl w:val="1"/>
          <w:numId w:val="3"/>
        </w:numPr>
        <w:ind w:left="0" w:firstLine="0"/>
        <w:jc w:val="both"/>
        <w:tabs>
          <w:tab w:val="left" w:pos="-426" w:leader="none"/>
          <w:tab w:val="left" w:pos="284" w:leader="none"/>
          <w:tab w:val="left" w:pos="1134" w:leader="none"/>
        </w:tabs>
      </w:pPr>
      <w:r>
        <w:rPr>
          <w:rFonts w:ascii="Arial Narrow" w:hAnsi="Arial Narrow" w:eastAsia="Arial Narrow" w:cs="Arial Narrow"/>
          <w:b w:val="0"/>
          <w:sz w:val="19"/>
          <w:szCs w:val="19"/>
        </w:rPr>
        <w:t xml:space="preserve"> </w:t>
      </w:r>
      <w:r>
        <w:rPr>
          <w:rFonts w:ascii="Arial Narrow" w:hAnsi="Arial Narrow" w:cs="Arial Narrow"/>
          <w:b w:val="0"/>
          <w:sz w:val="19"/>
          <w:szCs w:val="19"/>
        </w:rPr>
        <w:t xml:space="preserve">«Исполнитель» имеет право рекомендовать «Заказчику» проведение мероприятий, направленных на усиление охраны личности               и имущества.</w:t>
      </w:r>
      <w:r/>
    </w:p>
    <w:p>
      <w:pPr>
        <w:pStyle w:val="902"/>
        <w:numPr>
          <w:ilvl w:val="1"/>
          <w:numId w:val="3"/>
        </w:numPr>
        <w:ind w:left="0" w:firstLine="0"/>
        <w:jc w:val="both"/>
        <w:tabs>
          <w:tab w:val="left" w:pos="-426" w:leader="none"/>
          <w:tab w:val="left" w:pos="284" w:leader="none"/>
          <w:tab w:val="left" w:pos="1134" w:leader="none"/>
        </w:tabs>
      </w:pPr>
      <w:r>
        <w:rPr>
          <w:rFonts w:ascii="Arial Narrow" w:hAnsi="Arial Narrow" w:eastAsia="Arial Narrow" w:cs="Arial Narrow"/>
          <w:b w:val="0"/>
          <w:sz w:val="19"/>
          <w:szCs w:val="19"/>
        </w:rPr>
        <w:t xml:space="preserve"> </w:t>
      </w:r>
      <w:r>
        <w:rPr>
          <w:rFonts w:ascii="Arial Narrow" w:hAnsi="Arial Narrow" w:cs="Arial Narrow"/>
          <w:b w:val="0"/>
          <w:sz w:val="19"/>
          <w:szCs w:val="19"/>
        </w:rPr>
        <w:t xml:space="preserve">Пр</w:t>
      </w:r>
      <w:r>
        <w:rPr>
          <w:rFonts w:ascii="Arial Narrow" w:hAnsi="Arial Narrow" w:cs="Arial Narrow"/>
          <w:b w:val="0"/>
          <w:sz w:val="19"/>
          <w:szCs w:val="19"/>
        </w:rPr>
        <w:t xml:space="preserve">и исполнении принятых на себя обязательств сотрудники «Исполнителя» принимают необходимые меры в пределах, предоставленных действующим законодательством прав, включая применение в установленном законом порядке оружия, специальных средств и физической силы.</w:t>
      </w:r>
      <w:r/>
    </w:p>
    <w:p>
      <w:pPr>
        <w:pStyle w:val="902"/>
        <w:numPr>
          <w:ilvl w:val="1"/>
          <w:numId w:val="3"/>
        </w:numPr>
        <w:ind w:left="0" w:firstLine="0"/>
        <w:jc w:val="both"/>
        <w:tabs>
          <w:tab w:val="left" w:pos="-426" w:leader="none"/>
          <w:tab w:val="left" w:pos="284" w:leader="none"/>
          <w:tab w:val="left" w:pos="1134" w:leader="none"/>
        </w:tabs>
      </w:pPr>
      <w:r>
        <w:rPr>
          <w:rFonts w:ascii="Arial Narrow" w:hAnsi="Arial Narrow" w:eastAsia="Arial Narrow" w:cs="Arial Narrow"/>
          <w:b w:val="0"/>
          <w:sz w:val="19"/>
          <w:szCs w:val="19"/>
        </w:rPr>
        <w:t xml:space="preserve"> </w:t>
      </w:r>
      <w:r>
        <w:rPr>
          <w:rFonts w:ascii="Arial Narrow" w:hAnsi="Arial Narrow" w:cs="Arial Narrow"/>
          <w:b w:val="0"/>
          <w:sz w:val="19"/>
          <w:szCs w:val="19"/>
        </w:rPr>
        <w:t xml:space="preserve">В случа</w:t>
      </w:r>
      <w:r>
        <w:rPr>
          <w:rFonts w:ascii="Arial Narrow" w:hAnsi="Arial Narrow" w:cs="Arial Narrow"/>
          <w:b w:val="0"/>
          <w:sz w:val="19"/>
          <w:szCs w:val="19"/>
        </w:rPr>
        <w:t xml:space="preserve">ях невозможности выполнения «Исполнителем» обязанностей, принятых на себя по настоящему Контракту по независящим        от него причинам: неисправность средств сигнализации, телефонной или выделенной линии связи, отключения электроэнергии, а также         </w:t>
      </w:r>
      <w:r>
        <w:rPr>
          <w:rFonts w:ascii="Arial Narrow" w:hAnsi="Arial Narrow" w:cs="Arial Narrow"/>
          <w:b w:val="0"/>
          <w:sz w:val="19"/>
          <w:szCs w:val="19"/>
        </w:rPr>
        <w:t xml:space="preserve"> в случаях нарушения «Заказчиком» условий Контракта «Исполнитель» вправе не принимать объект под централизованное наблюдения          до устранения указанных причин, о чем «Заказчик» ставится в известность при сдаче объекта под централизованное наблюдение.</w:t>
      </w:r>
      <w:r/>
    </w:p>
    <w:p>
      <w:pPr>
        <w:pStyle w:val="902"/>
        <w:numPr>
          <w:ilvl w:val="1"/>
          <w:numId w:val="3"/>
        </w:numPr>
        <w:ind w:left="0" w:firstLine="0"/>
        <w:jc w:val="both"/>
        <w:tabs>
          <w:tab w:val="left" w:pos="-426" w:leader="none"/>
          <w:tab w:val="left" w:pos="284" w:leader="none"/>
          <w:tab w:val="left" w:pos="1134" w:leader="none"/>
        </w:tabs>
      </w:pPr>
      <w:r>
        <w:rPr>
          <w:rFonts w:ascii="Arial Narrow" w:hAnsi="Arial Narrow" w:cs="Arial Narrow"/>
          <w:b w:val="0"/>
          <w:sz w:val="19"/>
          <w:szCs w:val="19"/>
        </w:rPr>
        <w:t xml:space="preserve">«Исполнитель» не несет ответственности за сохранность имущества «Заказчика» и личную безопасность его сотрудников.</w:t>
      </w:r>
      <w:r/>
    </w:p>
    <w:p>
      <w:pPr>
        <w:pStyle w:val="902"/>
        <w:numPr>
          <w:ilvl w:val="1"/>
          <w:numId w:val="3"/>
        </w:numPr>
        <w:ind w:left="0" w:firstLine="0"/>
        <w:jc w:val="both"/>
        <w:tabs>
          <w:tab w:val="left" w:pos="-426" w:leader="none"/>
          <w:tab w:val="left" w:pos="284" w:leader="none"/>
          <w:tab w:val="left" w:pos="1134" w:leader="none"/>
        </w:tabs>
      </w:pPr>
      <w:r>
        <w:rPr>
          <w:rFonts w:ascii="Arial Narrow" w:hAnsi="Arial Narrow" w:cs="Arial Narrow"/>
          <w:b w:val="0"/>
          <w:sz w:val="19"/>
          <w:szCs w:val="19"/>
        </w:rPr>
        <w:t xml:space="preserve">При расторжении Контракта «Заказчик» обязан в семидневный срок возвращать «Исполнителю», принадлежащее ему оборудование, установленное на объектах «Заказчика» или компенсировать его стоимость. </w:t>
      </w:r>
      <w:r/>
    </w:p>
    <w:p>
      <w:pPr>
        <w:pStyle w:val="858"/>
        <w:jc w:val="center"/>
        <w:rPr>
          <w:rFonts w:ascii="Arial Narrow" w:hAnsi="Arial Narrow" w:cs="Arial Narrow"/>
          <w:b/>
          <w:sz w:val="19"/>
          <w:szCs w:val="19"/>
        </w:rPr>
      </w:pPr>
      <w:r>
        <w:rPr>
          <w:rFonts w:ascii="Arial Narrow" w:hAnsi="Arial Narrow" w:cs="Arial Narrow"/>
          <w:b/>
          <w:sz w:val="19"/>
          <w:szCs w:val="19"/>
        </w:rPr>
      </w:r>
      <w:r>
        <w:rPr>
          <w:rFonts w:ascii="Arial Narrow" w:hAnsi="Arial Narrow" w:cs="Arial Narrow"/>
          <w:b/>
          <w:sz w:val="19"/>
          <w:szCs w:val="19"/>
        </w:rPr>
      </w:r>
      <w:r>
        <w:rPr>
          <w:rFonts w:ascii="Arial Narrow" w:hAnsi="Arial Narrow" w:cs="Arial Narrow"/>
          <w:b/>
          <w:sz w:val="19"/>
          <w:szCs w:val="19"/>
        </w:rPr>
      </w:r>
    </w:p>
    <w:p>
      <w:pPr>
        <w:pStyle w:val="902"/>
        <w:numPr>
          <w:ilvl w:val="0"/>
          <w:numId w:val="3"/>
        </w:numPr>
      </w:pPr>
      <w:r>
        <w:rPr>
          <w:rFonts w:ascii="Arial Narrow" w:hAnsi="Arial Narrow" w:cs="Arial Narrow"/>
          <w:sz w:val="19"/>
          <w:szCs w:val="19"/>
        </w:rPr>
        <w:t xml:space="preserve">СТОИМОСТЬ УСЛУГ И УСЛОВИЯ РАСЧЕТА</w:t>
      </w:r>
      <w:r/>
    </w:p>
    <w:p>
      <w:pPr>
        <w:pStyle w:val="906"/>
        <w:numPr>
          <w:ilvl w:val="1"/>
          <w:numId w:val="3"/>
        </w:numPr>
        <w:ind w:left="0" w:firstLine="0"/>
        <w:tabs>
          <w:tab w:val="left" w:pos="0" w:leader="none"/>
          <w:tab w:val="left" w:pos="284" w:leader="none"/>
        </w:tabs>
      </w:pPr>
      <w:r>
        <w:rPr>
          <w:rFonts w:ascii="Arial Narrow" w:hAnsi="Arial Narrow" w:cs="Arial Narrow"/>
          <w:sz w:val="19"/>
          <w:szCs w:val="19"/>
        </w:rPr>
        <w:t xml:space="preserve">Сумма Контракта в период с 01.04.2026 г. по 31.12.2026 г. включительно составит: </w:t>
      </w:r>
      <w:r>
        <w:rPr>
          <w:rFonts w:ascii="Arial Narrow" w:hAnsi="Arial Narrow" w:cs="Arial Narrow"/>
          <w:sz w:val="19"/>
          <w:szCs w:val="19"/>
        </w:rPr>
        <w:t xml:space="preserve">___________________</w:t>
      </w:r>
      <w:r>
        <w:rPr>
          <w:rFonts w:ascii="Arial Narrow" w:hAnsi="Arial Narrow" w:cs="Arial Narrow"/>
          <w:sz w:val="19"/>
          <w:szCs w:val="19"/>
        </w:rPr>
        <w:t xml:space="preserve"> рублей </w:t>
      </w:r>
      <w:r>
        <w:rPr>
          <w:rFonts w:ascii="Arial Narrow" w:hAnsi="Arial Narrow" w:cs="Arial Narrow"/>
          <w:sz w:val="19"/>
          <w:szCs w:val="19"/>
        </w:rPr>
        <w:t xml:space="preserve">______ко</w:t>
      </w:r>
      <w:r>
        <w:rPr>
          <w:rFonts w:ascii="Arial Narrow" w:hAnsi="Arial Narrow" w:cs="Arial Narrow"/>
          <w:sz w:val="19"/>
          <w:szCs w:val="19"/>
        </w:rPr>
        <w:t xml:space="preserve">пеек, определяется в зависимости от количества охраняемых объектов, а также времени их охраны  и указывается в Перечне (Приложение № 1), который является неотъемлемой частью Контракта.</w:t>
      </w:r>
      <w:r/>
    </w:p>
    <w:p>
      <w:pPr>
        <w:pStyle w:val="906"/>
        <w:numPr>
          <w:ilvl w:val="1"/>
          <w:numId w:val="3"/>
        </w:numPr>
        <w:ind w:left="0" w:firstLine="0"/>
        <w:tabs>
          <w:tab w:val="left" w:pos="0" w:leader="none"/>
          <w:tab w:val="left" w:pos="284" w:leader="none"/>
        </w:tabs>
      </w:pPr>
      <w:r>
        <w:rPr>
          <w:rFonts w:ascii="Arial Narrow" w:hAnsi="Arial Narrow" w:cs="Arial Narrow"/>
          <w:sz w:val="19"/>
          <w:szCs w:val="19"/>
        </w:rPr>
        <w:t xml:space="preserve">Ежемесячная сумма к оплате составляет: </w:t>
      </w:r>
      <w:r>
        <w:rPr>
          <w:rFonts w:ascii="Arial Narrow" w:hAnsi="Arial Narrow" w:cs="Arial Narrow"/>
          <w:sz w:val="19"/>
          <w:szCs w:val="19"/>
        </w:rPr>
        <w:t xml:space="preserve">_______________</w:t>
      </w:r>
      <w:r>
        <w:rPr>
          <w:rFonts w:ascii="Arial Narrow" w:hAnsi="Arial Narrow" w:cs="Arial Narrow"/>
          <w:sz w:val="19"/>
          <w:szCs w:val="19"/>
        </w:rPr>
        <w:t xml:space="preserve">рублей (</w:t>
      </w:r>
      <w:r>
        <w:rPr>
          <w:rFonts w:ascii="Arial Narrow" w:hAnsi="Arial Narrow" w:cs="Arial Narrow"/>
          <w:sz w:val="19"/>
          <w:szCs w:val="19"/>
        </w:rPr>
        <w:t xml:space="preserve">_______________________</w:t>
      </w:r>
      <w:r>
        <w:rPr>
          <w:rFonts w:ascii="Arial Narrow" w:hAnsi="Arial Narrow" w:cs="Arial Narrow"/>
          <w:sz w:val="19"/>
          <w:szCs w:val="19"/>
        </w:rPr>
        <w:t xml:space="preserve">) рублей </w:t>
      </w:r>
      <w:r>
        <w:rPr>
          <w:rFonts w:ascii="Arial Narrow" w:hAnsi="Arial Narrow" w:cs="Arial Narrow"/>
          <w:sz w:val="19"/>
          <w:szCs w:val="19"/>
        </w:rPr>
        <w:t xml:space="preserve">____</w:t>
      </w:r>
      <w:r>
        <w:rPr>
          <w:rFonts w:ascii="Arial Narrow" w:hAnsi="Arial Narrow" w:cs="Arial Narrow"/>
          <w:sz w:val="19"/>
          <w:szCs w:val="19"/>
        </w:rPr>
        <w:t xml:space="preserve"> копеек.</w:t>
      </w:r>
      <w:r/>
    </w:p>
    <w:p>
      <w:pPr>
        <w:pStyle w:val="906"/>
        <w:numPr>
          <w:ilvl w:val="1"/>
          <w:numId w:val="3"/>
        </w:numPr>
        <w:ind w:left="0" w:firstLine="0"/>
        <w:tabs>
          <w:tab w:val="left" w:pos="284" w:leader="none"/>
          <w:tab w:val="left" w:pos="1134" w:leader="none"/>
        </w:tabs>
      </w:pPr>
      <w:r>
        <w:rPr>
          <w:rFonts w:ascii="Arial Narrow" w:hAnsi="Arial Narrow" w:cs="Arial Narrow"/>
          <w:sz w:val="19"/>
          <w:szCs w:val="19"/>
        </w:rPr>
        <w:t xml:space="preserve">Стоимость услуг «Исполнителя» не облагается НДС в соответствии с подпунктом 4 пункта 2 статьи 146 главы 21 части 2 Налогового кодекса Российской Федерации.</w:t>
      </w:r>
      <w:r/>
    </w:p>
    <w:p>
      <w:pPr>
        <w:pStyle w:val="902"/>
        <w:numPr>
          <w:ilvl w:val="1"/>
          <w:numId w:val="3"/>
        </w:numPr>
        <w:ind w:left="0" w:firstLine="0"/>
        <w:jc w:val="both"/>
        <w:tabs>
          <w:tab w:val="left" w:pos="-426" w:leader="none"/>
          <w:tab w:val="left" w:pos="284" w:leader="none"/>
          <w:tab w:val="left" w:pos="1134" w:leader="none"/>
        </w:tabs>
      </w:pPr>
      <w:r>
        <w:rPr>
          <w:rFonts w:ascii="Arial Narrow" w:hAnsi="Arial Narrow" w:cs="Arial Narrow"/>
          <w:b w:val="0"/>
          <w:sz w:val="19"/>
          <w:szCs w:val="19"/>
        </w:rPr>
        <w:t xml:space="preserve">Оплата по настоящему Контракту производится «Заказчиком» ежемесячно не позднее 10 числа ме</w:t>
      </w:r>
      <w:r>
        <w:rPr>
          <w:rFonts w:ascii="Arial Narrow" w:hAnsi="Arial Narrow" w:cs="Arial Narrow"/>
          <w:b w:val="0"/>
          <w:sz w:val="19"/>
          <w:szCs w:val="19"/>
        </w:rPr>
        <w:t xml:space="preserve">сяца, следующего за расчетным, путем перечисления денежных средств на расчетный счет «Исполнителя» на основании выставленных счетов и актов выполненных услуг. Денежное обязательство считается исполненным с момента поступления средств на счет «Исполнителя».</w:t>
      </w:r>
      <w:r/>
    </w:p>
    <w:p>
      <w:pPr>
        <w:pStyle w:val="902"/>
        <w:numPr>
          <w:ilvl w:val="1"/>
          <w:numId w:val="3"/>
        </w:numPr>
        <w:ind w:left="0" w:firstLine="0"/>
        <w:jc w:val="both"/>
        <w:tabs>
          <w:tab w:val="left" w:pos="-426" w:leader="none"/>
          <w:tab w:val="left" w:pos="284" w:leader="none"/>
          <w:tab w:val="left" w:pos="1134" w:leader="none"/>
        </w:tabs>
      </w:pPr>
      <w:r>
        <w:rPr>
          <w:rFonts w:ascii="Arial Narrow" w:hAnsi="Arial Narrow" w:cs="Arial Narrow"/>
          <w:b w:val="0"/>
          <w:sz w:val="19"/>
          <w:szCs w:val="19"/>
          <w:highlight w:val="none"/>
        </w:rPr>
        <w:t xml:space="preserve">Оплата за декабрь производится до 30 декабря года, следующего за текущим. Срок исполнения Контракта в части оплаты 30.01.2027 года.</w:t>
      </w:r>
      <w:r>
        <w:rPr>
          <w:rFonts w:ascii="Arial Narrow" w:hAnsi="Arial Narrow" w:cs="Arial Narrow"/>
          <w:b w:val="0"/>
          <w:sz w:val="19"/>
          <w:szCs w:val="19"/>
          <w:highlight w:val="none"/>
        </w:rPr>
      </w:r>
    </w:p>
    <w:p>
      <w:pPr>
        <w:pStyle w:val="902"/>
        <w:numPr>
          <w:ilvl w:val="1"/>
          <w:numId w:val="3"/>
        </w:numPr>
        <w:ind w:left="0" w:firstLine="0"/>
        <w:jc w:val="both"/>
        <w:tabs>
          <w:tab w:val="left" w:pos="-426" w:leader="none"/>
          <w:tab w:val="left" w:pos="284" w:leader="none"/>
          <w:tab w:val="left" w:pos="1134" w:leader="none"/>
        </w:tabs>
      </w:pPr>
      <w:r>
        <w:rPr>
          <w:rFonts w:ascii="Arial Narrow" w:hAnsi="Arial Narrow" w:cs="Arial Narrow"/>
          <w:b w:val="0"/>
          <w:sz w:val="19"/>
          <w:szCs w:val="19"/>
        </w:rPr>
        <w:t xml:space="preserve">Оплата по настоящему Контракту по вновь принимаемому объекту начинает начисляться с даты, указанной в Акте приемки ТСО                в эксплуатацию. Аналогичный порядок оплаты устанавливается при принятии под охрану иных объектов «Заказчика».</w:t>
      </w:r>
      <w:r/>
    </w:p>
    <w:p>
      <w:pPr>
        <w:pStyle w:val="906"/>
        <w:numPr>
          <w:ilvl w:val="1"/>
          <w:numId w:val="3"/>
        </w:numPr>
        <w:ind w:left="0" w:firstLine="0"/>
        <w:tabs>
          <w:tab w:val="left" w:pos="284" w:leader="none"/>
          <w:tab w:val="left" w:pos="1021" w:leader="none"/>
        </w:tabs>
      </w:pPr>
      <w:r>
        <w:rPr>
          <w:rFonts w:ascii="Arial Narrow" w:hAnsi="Arial Narrow" w:cs="Arial Narrow"/>
          <w:sz w:val="19"/>
          <w:szCs w:val="19"/>
        </w:rPr>
        <w:t xml:space="preserve">«Заказчик» не менее чем 2 раза в год обязан производить сверку расчетов по оплате за услуги охраны, хранить в течение 3-х лет квитанции об оплате услуг охраны.</w:t>
      </w:r>
      <w:r/>
    </w:p>
    <w:p>
      <w:pPr>
        <w:pStyle w:val="906"/>
        <w:numPr>
          <w:ilvl w:val="1"/>
          <w:numId w:val="3"/>
        </w:numPr>
        <w:ind w:left="0" w:firstLine="0"/>
        <w:tabs>
          <w:tab w:val="left" w:pos="0" w:leader="none"/>
          <w:tab w:val="left" w:pos="284" w:leader="none"/>
        </w:tabs>
      </w:pPr>
      <w:r>
        <w:rPr>
          <w:rFonts w:ascii="Arial Narrow" w:hAnsi="Arial Narrow" w:cs="Arial Narrow"/>
          <w:sz w:val="19"/>
          <w:szCs w:val="19"/>
        </w:rPr>
        <w:t xml:space="preserve">«Заказчик» самостоятельно осуществляет контроль за производимой ежемесячной оплатой за услуги охраны, недопущением задолженности за услуги «Исполнителя».</w:t>
      </w:r>
      <w:r/>
    </w:p>
    <w:p>
      <w:pPr>
        <w:pStyle w:val="906"/>
        <w:numPr>
          <w:ilvl w:val="1"/>
          <w:numId w:val="3"/>
        </w:numPr>
        <w:ind w:left="0" w:firstLine="0"/>
        <w:tabs>
          <w:tab w:val="left" w:pos="284" w:leader="none"/>
          <w:tab w:val="left" w:pos="1021" w:leader="none"/>
        </w:tabs>
      </w:pPr>
      <w:r>
        <w:rPr>
          <w:rFonts w:ascii="Arial Narrow" w:hAnsi="Arial Narrow" w:cs="Arial Narrow"/>
          <w:sz w:val="19"/>
          <w:szCs w:val="19"/>
        </w:rPr>
        <w:t xml:space="preserve">При оплате услуг по безналичному расчету обязательства «Заказчика» по оплате считаются выполненными на дату поступления               к</w:t>
      </w:r>
      <w:r>
        <w:rPr>
          <w:rFonts w:ascii="Arial Narrow" w:hAnsi="Arial Narrow" w:cs="Arial Narrow"/>
          <w:sz w:val="19"/>
          <w:szCs w:val="19"/>
        </w:rPr>
        <w:t xml:space="preserve"> «Исполнителю» банковской информации и документации, позволяющей индивидуализировать платеж «Заказчика». При этом «Исполнитель» не несет ответственность за несвоевременное или неполное поступление банковской информации и документации в адрес «Исполнителя».</w:t>
      </w:r>
      <w:r/>
    </w:p>
    <w:p>
      <w:pPr>
        <w:pStyle w:val="906"/>
        <w:numPr>
          <w:ilvl w:val="1"/>
          <w:numId w:val="3"/>
        </w:numPr>
        <w:ind w:left="0" w:firstLine="0"/>
        <w:tabs>
          <w:tab w:val="left" w:pos="0" w:leader="none"/>
          <w:tab w:val="left" w:pos="284" w:leader="none"/>
          <w:tab w:val="left" w:pos="851" w:leader="none"/>
        </w:tabs>
      </w:pPr>
      <w:r>
        <w:rPr>
          <w:rFonts w:ascii="Arial Narrow" w:hAnsi="Arial Narrow" w:cs="Arial Narrow"/>
          <w:sz w:val="19"/>
          <w:szCs w:val="19"/>
        </w:rPr>
        <w:t xml:space="preserve">Расходы, связанные с оплатой услуг (в том числе комиссия, взимаемая банками за перечисление денежных средств), несет «Заказчик»  за свой счет.</w:t>
      </w:r>
      <w:r/>
    </w:p>
    <w:p>
      <w:pPr>
        <w:pStyle w:val="906"/>
        <w:numPr>
          <w:ilvl w:val="1"/>
          <w:numId w:val="3"/>
        </w:numPr>
        <w:ind w:left="0" w:firstLine="0"/>
        <w:tabs>
          <w:tab w:val="left" w:pos="0" w:leader="none"/>
          <w:tab w:val="left" w:pos="426" w:leader="none"/>
        </w:tabs>
      </w:pPr>
      <w:r>
        <w:rPr>
          <w:rFonts w:ascii="Arial Narrow" w:hAnsi="Arial Narrow" w:cs="Arial Narrow"/>
          <w:bCs/>
          <w:iCs/>
          <w:sz w:val="19"/>
          <w:szCs w:val="19"/>
        </w:rPr>
        <w:t xml:space="preserve">В случае</w:t>
      </w:r>
      <w:r>
        <w:rPr>
          <w:rFonts w:ascii="Arial Narrow" w:hAnsi="Arial Narrow" w:cs="Arial Narrow"/>
          <w:bCs/>
          <w:iCs/>
          <w:sz w:val="19"/>
          <w:szCs w:val="19"/>
        </w:rPr>
        <w:t xml:space="preserve"> досрочного расторжения Контракта, Сторонами проводятся взаиморасчеты; исходя из стоимости фактически оказанных услуг на момент расторжения Контракта, на основании Акта сверки, подписанного Сторонами, не позднее 10 рабочих дней после расторжения Контракта.</w:t>
      </w:r>
      <w:r/>
    </w:p>
    <w:p>
      <w:pPr>
        <w:pStyle w:val="906"/>
        <w:numPr>
          <w:ilvl w:val="1"/>
          <w:numId w:val="3"/>
        </w:numPr>
        <w:ind w:left="0" w:firstLine="0"/>
        <w:tabs>
          <w:tab w:val="left" w:pos="0" w:leader="none"/>
          <w:tab w:val="left" w:pos="426" w:leader="none"/>
          <w:tab w:val="left" w:pos="993" w:leader="none"/>
          <w:tab w:val="left" w:pos="1134" w:leader="none"/>
        </w:tabs>
      </w:pPr>
      <w:r>
        <w:rPr>
          <w:rFonts w:ascii="Arial Narrow" w:hAnsi="Arial Narrow" w:cs="Arial Narrow"/>
          <w:sz w:val="19"/>
          <w:szCs w:val="19"/>
        </w:rPr>
        <w:t xml:space="preserve">В случае «ложного» выезда группы задержания «Исполнителя» составляется двусторонний акт, который подписывается «Исполнителем» и «Заказчиком». На основании акта выставляется счет, согласно утвержденному тарифу. При отказе «Заказчика»                 от</w:t>
      </w:r>
      <w:r>
        <w:rPr>
          <w:rFonts w:ascii="Arial Narrow" w:hAnsi="Arial Narrow" w:cs="Arial Narrow"/>
          <w:sz w:val="19"/>
          <w:szCs w:val="19"/>
        </w:rPr>
        <w:t xml:space="preserve"> подписания акта, нежелании указать возражения на акт, акт подписывается в одностороннем порядке «Исполнителем», направляется «Заказчику» любыми средствами связи (почта России, факсимильная связь, электронная почта и т.д.) и считается принятым «Сторонами».</w:t>
      </w:r>
      <w:r/>
    </w:p>
    <w:p>
      <w:pPr>
        <w:pStyle w:val="858"/>
        <w:ind w:firstLine="426"/>
        <w:jc w:val="both"/>
        <w:tabs>
          <w:tab w:val="left" w:pos="709" w:leader="none"/>
          <w:tab w:val="left" w:pos="993" w:leader="none"/>
        </w:tabs>
      </w:pPr>
      <w:r>
        <w:rPr>
          <w:rFonts w:ascii="Arial Narrow" w:hAnsi="Arial Narrow" w:cs="Arial Narrow"/>
          <w:sz w:val="19"/>
          <w:szCs w:val="19"/>
        </w:rPr>
        <w:t xml:space="preserve">Под «ложным» вызовом понимается выезд группы задержания «Исполнителя» при поступлении информации о срабатывании средств сигнализации на объекте в результате:</w:t>
      </w:r>
      <w:r/>
    </w:p>
    <w:p>
      <w:pPr>
        <w:pStyle w:val="858"/>
        <w:ind w:firstLine="426"/>
        <w:jc w:val="both"/>
        <w:tabs>
          <w:tab w:val="left" w:pos="709" w:leader="none"/>
          <w:tab w:val="left" w:pos="993" w:leader="none"/>
        </w:tabs>
      </w:pPr>
      <w:r>
        <w:rPr>
          <w:rFonts w:ascii="Arial Narrow" w:hAnsi="Arial Narrow" w:cs="Arial Narrow"/>
          <w:sz w:val="19"/>
          <w:szCs w:val="19"/>
        </w:rPr>
        <w:t xml:space="preserve">- срабатывание ТСО и не уведомления работников ПЦН при проведении регламентных работ обслуживающей организацией на объекте;</w:t>
      </w:r>
      <w:r/>
    </w:p>
    <w:p>
      <w:pPr>
        <w:pStyle w:val="858"/>
        <w:ind w:firstLine="426"/>
        <w:jc w:val="both"/>
        <w:tabs>
          <w:tab w:val="left" w:pos="709" w:leader="none"/>
          <w:tab w:val="left" w:pos="993" w:leader="none"/>
        </w:tabs>
      </w:pPr>
      <w:r>
        <w:rPr>
          <w:rFonts w:ascii="Arial Narrow" w:hAnsi="Arial Narrow" w:cs="Arial Narrow"/>
          <w:sz w:val="19"/>
          <w:szCs w:val="19"/>
        </w:rPr>
        <w:t xml:space="preserve">- проведения проверки действий сотрудников и работников «Исполнителя», на объектах, по сигналу «Тревога» без согласования             с руководством «Исполнителя».</w:t>
      </w:r>
      <w:r/>
    </w:p>
    <w:p>
      <w:pPr>
        <w:pStyle w:val="858"/>
        <w:ind w:firstLine="426"/>
        <w:jc w:val="both"/>
        <w:tabs>
          <w:tab w:val="left" w:pos="709" w:leader="none"/>
          <w:tab w:val="left" w:pos="993" w:leader="none"/>
        </w:tabs>
        <w:rPr>
          <w:rFonts w:ascii="Arial Narrow" w:hAnsi="Arial Narrow" w:cs="Arial Narrow"/>
          <w:sz w:val="19"/>
          <w:szCs w:val="19"/>
        </w:rPr>
      </w:pPr>
      <w:r>
        <w:rPr>
          <w:rFonts w:ascii="Arial Narrow" w:hAnsi="Arial Narrow" w:cs="Arial Narrow"/>
          <w:sz w:val="19"/>
          <w:szCs w:val="19"/>
        </w:rPr>
      </w:r>
      <w:r>
        <w:rPr>
          <w:rFonts w:ascii="Arial Narrow" w:hAnsi="Arial Narrow" w:cs="Arial Narrow"/>
          <w:sz w:val="19"/>
          <w:szCs w:val="19"/>
        </w:rPr>
      </w:r>
      <w:r>
        <w:rPr>
          <w:rFonts w:ascii="Arial Narrow" w:hAnsi="Arial Narrow" w:cs="Arial Narrow"/>
          <w:sz w:val="19"/>
          <w:szCs w:val="19"/>
        </w:rPr>
      </w:r>
    </w:p>
    <w:p>
      <w:pPr>
        <w:pStyle w:val="902"/>
        <w:numPr>
          <w:ilvl w:val="0"/>
          <w:numId w:val="3"/>
        </w:numPr>
      </w:pPr>
      <w:r>
        <w:rPr>
          <w:rFonts w:ascii="Arial Narrow" w:hAnsi="Arial Narrow" w:cs="Arial Narrow"/>
          <w:sz w:val="19"/>
          <w:szCs w:val="19"/>
        </w:rPr>
        <w:t xml:space="preserve">ФОРС - МАЖОРНЫЕ ОБСТОЯТЕЛЬСТВА</w:t>
      </w:r>
      <w:r/>
    </w:p>
    <w:p>
      <w:pPr>
        <w:pStyle w:val="902"/>
        <w:numPr>
          <w:ilvl w:val="1"/>
          <w:numId w:val="3"/>
        </w:numPr>
        <w:ind w:left="0" w:firstLine="0"/>
        <w:jc w:val="both"/>
        <w:tabs>
          <w:tab w:val="left" w:pos="-426" w:leader="none"/>
          <w:tab w:val="left" w:pos="284" w:leader="none"/>
          <w:tab w:val="left" w:pos="1134" w:leader="none"/>
        </w:tabs>
      </w:pPr>
      <w:r>
        <w:rPr>
          <w:rFonts w:ascii="Arial Narrow" w:hAnsi="Arial Narrow" w:eastAsia="Arial Narrow" w:cs="Arial Narrow"/>
          <w:b w:val="0"/>
          <w:sz w:val="19"/>
          <w:szCs w:val="19"/>
        </w:rPr>
        <w:t xml:space="preserve"> </w:t>
      </w:r>
      <w:r>
        <w:rPr>
          <w:rFonts w:ascii="Arial Narrow" w:hAnsi="Arial Narrow" w:cs="Arial Narrow"/>
          <w:b w:val="0"/>
          <w:sz w:val="19"/>
          <w:szCs w:val="19"/>
        </w:rPr>
        <w:t xml:space="preserve">Ни одна из Сторон не несет ответственности перед другой Стороной за неисполнение обязательств по настоящему Контракту, обусловленное действием обстоятельств непреодолимой силы, то есть чрезвычайных и непредотврати</w:t>
      </w:r>
      <w:r>
        <w:rPr>
          <w:rFonts w:ascii="Arial Narrow" w:hAnsi="Arial Narrow" w:cs="Arial Narrow"/>
          <w:b w:val="0"/>
          <w:sz w:val="19"/>
          <w:szCs w:val="19"/>
        </w:rPr>
        <w:t xml:space="preserve">мых при данных условиях обстоятельств, в том числе объявленной или фактической войны, гражданских волнений, эпидемии, блокады, эмбарго, пожаров, землетрясений, наводнений и других природных стихийных бедствий, а также издание актов государственных органов.</w:t>
      </w:r>
      <w:r/>
    </w:p>
    <w:p>
      <w:pPr>
        <w:pStyle w:val="902"/>
        <w:numPr>
          <w:ilvl w:val="1"/>
          <w:numId w:val="3"/>
        </w:numPr>
        <w:ind w:left="0" w:firstLine="0"/>
        <w:jc w:val="both"/>
        <w:tabs>
          <w:tab w:val="left" w:pos="-426" w:leader="none"/>
          <w:tab w:val="left" w:pos="284" w:leader="none"/>
          <w:tab w:val="left" w:pos="1134" w:leader="none"/>
        </w:tabs>
      </w:pPr>
      <w:r>
        <w:rPr>
          <w:rFonts w:ascii="Arial Narrow" w:hAnsi="Arial Narrow" w:eastAsia="Arial Narrow" w:cs="Arial Narrow"/>
          <w:b w:val="0"/>
          <w:sz w:val="19"/>
          <w:szCs w:val="19"/>
        </w:rPr>
        <w:t xml:space="preserve"> </w:t>
      </w:r>
      <w:r>
        <w:rPr>
          <w:rFonts w:ascii="Arial Narrow" w:hAnsi="Arial Narrow" w:cs="Arial Narrow"/>
          <w:b w:val="0"/>
          <w:sz w:val="19"/>
          <w:szCs w:val="19"/>
        </w:rPr>
        <w:t xml:space="preserve">Свидетельство, выданное соответствующим компетентным органом, является достаточным подтверждением наличия                                             и продолжительности действия обстоятельств непреодолимой силы.</w:t>
      </w:r>
      <w:r/>
    </w:p>
    <w:p>
      <w:pPr>
        <w:pStyle w:val="902"/>
        <w:numPr>
          <w:ilvl w:val="1"/>
          <w:numId w:val="3"/>
        </w:numPr>
        <w:ind w:left="0" w:firstLine="0"/>
        <w:jc w:val="both"/>
        <w:tabs>
          <w:tab w:val="left" w:pos="-426" w:leader="none"/>
          <w:tab w:val="left" w:pos="284" w:leader="none"/>
          <w:tab w:val="left" w:pos="1134" w:leader="none"/>
        </w:tabs>
      </w:pPr>
      <w:r>
        <w:rPr>
          <w:rFonts w:ascii="Arial Narrow" w:hAnsi="Arial Narrow" w:eastAsia="Arial Narrow" w:cs="Arial Narrow"/>
          <w:b w:val="0"/>
          <w:sz w:val="19"/>
          <w:szCs w:val="19"/>
        </w:rPr>
        <w:t xml:space="preserve"> </w:t>
      </w:r>
      <w:r>
        <w:rPr>
          <w:rFonts w:ascii="Arial Narrow" w:hAnsi="Arial Narrow" w:cs="Arial Narrow"/>
          <w:b w:val="0"/>
          <w:sz w:val="19"/>
          <w:szCs w:val="19"/>
        </w:rPr>
        <w:t xml:space="preserve">Сторона, которая не исполняет обязательств по настоящему Контракту вследствие действия обстоятельств непреодолимой силы, должна незамедлительно известить другую Сторону о таких обстоятельствах, и об их влиянии на исполнение обязательств.</w:t>
      </w:r>
      <w:r/>
    </w:p>
    <w:p>
      <w:pPr>
        <w:pStyle w:val="902"/>
        <w:numPr>
          <w:ilvl w:val="1"/>
          <w:numId w:val="3"/>
        </w:numPr>
        <w:ind w:left="0" w:firstLine="0"/>
        <w:jc w:val="both"/>
        <w:tabs>
          <w:tab w:val="left" w:pos="-426" w:leader="none"/>
          <w:tab w:val="left" w:pos="284" w:leader="none"/>
          <w:tab w:val="left" w:pos="1134" w:leader="none"/>
        </w:tabs>
      </w:pPr>
      <w:r>
        <w:rPr>
          <w:rFonts w:ascii="Arial Narrow" w:hAnsi="Arial Narrow" w:eastAsia="Arial Narrow" w:cs="Arial Narrow"/>
          <w:b w:val="0"/>
          <w:sz w:val="19"/>
          <w:szCs w:val="19"/>
        </w:rPr>
        <w:t xml:space="preserve"> </w:t>
      </w:r>
      <w:r>
        <w:rPr>
          <w:rFonts w:ascii="Arial Narrow" w:hAnsi="Arial Narrow" w:cs="Arial Narrow"/>
          <w:b w:val="0"/>
          <w:sz w:val="19"/>
          <w:szCs w:val="19"/>
        </w:rPr>
        <w:t xml:space="preserve">Если обстоятельства непреодолимой силы действуют на протяжении 3 (трех) последовательных месяцев, настоящий Контракт может быть, расторгнут любой из Сторон путем направления письменного уведомления другой Стороне.</w:t>
      </w:r>
      <w:r/>
    </w:p>
    <w:p>
      <w:pPr>
        <w:pStyle w:val="912"/>
        <w:rPr>
          <w:rFonts w:cs="Arial Narrow"/>
          <w:b/>
          <w:sz w:val="16"/>
          <w:szCs w:val="16"/>
        </w:rPr>
      </w:pPr>
      <w:r>
        <w:rPr>
          <w:rFonts w:cs="Arial Narrow"/>
          <w:b/>
          <w:sz w:val="16"/>
          <w:szCs w:val="16"/>
        </w:rPr>
      </w:r>
      <w:r>
        <w:rPr>
          <w:rFonts w:cs="Arial Narrow"/>
          <w:b/>
          <w:sz w:val="16"/>
          <w:szCs w:val="16"/>
        </w:rPr>
      </w:r>
      <w:r>
        <w:rPr>
          <w:rFonts w:cs="Arial Narrow"/>
          <w:b/>
          <w:sz w:val="16"/>
          <w:szCs w:val="16"/>
        </w:rPr>
      </w:r>
    </w:p>
    <w:p>
      <w:pPr>
        <w:pStyle w:val="902"/>
        <w:numPr>
          <w:ilvl w:val="0"/>
          <w:numId w:val="3"/>
        </w:numPr>
      </w:pPr>
      <w:r>
        <w:rPr>
          <w:rFonts w:ascii="Arial Narrow" w:hAnsi="Arial Narrow" w:cs="Arial Narrow"/>
          <w:sz w:val="19"/>
          <w:szCs w:val="19"/>
        </w:rPr>
        <w:t xml:space="preserve">СРОКИ ДЕЙСТВИЯ КОНТРАКТА</w:t>
      </w:r>
      <w:r/>
    </w:p>
    <w:p>
      <w:pPr>
        <w:pStyle w:val="902"/>
        <w:numPr>
          <w:ilvl w:val="1"/>
          <w:numId w:val="3"/>
        </w:numPr>
        <w:ind w:left="0" w:firstLine="0"/>
        <w:jc w:val="both"/>
        <w:tabs>
          <w:tab w:val="left" w:pos="-426" w:leader="none"/>
          <w:tab w:val="left" w:pos="284" w:leader="none"/>
          <w:tab w:val="left" w:pos="1134" w:leader="none"/>
        </w:tabs>
      </w:pPr>
      <w:r>
        <w:rPr>
          <w:rFonts w:ascii="Arial Narrow" w:hAnsi="Arial Narrow" w:cs="Arial Narrow"/>
          <w:b w:val="0"/>
          <w:sz w:val="19"/>
          <w:szCs w:val="19"/>
        </w:rPr>
        <w:t xml:space="preserve">Настоящий </w:t>
      </w:r>
      <w:r>
        <w:rPr>
          <w:rFonts w:ascii="Arial Narrow" w:hAnsi="Arial Narrow" w:cs="Arial Narrow"/>
          <w:b w:val="0"/>
          <w:color w:val="000000"/>
          <w:sz w:val="19"/>
          <w:szCs w:val="19"/>
        </w:rPr>
        <w:t xml:space="preserve">Контракт вступает в силу с даты его подписания Сторонами, распространяет свое действие на правоотношения, возникшие     с 01.04.2026 г. и действует по 31.12.2026 г. включительно</w:t>
      </w:r>
      <w:r>
        <w:rPr>
          <w:rFonts w:ascii="Arial Narrow" w:hAnsi="Arial Narrow" w:cs="Arial Narrow"/>
          <w:b w:val="0"/>
          <w:sz w:val="19"/>
          <w:szCs w:val="19"/>
        </w:rPr>
        <w:t xml:space="preserve">.</w:t>
      </w:r>
      <w:r/>
    </w:p>
    <w:p>
      <w:pPr>
        <w:pStyle w:val="906"/>
        <w:numPr>
          <w:ilvl w:val="1"/>
          <w:numId w:val="3"/>
        </w:numPr>
        <w:ind w:left="0" w:firstLine="0"/>
        <w:tabs>
          <w:tab w:val="left" w:pos="0" w:leader="none"/>
          <w:tab w:val="left" w:pos="284" w:leader="none"/>
        </w:tabs>
      </w:pPr>
      <w:r>
        <w:rPr>
          <w:rFonts w:ascii="Arial Narrow" w:hAnsi="Arial Narrow" w:cs="Arial Narrow"/>
          <w:sz w:val="19"/>
          <w:szCs w:val="19"/>
        </w:rPr>
        <w:t xml:space="preserve">Расторжение Контракта допускается по соглашению Сторон, в одностороннем порядке или по решению суда, в соответствии                        с гражданским законодательством Российской Федерации.</w:t>
      </w:r>
      <w:r/>
    </w:p>
    <w:p>
      <w:pPr>
        <w:pStyle w:val="902"/>
        <w:numPr>
          <w:ilvl w:val="1"/>
          <w:numId w:val="3"/>
        </w:numPr>
        <w:ind w:left="0" w:firstLine="0"/>
        <w:jc w:val="both"/>
        <w:tabs>
          <w:tab w:val="left" w:pos="-426" w:leader="none"/>
          <w:tab w:val="left" w:pos="284" w:leader="none"/>
          <w:tab w:val="left" w:pos="1134" w:leader="none"/>
        </w:tabs>
      </w:pPr>
      <w:r>
        <w:rPr>
          <w:rFonts w:ascii="Arial Narrow" w:hAnsi="Arial Narrow" w:cs="Arial Narrow"/>
          <w:b w:val="0"/>
          <w:sz w:val="19"/>
          <w:szCs w:val="19"/>
        </w:rPr>
        <w:t xml:space="preserve">Стороны вправе расторгнуть настоящий Контракт досрочно. При этом заинтересо</w:t>
      </w:r>
      <w:r>
        <w:rPr>
          <w:rFonts w:ascii="Arial Narrow" w:hAnsi="Arial Narrow" w:cs="Arial Narrow"/>
          <w:b w:val="0"/>
          <w:sz w:val="19"/>
          <w:szCs w:val="19"/>
        </w:rPr>
        <w:t xml:space="preserve">ванная в расторжении Сторона письменно уведомляет  об этом другую Сторону, за 10 дней до предполагаемой даты расторжения, с обязательным проведением взаиморасчетов по исполненным Сторонами обязательствам в соответствии с пунктом 4.10. настоящего Контракта.</w:t>
      </w:r>
      <w:r/>
    </w:p>
    <w:p>
      <w:pPr>
        <w:pStyle w:val="902"/>
        <w:numPr>
          <w:ilvl w:val="1"/>
          <w:numId w:val="3"/>
        </w:numPr>
        <w:ind w:left="0" w:firstLine="0"/>
        <w:jc w:val="both"/>
        <w:tabs>
          <w:tab w:val="left" w:pos="-426" w:leader="none"/>
          <w:tab w:val="left" w:pos="284" w:leader="none"/>
          <w:tab w:val="left" w:pos="1134" w:leader="none"/>
        </w:tabs>
      </w:pPr>
      <w:r>
        <w:rPr>
          <w:rFonts w:ascii="Arial Narrow" w:hAnsi="Arial Narrow" w:cs="Arial Narrow"/>
          <w:b w:val="0"/>
          <w:sz w:val="19"/>
          <w:szCs w:val="19"/>
        </w:rPr>
        <w:t xml:space="preserve">«Исполнитель» вправе расторгнуть Контракт в одностороннем порядке или приостановить оказание услуг, предупредив об этом «Заказчика» письменно не позднее, чем за 10 дней: </w:t>
      </w:r>
      <w:r/>
    </w:p>
    <w:p>
      <w:pPr>
        <w:pStyle w:val="902"/>
        <w:numPr>
          <w:ilvl w:val="1"/>
          <w:numId w:val="2"/>
        </w:numPr>
        <w:ind w:left="0" w:firstLine="0"/>
        <w:jc w:val="both"/>
        <w:tabs>
          <w:tab w:val="left" w:pos="142" w:leader="none"/>
          <w:tab w:val="left" w:pos="1134" w:leader="none"/>
        </w:tabs>
      </w:pPr>
      <w:r>
        <w:rPr>
          <w:rFonts w:ascii="Arial Narrow" w:hAnsi="Arial Narrow" w:eastAsia="Arial Narrow" w:cs="Arial Narrow"/>
          <w:b w:val="0"/>
          <w:sz w:val="19"/>
          <w:szCs w:val="19"/>
        </w:rPr>
        <w:t xml:space="preserve"> </w:t>
      </w:r>
      <w:r>
        <w:rPr>
          <w:rFonts w:ascii="Arial Narrow" w:hAnsi="Arial Narrow" w:cs="Arial Narrow"/>
          <w:b w:val="0"/>
          <w:sz w:val="19"/>
          <w:szCs w:val="19"/>
        </w:rPr>
        <w:t xml:space="preserve">при невыполнении «Заказчиком» обязательств по оплате за услуги охраны, предусмотренной Контрактом суммы свыше 1 месяца;</w:t>
      </w:r>
      <w:r/>
    </w:p>
    <w:p>
      <w:pPr>
        <w:pStyle w:val="902"/>
        <w:numPr>
          <w:ilvl w:val="1"/>
          <w:numId w:val="2"/>
        </w:numPr>
        <w:ind w:left="0" w:firstLine="0"/>
        <w:jc w:val="both"/>
        <w:tabs>
          <w:tab w:val="left" w:pos="142" w:leader="none"/>
          <w:tab w:val="left" w:pos="1134" w:leader="none"/>
        </w:tabs>
      </w:pPr>
      <w:r>
        <w:rPr>
          <w:rFonts w:ascii="Arial Narrow" w:hAnsi="Arial Narrow" w:eastAsia="Arial Narrow" w:cs="Arial Narrow"/>
          <w:b w:val="0"/>
          <w:sz w:val="19"/>
          <w:szCs w:val="19"/>
        </w:rPr>
        <w:t xml:space="preserve"> </w:t>
      </w:r>
      <w:r>
        <w:rPr>
          <w:rFonts w:ascii="Arial Narrow" w:hAnsi="Arial Narrow" w:cs="Arial Narrow"/>
          <w:b w:val="0"/>
          <w:sz w:val="19"/>
          <w:szCs w:val="19"/>
        </w:rPr>
        <w:t xml:space="preserve">в случае невыполнения «Заказчиком» предложений «Исполнителя» в установленные сроки по двусторонним актам обследования, предписаниям и представлениям, направленным на усиление технической укреплённости объекта и оснащённости ТСО;</w:t>
      </w:r>
      <w:r/>
    </w:p>
    <w:p>
      <w:pPr>
        <w:pStyle w:val="906"/>
        <w:ind w:firstLine="0"/>
      </w:pPr>
      <w:r>
        <w:rPr>
          <w:rFonts w:ascii="Arial Narrow" w:hAnsi="Arial Narrow" w:cs="Arial Narrow"/>
          <w:sz w:val="19"/>
          <w:szCs w:val="19"/>
        </w:rPr>
        <w:t xml:space="preserve">−</w:t>
      </w:r>
      <w:r>
        <w:rPr>
          <w:rFonts w:ascii="Arial Narrow" w:hAnsi="Arial Narrow" w:eastAsia="Arial Narrow" w:cs="Arial Narrow"/>
          <w:sz w:val="19"/>
          <w:szCs w:val="19"/>
        </w:rPr>
        <w:t xml:space="preserve"> </w:t>
      </w:r>
      <w:r>
        <w:rPr>
          <w:rFonts w:ascii="Arial Narrow" w:hAnsi="Arial Narrow" w:cs="Arial Narrow"/>
          <w:sz w:val="19"/>
          <w:szCs w:val="19"/>
        </w:rPr>
        <w:t xml:space="preserve">п</w:t>
      </w:r>
      <w:r>
        <w:rPr>
          <w:rFonts w:ascii="Arial Narrow" w:hAnsi="Arial Narrow" w:cs="Arial Narrow"/>
          <w:sz w:val="19"/>
          <w:szCs w:val="19"/>
        </w:rPr>
        <w:t xml:space="preserve">ри возникновении технических причин, препятствующих продолжению охраны объекта (ликвидация пункта централизованной охраны, отсутствие электроэнергии, техническая неисправность ПЦН, неисправность средств сигнализации, неисправность телефонной линии и т.п.);</w:t>
      </w:r>
      <w:r/>
    </w:p>
    <w:p>
      <w:pPr>
        <w:pStyle w:val="902"/>
        <w:numPr>
          <w:ilvl w:val="1"/>
          <w:numId w:val="2"/>
        </w:numPr>
        <w:ind w:left="0" w:firstLine="0"/>
        <w:jc w:val="both"/>
        <w:tabs>
          <w:tab w:val="left" w:pos="142" w:leader="none"/>
        </w:tabs>
      </w:pPr>
      <w:r>
        <w:rPr>
          <w:rFonts w:ascii="Arial Narrow" w:hAnsi="Arial Narrow" w:eastAsia="Arial Narrow" w:cs="Arial Narrow"/>
          <w:b w:val="0"/>
          <w:sz w:val="19"/>
          <w:szCs w:val="19"/>
        </w:rPr>
        <w:t xml:space="preserve"> </w:t>
      </w:r>
      <w:r>
        <w:rPr>
          <w:rFonts w:ascii="Arial Narrow" w:hAnsi="Arial Narrow" w:cs="Arial Narrow"/>
          <w:b w:val="0"/>
          <w:sz w:val="19"/>
          <w:szCs w:val="19"/>
        </w:rPr>
        <w:t xml:space="preserve">в </w:t>
      </w:r>
      <w:r>
        <w:rPr>
          <w:rFonts w:ascii="Arial Narrow" w:hAnsi="Arial Narrow" w:cs="Arial Narrow"/>
          <w:b w:val="0"/>
          <w:sz w:val="19"/>
          <w:szCs w:val="19"/>
        </w:rPr>
        <w:t xml:space="preserve">случае получения информации о возникновении спора о праве собственности и управления имуществом, находящемся во владении «Заказчика» и являющемся объектом охраны, до момента разрешения спора в предусмотренном законодательством Российской Федерации порядке.</w:t>
      </w:r>
      <w:r/>
    </w:p>
    <w:p>
      <w:pPr>
        <w:pStyle w:val="902"/>
        <w:numPr>
          <w:ilvl w:val="0"/>
          <w:numId w:val="3"/>
        </w:numPr>
      </w:pPr>
      <w:r>
        <w:rPr>
          <w:rFonts w:ascii="Arial Narrow" w:hAnsi="Arial Narrow" w:cs="Arial Narrow"/>
          <w:sz w:val="19"/>
          <w:szCs w:val="19"/>
        </w:rPr>
        <w:t xml:space="preserve">ДОПОЛНИТЕЛЬНЫЕ УСЛОВИЯ</w:t>
      </w:r>
      <w:r/>
    </w:p>
    <w:p>
      <w:pPr>
        <w:pStyle w:val="902"/>
        <w:numPr>
          <w:ilvl w:val="1"/>
          <w:numId w:val="3"/>
        </w:numPr>
        <w:ind w:left="0" w:firstLine="0"/>
        <w:jc w:val="both"/>
        <w:tabs>
          <w:tab w:val="left" w:pos="-426" w:leader="none"/>
          <w:tab w:val="left" w:pos="284" w:leader="none"/>
          <w:tab w:val="left" w:pos="1134" w:leader="none"/>
        </w:tabs>
      </w:pPr>
      <w:r>
        <w:rPr>
          <w:rFonts w:ascii="Arial Narrow" w:hAnsi="Arial Narrow" w:cs="Arial Narrow"/>
          <w:b w:val="0"/>
          <w:sz w:val="19"/>
          <w:szCs w:val="19"/>
        </w:rPr>
        <w:t xml:space="preserve">«Исполнитель» и «Заказчик» по пред</w:t>
      </w:r>
      <w:r>
        <w:rPr>
          <w:rFonts w:ascii="Arial Narrow" w:hAnsi="Arial Narrow" w:cs="Arial Narrow"/>
          <w:b w:val="0"/>
          <w:sz w:val="19"/>
          <w:szCs w:val="19"/>
        </w:rPr>
        <w:t xml:space="preserve">варительному согласованию могут провести проверку действий нарядов групп задержания                 и работников «Заказчика», на объектах, на которых установлена тревожная сигнализация, по сигналу «Тревога» с последующим составлением соответствующего акта.</w:t>
      </w:r>
      <w:r/>
    </w:p>
    <w:p>
      <w:pPr>
        <w:pStyle w:val="906"/>
        <w:numPr>
          <w:ilvl w:val="1"/>
          <w:numId w:val="3"/>
        </w:numPr>
        <w:ind w:left="0" w:firstLine="0"/>
        <w:tabs>
          <w:tab w:val="left" w:pos="0" w:leader="none"/>
          <w:tab w:val="left" w:pos="284" w:leader="none"/>
        </w:tabs>
      </w:pPr>
      <w:r>
        <w:rPr>
          <w:rFonts w:ascii="Arial Narrow" w:hAnsi="Arial Narrow" w:cs="Arial Narrow"/>
          <w:sz w:val="19"/>
          <w:szCs w:val="19"/>
        </w:rPr>
        <w:t xml:space="preserve">Право на заключение (перезаключение), изменение, подписание и расторжение Контракта имеет только «Заказчик», либо его представитель на основании документа, подтверждающего полномочие лица, на совершение вышеуказанных действий.</w:t>
      </w:r>
      <w:r/>
    </w:p>
    <w:p>
      <w:pPr>
        <w:pStyle w:val="906"/>
        <w:numPr>
          <w:ilvl w:val="1"/>
          <w:numId w:val="3"/>
        </w:numPr>
        <w:ind w:left="0" w:firstLine="0"/>
        <w:tabs>
          <w:tab w:val="left" w:pos="0" w:leader="none"/>
          <w:tab w:val="left" w:pos="284" w:leader="none"/>
        </w:tabs>
      </w:pPr>
      <w:r>
        <w:rPr>
          <w:rFonts w:ascii="Arial Narrow" w:hAnsi="Arial Narrow" w:cs="Arial Narrow"/>
          <w:sz w:val="19"/>
          <w:szCs w:val="19"/>
        </w:rPr>
        <w:t xml:space="preserve">Изменения и дополнения к настоящему Контракту принимаются по согласованию Сторон в письменном виде.</w:t>
      </w:r>
      <w:r/>
    </w:p>
    <w:p>
      <w:pPr>
        <w:pStyle w:val="906"/>
        <w:numPr>
          <w:ilvl w:val="1"/>
          <w:numId w:val="3"/>
        </w:numPr>
        <w:ind w:left="0" w:hanging="11"/>
        <w:tabs>
          <w:tab w:val="left" w:pos="0" w:leader="none"/>
          <w:tab w:val="left" w:pos="284" w:leader="none"/>
        </w:tabs>
      </w:pPr>
      <w:r>
        <w:rPr>
          <w:rFonts w:ascii="Arial Narrow" w:hAnsi="Arial Narrow" w:cs="Arial Narrow"/>
          <w:sz w:val="19"/>
          <w:szCs w:val="19"/>
        </w:rPr>
        <w:t xml:space="preserve">Стороны прилагают все необходимые </w:t>
      </w:r>
      <w:r>
        <w:rPr>
          <w:rFonts w:ascii="Arial Narrow" w:hAnsi="Arial Narrow" w:cs="Arial Narrow"/>
          <w:sz w:val="19"/>
          <w:szCs w:val="19"/>
        </w:rPr>
        <w:t xml:space="preserve">усилия, чтобы споры и разногласия, возникшие между ними при исполнении настоящего Контракта, были урегулированы путём переговоров. При невозможности разрешения спора путем переговоров, все споры и разногласия, возникающие между Сторонами при исполнении нас</w:t>
      </w:r>
      <w:r>
        <w:rPr>
          <w:rFonts w:ascii="Arial Narrow" w:hAnsi="Arial Narrow" w:cs="Arial Narrow"/>
          <w:sz w:val="19"/>
          <w:szCs w:val="19"/>
        </w:rPr>
        <w:t xml:space="preserve">тоящего Контракта, разрешаются в соответствии с действующим законодательством Российской Федерации и передаются на рассмотрение Арбитражного суда Еврейской автономной области. При этом Стороны обязуются соблюдать претензионный порядок урегулирования спора.</w:t>
      </w:r>
      <w:r/>
    </w:p>
    <w:p>
      <w:pPr>
        <w:pStyle w:val="906"/>
        <w:numPr>
          <w:ilvl w:val="1"/>
          <w:numId w:val="3"/>
        </w:numPr>
        <w:ind w:left="0" w:hanging="11"/>
        <w:tabs>
          <w:tab w:val="left" w:pos="0" w:leader="none"/>
          <w:tab w:val="left" w:pos="284" w:leader="none"/>
        </w:tabs>
      </w:pPr>
      <w:r>
        <w:rPr>
          <w:rFonts w:ascii="Arial Narrow" w:hAnsi="Arial Narrow" w:cs="Arial Narrow"/>
          <w:sz w:val="19"/>
          <w:szCs w:val="19"/>
        </w:rPr>
        <w:t xml:space="preserve">Стороны не имеют никаких сопутствующих устных договоренностей. Содержание текста настоящего Контракта полностью соответствует действительному волеизъявлению Сторон.</w:t>
      </w:r>
      <w:r/>
    </w:p>
    <w:p>
      <w:pPr>
        <w:pStyle w:val="902"/>
        <w:numPr>
          <w:ilvl w:val="1"/>
          <w:numId w:val="3"/>
        </w:numPr>
        <w:ind w:left="0" w:firstLine="0"/>
        <w:jc w:val="both"/>
        <w:tabs>
          <w:tab w:val="left" w:pos="-426" w:leader="none"/>
          <w:tab w:val="left" w:pos="284" w:leader="none"/>
          <w:tab w:val="left" w:pos="1134" w:leader="none"/>
        </w:tabs>
      </w:pPr>
      <w:r>
        <w:rPr>
          <w:rFonts w:ascii="Arial Narrow" w:hAnsi="Arial Narrow" w:eastAsia="Arial Narrow" w:cs="Arial Narrow"/>
          <w:b w:val="0"/>
          <w:sz w:val="19"/>
          <w:szCs w:val="19"/>
        </w:rPr>
        <w:t xml:space="preserve"> </w:t>
      </w:r>
      <w:r>
        <w:rPr>
          <w:rFonts w:ascii="Arial Narrow" w:hAnsi="Arial Narrow" w:cs="Arial Narrow"/>
          <w:b w:val="0"/>
          <w:sz w:val="19"/>
          <w:szCs w:val="19"/>
        </w:rPr>
        <w:t xml:space="preserve">Настоящий Контракт составлен в двух экземплярах, имеющих одинаковую юридическую силу по одному для каждой Стороны.</w:t>
      </w:r>
      <w:r/>
    </w:p>
    <w:p>
      <w:pPr>
        <w:pStyle w:val="902"/>
        <w:numPr>
          <w:ilvl w:val="1"/>
          <w:numId w:val="3"/>
        </w:numPr>
        <w:ind w:left="0" w:firstLine="0"/>
        <w:jc w:val="both"/>
        <w:tabs>
          <w:tab w:val="left" w:pos="-426" w:leader="none"/>
          <w:tab w:val="left" w:pos="284" w:leader="none"/>
          <w:tab w:val="left" w:pos="1134" w:leader="none"/>
        </w:tabs>
      </w:pPr>
      <w:r>
        <w:rPr>
          <w:rFonts w:ascii="Arial Narrow" w:hAnsi="Arial Narrow" w:eastAsia="Arial Narrow" w:cs="Arial Narrow"/>
          <w:b w:val="0"/>
          <w:sz w:val="19"/>
          <w:szCs w:val="19"/>
        </w:rPr>
        <w:t xml:space="preserve"> </w:t>
      </w:r>
      <w:r>
        <w:rPr>
          <w:rFonts w:ascii="Arial Narrow" w:hAnsi="Arial Narrow" w:cs="Arial Narrow"/>
          <w:b w:val="0"/>
          <w:sz w:val="19"/>
          <w:szCs w:val="19"/>
        </w:rPr>
        <w:t xml:space="preserve">Все приложения к настоящему Контракту являются его неотъемлемой частью, и вступают в силу одновременно с Контрактом.</w:t>
      </w:r>
      <w:r/>
    </w:p>
    <w:p>
      <w:pPr>
        <w:pStyle w:val="902"/>
        <w:ind w:left="720"/>
        <w:jc w:val="both"/>
        <w:tabs>
          <w:tab w:val="left" w:pos="-426" w:leader="none"/>
          <w:tab w:val="left" w:pos="284" w:leader="none"/>
          <w:tab w:val="left" w:pos="1134" w:leader="none"/>
        </w:tabs>
        <w:rPr>
          <w:sz w:val="19"/>
          <w:szCs w:val="19"/>
        </w:rPr>
      </w:pPr>
      <w:r>
        <w:rPr>
          <w:sz w:val="19"/>
          <w:szCs w:val="19"/>
        </w:rPr>
      </w:r>
      <w:r>
        <w:rPr>
          <w:sz w:val="19"/>
          <w:szCs w:val="19"/>
        </w:rPr>
      </w:r>
      <w:r>
        <w:rPr>
          <w:sz w:val="19"/>
          <w:szCs w:val="19"/>
        </w:rPr>
      </w:r>
    </w:p>
    <w:p>
      <w:pPr>
        <w:pStyle w:val="902"/>
        <w:numPr>
          <w:ilvl w:val="0"/>
          <w:numId w:val="3"/>
        </w:numPr>
      </w:pPr>
      <w:r>
        <w:rPr>
          <w:rFonts w:ascii="Arial" w:hAnsi="Arial" w:cs="Arial"/>
          <w:sz w:val="19"/>
          <w:szCs w:val="19"/>
        </w:rPr>
        <w:t xml:space="preserve">ПРИЛОЖЕНИЕ</w:t>
      </w:r>
      <w:r/>
    </w:p>
    <w:p>
      <w:pPr>
        <w:pStyle w:val="858"/>
        <w:jc w:val="both"/>
      </w:pPr>
      <w:r>
        <w:rPr>
          <w:rFonts w:ascii="Arial Narrow" w:hAnsi="Arial Narrow" w:cs="Arial Narrow"/>
          <w:sz w:val="19"/>
          <w:szCs w:val="19"/>
        </w:rPr>
        <w:t xml:space="preserve">8.1.. Перечень объектов, передаваемых Управлением Росреестра по Еврейской автономной области под охрану и стоимость услуг, предоставляемых </w:t>
      </w:r>
      <w:r>
        <w:rPr>
          <w:rFonts w:ascii="Arial Narrow" w:hAnsi="Arial Narrow" w:cs="Arial Narrow"/>
          <w:sz w:val="19"/>
          <w:szCs w:val="19"/>
        </w:rPr>
        <w:t xml:space="preserve">____________________________________________________</w:t>
      </w:r>
      <w:r>
        <w:rPr>
          <w:rFonts w:ascii="Arial Narrow" w:hAnsi="Arial Narrow" w:cs="Arial Narrow"/>
          <w:sz w:val="19"/>
          <w:szCs w:val="19"/>
        </w:rPr>
        <w:t xml:space="preserve">(приложение №1). </w:t>
      </w:r>
      <w:r/>
    </w:p>
    <w:p>
      <w:pPr>
        <w:pStyle w:val="858"/>
        <w:jc w:val="both"/>
      </w:pPr>
      <w:r>
        <w:rPr>
          <w:rFonts w:ascii="Arial Narrow" w:hAnsi="Arial Narrow" w:cs="Arial Narrow"/>
          <w:sz w:val="19"/>
          <w:szCs w:val="19"/>
        </w:rPr>
        <w:t xml:space="preserve">8.2.. Инструкция по пользованию кнопкой тревожной сигнализации (приложение № 2).</w:t>
      </w:r>
      <w:r/>
    </w:p>
    <w:p>
      <w:pPr>
        <w:pStyle w:val="858"/>
        <w:jc w:val="both"/>
        <w:rPr>
          <w:rFonts w:ascii="Arial Narrow" w:hAnsi="Arial Narrow" w:cs="Arial Narrow"/>
          <w:sz w:val="16"/>
          <w:szCs w:val="16"/>
        </w:rPr>
      </w:pPr>
      <w:r>
        <w:rPr>
          <w:rFonts w:ascii="Arial Narrow" w:hAnsi="Arial Narrow" w:cs="Arial Narrow"/>
          <w:sz w:val="16"/>
          <w:szCs w:val="16"/>
        </w:rPr>
      </w:r>
      <w:r>
        <w:rPr>
          <w:rFonts w:ascii="Arial Narrow" w:hAnsi="Arial Narrow" w:cs="Arial Narrow"/>
          <w:sz w:val="16"/>
          <w:szCs w:val="16"/>
        </w:rPr>
      </w:r>
      <w:r>
        <w:rPr>
          <w:rFonts w:ascii="Arial Narrow" w:hAnsi="Arial Narrow" w:cs="Arial Narrow"/>
          <w:sz w:val="16"/>
          <w:szCs w:val="16"/>
        </w:rPr>
      </w:r>
    </w:p>
    <w:p>
      <w:pPr>
        <w:pStyle w:val="902"/>
        <w:numPr>
          <w:ilvl w:val="0"/>
          <w:numId w:val="3"/>
        </w:numPr>
      </w:pPr>
      <w:r>
        <w:rPr>
          <w:rFonts w:ascii="Arial" w:hAnsi="Arial" w:cs="Arial"/>
          <w:sz w:val="19"/>
          <w:szCs w:val="19"/>
        </w:rPr>
        <w:t xml:space="preserve">ЮРИДИЧЕСКИЕ АДРЕСА СТОРОН И ПЛАТЕЖНЫЕ РЕКВИЗИТЫ</w:t>
      </w:r>
      <w:r/>
    </w:p>
    <w:p>
      <w:pPr>
        <w:pStyle w:val="85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</w:r>
      <w:r>
        <w:rPr>
          <w:rFonts w:ascii="Arial" w:hAnsi="Arial" w:cs="Arial"/>
          <w:sz w:val="16"/>
          <w:szCs w:val="16"/>
        </w:rPr>
      </w:r>
      <w:r>
        <w:rPr>
          <w:rFonts w:ascii="Arial" w:hAnsi="Arial" w:cs="Arial"/>
          <w:sz w:val="16"/>
          <w:szCs w:val="16"/>
        </w:rPr>
      </w:r>
    </w:p>
    <w:tbl>
      <w:tblPr>
        <w:tblW w:w="0" w:type="auto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103"/>
        <w:gridCol w:w="236"/>
        <w:gridCol w:w="5216"/>
      </w:tblGrid>
      <w:tr>
        <w:tblPrEx/>
        <w:trPr>
          <w:trHeight w:val="2327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03" w:type="dxa"/>
            <w:vAlign w:val="top"/>
            <w:textDirection w:val="lrTb"/>
            <w:noWrap w:val="false"/>
          </w:tcPr>
          <w:p>
            <w:pPr>
              <w:pStyle w:val="902"/>
              <w:ind w:left="720" w:hanging="720"/>
            </w:pPr>
            <w:r>
              <w:rPr>
                <w:rFonts w:ascii="Arial Narrow" w:hAnsi="Arial Narrow" w:cs="Arial Narrow"/>
                <w:sz w:val="20"/>
              </w:rPr>
              <w:t xml:space="preserve">«Исполнитель»</w:t>
            </w:r>
            <w:r/>
          </w:p>
          <w:p>
            <w:pPr>
              <w:pStyle w:val="902"/>
              <w:ind w:left="720" w:hanging="720"/>
              <w:rPr>
                <w:rFonts w:ascii="Arial Narrow" w:hAnsi="Arial Narrow" w:cs="Arial Narrow"/>
                <w:sz w:val="20"/>
              </w:rPr>
            </w:pPr>
            <w:r>
              <w:rPr>
                <w:rFonts w:ascii="Arial Narrow" w:hAnsi="Arial Narrow" w:cs="Arial Narrow"/>
                <w:sz w:val="20"/>
              </w:rPr>
            </w:r>
            <w:r>
              <w:rPr>
                <w:rFonts w:ascii="Arial Narrow" w:hAnsi="Arial Narrow" w:cs="Arial Narrow"/>
                <w:sz w:val="20"/>
              </w:rPr>
            </w:r>
            <w:r>
              <w:rPr>
                <w:rFonts w:ascii="Arial Narrow" w:hAnsi="Arial Narrow" w:cs="Arial Narrow"/>
                <w:sz w:val="20"/>
              </w:rPr>
            </w:r>
          </w:p>
          <w:p>
            <w:pPr>
              <w:pStyle w:val="902"/>
              <w:jc w:val="left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71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Arial" w:hAnsi="Arial" w:cs="Arial"/>
                <w:b w:val="0"/>
                <w:sz w:val="20"/>
                <w:szCs w:val="10"/>
              </w:rPr>
            </w:pPr>
            <w:r>
              <w:rPr>
                <w:rFonts w:ascii="Arial" w:hAnsi="Arial" w:cs="Arial"/>
                <w:b w:val="0"/>
                <w:sz w:val="20"/>
                <w:szCs w:val="10"/>
              </w:rPr>
            </w:r>
            <w:r>
              <w:rPr>
                <w:rFonts w:ascii="Arial" w:hAnsi="Arial" w:cs="Arial"/>
                <w:b w:val="0"/>
                <w:sz w:val="20"/>
                <w:szCs w:val="10"/>
              </w:rPr>
            </w:r>
            <w:r>
              <w:rPr>
                <w:rFonts w:ascii="Arial" w:hAnsi="Arial" w:cs="Arial"/>
                <w:b w:val="0"/>
                <w:sz w:val="20"/>
                <w:szCs w:val="1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16" w:type="dxa"/>
            <w:vAlign w:val="top"/>
            <w:textDirection w:val="lrTb"/>
            <w:noWrap w:val="false"/>
          </w:tcPr>
          <w:p>
            <w:pPr>
              <w:pStyle w:val="902"/>
            </w:pPr>
            <w:r>
              <w:rPr>
                <w:rFonts w:ascii="Arial Narrow" w:hAnsi="Arial Narrow" w:cs="Arial Narrow"/>
                <w:sz w:val="20"/>
              </w:rPr>
              <w:t xml:space="preserve">«Заказчик»</w:t>
            </w:r>
            <w:r/>
          </w:p>
          <w:p>
            <w:pPr>
              <w:pStyle w:val="902"/>
              <w:jc w:val="both"/>
              <w:rPr>
                <w:rFonts w:ascii="Arial Narrow" w:hAnsi="Arial Narrow" w:cs="Arial Narrow"/>
                <w:sz w:val="20"/>
              </w:rPr>
            </w:pPr>
            <w:r>
              <w:rPr>
                <w:rFonts w:ascii="Arial Narrow" w:hAnsi="Arial Narrow" w:cs="Arial Narrow"/>
                <w:sz w:val="20"/>
              </w:rPr>
            </w:r>
            <w:r>
              <w:rPr>
                <w:rFonts w:ascii="Arial Narrow" w:hAnsi="Arial Narrow" w:cs="Arial Narrow"/>
                <w:sz w:val="20"/>
              </w:rPr>
            </w:r>
            <w:r>
              <w:rPr>
                <w:rFonts w:ascii="Arial Narrow" w:hAnsi="Arial Narrow" w:cs="Arial Narrow"/>
                <w:sz w:val="20"/>
              </w:rPr>
            </w:r>
          </w:p>
          <w:p>
            <w:pPr>
              <w:pStyle w:val="902"/>
              <w:ind w:right="34"/>
              <w:jc w:val="left"/>
            </w:pPr>
            <w:r>
              <w:rPr>
                <w:rFonts w:ascii="Arial Narrow" w:hAnsi="Arial Narrow" w:cs="Arial Narrow"/>
                <w:b w:val="0"/>
                <w:bCs/>
                <w:iCs/>
                <w:sz w:val="20"/>
              </w:rPr>
              <w:t xml:space="preserve">Управление Федеральной службы государственной регистрации, кадастра и картографии по Еврейской автономной области</w:t>
            </w:r>
            <w:r/>
          </w:p>
          <w:p>
            <w:pPr>
              <w:pStyle w:val="902"/>
              <w:ind w:right="34"/>
              <w:jc w:val="left"/>
            </w:pPr>
            <w:r>
              <w:rPr>
                <w:rFonts w:ascii="Arial Narrow" w:hAnsi="Arial Narrow" w:cs="Arial Narrow"/>
                <w:b w:val="0"/>
                <w:bCs/>
                <w:iCs/>
                <w:sz w:val="20"/>
              </w:rPr>
              <w:t xml:space="preserve">Юридический адрес: 679016, Россия, ЕАО, г. Биробиджан, проспект 60-летия СССР, д. 26</w:t>
            </w:r>
            <w:r/>
          </w:p>
          <w:p>
            <w:pPr>
              <w:pStyle w:val="902"/>
              <w:ind w:right="34"/>
              <w:jc w:val="left"/>
            </w:pPr>
            <w:r>
              <w:rPr>
                <w:rFonts w:ascii="Arial Narrow" w:hAnsi="Arial Narrow" w:cs="Arial Narrow"/>
                <w:b w:val="0"/>
                <w:bCs/>
                <w:iCs/>
                <w:sz w:val="20"/>
              </w:rPr>
              <w:t xml:space="preserve">Почтовый адрес: 679016, Россия, ЕАО, г. Биробиджан, проспект 60-летия СССР, д. 26</w:t>
            </w:r>
            <w:r/>
          </w:p>
          <w:p>
            <w:pPr>
              <w:pStyle w:val="902"/>
              <w:ind w:right="34"/>
              <w:jc w:val="left"/>
            </w:pPr>
            <w:r>
              <w:rPr>
                <w:rFonts w:ascii="Arial Narrow" w:hAnsi="Arial Narrow" w:cs="Arial Narrow"/>
                <w:b w:val="0"/>
                <w:bCs/>
                <w:iCs/>
                <w:sz w:val="20"/>
              </w:rPr>
              <w:t xml:space="preserve">тел.: 8 (42622) 2-17-72, 2-17-73</w:t>
            </w:r>
            <w:r/>
          </w:p>
          <w:p>
            <w:pPr>
              <w:pStyle w:val="902"/>
              <w:ind w:right="34"/>
              <w:jc w:val="left"/>
            </w:pPr>
            <w:r>
              <w:rPr>
                <w:rFonts w:ascii="Arial Narrow" w:hAnsi="Arial Narrow" w:cs="Arial Narrow"/>
                <w:b w:val="0"/>
                <w:bCs/>
                <w:iCs/>
                <w:sz w:val="20"/>
                <w:u w:val="single"/>
              </w:rPr>
              <w:t xml:space="preserve">79_upr@rosreestr.ru</w:t>
            </w:r>
            <w:r/>
          </w:p>
          <w:p>
            <w:pPr>
              <w:pStyle w:val="902"/>
              <w:ind w:right="34"/>
              <w:jc w:val="left"/>
            </w:pPr>
            <w:r>
              <w:rPr>
                <w:rFonts w:ascii="Arial Narrow" w:hAnsi="Arial Narrow" w:cs="Arial Narrow"/>
                <w:b w:val="0"/>
                <w:bCs/>
                <w:iCs/>
                <w:sz w:val="20"/>
              </w:rPr>
              <w:t xml:space="preserve">ИНН 7900001874 / КПП 790101001</w:t>
            </w:r>
            <w:r/>
          </w:p>
          <w:p>
            <w:pPr>
              <w:pStyle w:val="902"/>
              <w:ind w:right="34"/>
              <w:jc w:val="left"/>
              <w:rPr>
                <w:rFonts w:ascii="Arial Narrow" w:hAnsi="Arial Narrow" w:cs="Arial Narrow"/>
                <w:b w:val="0"/>
                <w:bCs w:val="0"/>
                <w:sz w:val="20"/>
                <w:szCs w:val="20"/>
              </w:rPr>
            </w:pPr>
            <w:r>
              <w:rPr>
                <w:rFonts w:ascii="Arial Narrow" w:hAnsi="Arial Narrow" w:cs="Arial Narrow"/>
                <w:b w:val="0"/>
                <w:bCs/>
                <w:iCs/>
                <w:sz w:val="20"/>
              </w:rPr>
              <w:t xml:space="preserve">Р/с 03211643000000012001 </w:t>
            </w:r>
            <w:r>
              <w:rPr>
                <w:rFonts w:ascii="Arial Narrow" w:hAnsi="Arial Narrow" w:cs="Arial Narrow"/>
                <w:b w:val="0"/>
                <w:bCs w:val="0"/>
                <w:sz w:val="20"/>
                <w:szCs w:val="20"/>
              </w:rPr>
            </w:r>
          </w:p>
          <w:p>
            <w:pPr>
              <w:pStyle w:val="902"/>
              <w:ind w:right="34"/>
              <w:jc w:val="left"/>
            </w:pPr>
            <w:r>
              <w:rPr>
                <w:rFonts w:ascii="Arial Narrow" w:hAnsi="Arial Narrow" w:cs="Arial Narrow"/>
                <w:b w:val="0"/>
                <w:bCs/>
                <w:iCs/>
                <w:sz w:val="20"/>
              </w:rPr>
              <w:t xml:space="preserve">ОКЦ № 1 ДГУ БАНКА РОССИИ // УФК по Приморскому краю, г. Владивосток</w:t>
            </w:r>
            <w:r/>
          </w:p>
          <w:p>
            <w:pPr>
              <w:pStyle w:val="902"/>
              <w:jc w:val="left"/>
              <w:rPr>
                <w:rFonts w:ascii="Arial Narrow" w:hAnsi="Arial Narrow" w:cs="Arial Narrow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ascii="Arial Narrow" w:hAnsi="Arial Narrow" w:cs="Arial Narrow"/>
                <w:b w:val="0"/>
                <w:bCs/>
                <w:iCs/>
                <w:sz w:val="20"/>
              </w:rPr>
              <w:t xml:space="preserve">БИК 010507002</w:t>
            </w:r>
            <w:r>
              <w:rPr>
                <w:rFonts w:ascii="Arial Narrow" w:hAnsi="Arial Narrow" w:cs="Arial Narrow"/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rFonts w:ascii="Arial Narrow" w:hAnsi="Arial Narrow" w:cs="Arial Narrow"/>
                <w:b w:val="0"/>
                <w:bCs w:val="0"/>
                <w:sz w:val="20"/>
                <w:szCs w:val="20"/>
                <w:highlight w:val="none"/>
              </w:rPr>
            </w:r>
          </w:p>
          <w:p>
            <w:pPr>
              <w:pStyle w:val="902"/>
              <w:ind w:right="34"/>
              <w:jc w:val="left"/>
            </w:pPr>
            <w:r>
              <w:rPr>
                <w:rFonts w:ascii="Arial Narrow" w:hAnsi="Arial Narrow" w:cs="Arial Narrow"/>
                <w:b w:val="0"/>
                <w:bCs/>
                <w:iCs/>
                <w:sz w:val="20"/>
              </w:rPr>
              <w:t xml:space="preserve">ЕК/С 40102810545370000012</w:t>
            </w:r>
            <w:r/>
          </w:p>
          <w:p>
            <w:pPr>
              <w:pStyle w:val="902"/>
              <w:ind w:right="34"/>
              <w:jc w:val="left"/>
            </w:pPr>
            <w:r>
              <w:rPr>
                <w:rFonts w:ascii="Arial Narrow" w:hAnsi="Arial Narrow" w:cs="Arial Narrow"/>
                <w:b w:val="0"/>
                <w:bCs/>
                <w:iCs/>
                <w:sz w:val="20"/>
              </w:rPr>
            </w:r>
            <w:r/>
          </w:p>
        </w:tc>
      </w:tr>
      <w:tr>
        <w:tblPrEx/>
        <w:trPr>
          <w:trHeight w:val="148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03" w:type="dxa"/>
            <w:vAlign w:val="top"/>
            <w:textDirection w:val="lrTb"/>
            <w:noWrap w:val="false"/>
          </w:tcPr>
          <w:p>
            <w:pPr>
              <w:pStyle w:val="859"/>
              <w:jc w:val="center"/>
              <w:tabs>
                <w:tab w:val="left" w:pos="6237" w:leader="none"/>
                <w:tab w:val="left" w:pos="6521" w:leader="none"/>
              </w:tabs>
              <w:rPr>
                <w:rFonts w:ascii="Arial Narrow" w:hAnsi="Arial Narrow" w:cs="Arial Narrow"/>
                <w:b w:val="0"/>
                <w:bCs/>
                <w:i/>
                <w:iCs/>
                <w:sz w:val="20"/>
              </w:rPr>
            </w:pPr>
            <w:r>
              <w:rPr>
                <w:rFonts w:ascii="Arial Narrow" w:hAnsi="Arial Narrow" w:cs="Arial Narrow"/>
                <w:b w:val="0"/>
                <w:bCs/>
                <w:i/>
                <w:iCs/>
                <w:sz w:val="20"/>
              </w:rPr>
            </w:r>
            <w:r>
              <w:rPr>
                <w:rFonts w:ascii="Arial Narrow" w:hAnsi="Arial Narrow" w:cs="Arial Narrow"/>
                <w:b w:val="0"/>
                <w:bCs/>
                <w:i/>
                <w:iCs/>
                <w:sz w:val="20"/>
              </w:rPr>
            </w:r>
            <w:r>
              <w:rPr>
                <w:rFonts w:ascii="Arial Narrow" w:hAnsi="Arial Narrow" w:cs="Arial Narrow"/>
                <w:b w:val="0"/>
                <w:bCs/>
                <w:i/>
                <w:iCs/>
                <w:sz w:val="20"/>
              </w:rPr>
            </w:r>
          </w:p>
          <w:p>
            <w:pPr>
              <w:pStyle w:val="858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</w:r>
            <w:r>
              <w:rPr>
                <w:rFonts w:ascii="Arial Narrow" w:hAnsi="Arial Narrow" w:cs="Arial Narrow"/>
                <w:b/>
                <w:bCs/>
              </w:rPr>
            </w:r>
            <w:r>
              <w:rPr>
                <w:rFonts w:ascii="Arial Narrow" w:hAnsi="Arial Narrow" w:cs="Arial Narrow"/>
                <w:b/>
                <w:bCs/>
              </w:rPr>
            </w:r>
          </w:p>
          <w:p>
            <w:pPr>
              <w:pStyle w:val="858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</w:r>
            <w:r>
              <w:rPr>
                <w:rFonts w:ascii="Arial Narrow" w:hAnsi="Arial Narrow" w:cs="Arial Narrow"/>
                <w:b/>
                <w:bCs/>
              </w:rPr>
            </w:r>
            <w:r>
              <w:rPr>
                <w:rFonts w:ascii="Arial Narrow" w:hAnsi="Arial Narrow" w:cs="Arial Narrow"/>
                <w:b/>
                <w:bCs/>
              </w:rPr>
            </w:r>
          </w:p>
          <w:p>
            <w:pPr>
              <w:pStyle w:val="858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</w:r>
            <w:r>
              <w:rPr>
                <w:rFonts w:ascii="Arial Narrow" w:hAnsi="Arial Narrow" w:cs="Arial Narrow"/>
                <w:b/>
                <w:bCs/>
              </w:rPr>
            </w:r>
            <w:r>
              <w:rPr>
                <w:rFonts w:ascii="Arial Narrow" w:hAnsi="Arial Narrow" w:cs="Arial Narrow"/>
                <w:b/>
                <w:bCs/>
              </w:rPr>
            </w:r>
          </w:p>
          <w:p>
            <w:pPr>
              <w:pStyle w:val="858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</w:r>
            <w:r>
              <w:rPr>
                <w:rFonts w:ascii="Arial Narrow" w:hAnsi="Arial Narrow" w:cs="Arial Narrow"/>
                <w:b/>
                <w:bCs/>
              </w:rPr>
            </w:r>
            <w:r>
              <w:rPr>
                <w:rFonts w:ascii="Arial Narrow" w:hAnsi="Arial Narrow" w:cs="Arial Narrow"/>
                <w:b/>
                <w:bCs/>
              </w:rPr>
            </w:r>
          </w:p>
          <w:p>
            <w:pPr>
              <w:pStyle w:val="911"/>
              <w:jc w:val="center"/>
              <w:tabs>
                <w:tab w:val="clear" w:pos="4153" w:leader="none"/>
                <w:tab w:val="clear" w:pos="8306" w:leader="none"/>
              </w:tabs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___________________ </w:t>
            </w:r>
            <w:r>
              <w:rPr>
                <w:rFonts w:ascii="Arial Narrow" w:hAnsi="Arial Narrow" w:cs="Arial Narrow"/>
              </w:rPr>
            </w:r>
            <w:r>
              <w:rPr>
                <w:rFonts w:ascii="Arial Narrow" w:hAnsi="Arial Narrow" w:cs="Arial Narrow"/>
              </w:rPr>
            </w:r>
          </w:p>
          <w:p>
            <w:pPr>
              <w:pStyle w:val="911"/>
              <w:jc w:val="center"/>
              <w:tabs>
                <w:tab w:val="clear" w:pos="4153" w:leader="none"/>
                <w:tab w:val="clear" w:pos="8306" w:leader="none"/>
              </w:tabs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</w:r>
            <w:r>
              <w:rPr>
                <w:rFonts w:ascii="Arial Narrow" w:hAnsi="Arial Narrow" w:cs="Arial Narrow"/>
              </w:rPr>
            </w:r>
            <w:r>
              <w:rPr>
                <w:rFonts w:ascii="Arial Narrow" w:hAnsi="Arial Narrow" w:cs="Arial Narrow"/>
              </w:rPr>
            </w:r>
          </w:p>
          <w:p>
            <w:pPr>
              <w:pStyle w:val="911"/>
              <w:jc w:val="center"/>
              <w:tabs>
                <w:tab w:val="clear" w:pos="4153" w:leader="none"/>
                <w:tab w:val="clear" w:pos="8306" w:leader="none"/>
              </w:tabs>
            </w:pPr>
            <w:r/>
            <w:r/>
          </w:p>
          <w:p>
            <w:pPr>
              <w:pStyle w:val="911"/>
              <w:jc w:val="center"/>
              <w:tabs>
                <w:tab w:val="left" w:pos="1593" w:leader="none"/>
                <w:tab w:val="clear" w:pos="4153" w:leader="none"/>
                <w:tab w:val="clear" w:pos="8306" w:leader="none"/>
              </w:tabs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м.п.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71" w:type="dxa"/>
            <w:vAlign w:val="top"/>
            <w:textDirection w:val="lrTb"/>
            <w:noWrap w:val="false"/>
          </w:tcPr>
          <w:p>
            <w:pPr>
              <w:pStyle w:val="906"/>
              <w:ind w:firstLine="0"/>
              <w:jc w:val="center"/>
              <w:tabs>
                <w:tab w:val="left" w:pos="1560" w:leader="none"/>
                <w:tab w:val="left" w:pos="5954" w:leader="none"/>
              </w:tabs>
              <w:rPr>
                <w:rFonts w:ascii="Arial Narrow" w:hAnsi="Arial Narrow" w:cs="Arial Narrow"/>
                <w:sz w:val="20"/>
                <w:szCs w:val="16"/>
              </w:rPr>
            </w:pPr>
            <w:r>
              <w:rPr>
                <w:rFonts w:ascii="Arial Narrow" w:hAnsi="Arial Narrow" w:cs="Arial Narrow"/>
                <w:sz w:val="20"/>
                <w:szCs w:val="16"/>
              </w:rPr>
            </w:r>
            <w:r>
              <w:rPr>
                <w:rFonts w:ascii="Arial Narrow" w:hAnsi="Arial Narrow" w:cs="Arial Narrow"/>
                <w:sz w:val="20"/>
                <w:szCs w:val="16"/>
              </w:rPr>
            </w:r>
            <w:r>
              <w:rPr>
                <w:rFonts w:ascii="Arial Narrow" w:hAnsi="Arial Narrow" w:cs="Arial Narrow"/>
                <w:sz w:val="20"/>
                <w:szCs w:val="16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16" w:type="dxa"/>
            <w:vAlign w:val="top"/>
            <w:textDirection w:val="lrTb"/>
            <w:noWrap w:val="false"/>
          </w:tcPr>
          <w:p>
            <w:pPr>
              <w:pStyle w:val="906"/>
              <w:ind w:firstLine="0"/>
              <w:jc w:val="center"/>
              <w:tabs>
                <w:tab w:val="left" w:pos="1560" w:leader="none"/>
                <w:tab w:val="left" w:pos="5954" w:leader="none"/>
              </w:tabs>
              <w:rPr>
                <w:rFonts w:ascii="Arial Narrow" w:hAnsi="Arial Narrow" w:cs="Arial Narrow"/>
                <w:sz w:val="20"/>
              </w:rPr>
            </w:pPr>
            <w:r>
              <w:rPr>
                <w:rFonts w:ascii="Arial Narrow" w:hAnsi="Arial Narrow" w:cs="Arial Narrow"/>
                <w:sz w:val="20"/>
              </w:rPr>
            </w:r>
            <w:r>
              <w:rPr>
                <w:rFonts w:ascii="Arial Narrow" w:hAnsi="Arial Narrow" w:cs="Arial Narrow"/>
                <w:sz w:val="20"/>
              </w:rPr>
            </w:r>
            <w:r>
              <w:rPr>
                <w:rFonts w:ascii="Arial Narrow" w:hAnsi="Arial Narrow" w:cs="Arial Narrow"/>
                <w:sz w:val="20"/>
              </w:rPr>
            </w:r>
          </w:p>
          <w:p>
            <w:pPr>
              <w:pStyle w:val="915"/>
              <w:jc w:val="center"/>
            </w:pPr>
            <w:r>
              <w:rPr>
                <w:rFonts w:ascii="Arial Narrow" w:hAnsi="Arial Narrow" w:cs="Arial Narrow"/>
              </w:rPr>
              <w:t xml:space="preserve">Руководитель </w:t>
            </w:r>
            <w:r/>
          </w:p>
          <w:p>
            <w:pPr>
              <w:pStyle w:val="915"/>
              <w:jc w:val="center"/>
            </w:pPr>
            <w:r>
              <w:rPr>
                <w:rFonts w:ascii="Arial Narrow" w:hAnsi="Arial Narrow" w:cs="Arial Narrow"/>
              </w:rPr>
              <w:t xml:space="preserve"> </w:t>
            </w:r>
            <w:r/>
          </w:p>
          <w:p>
            <w:pPr>
              <w:pStyle w:val="915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</w:r>
            <w:r>
              <w:rPr>
                <w:rFonts w:ascii="Arial Narrow" w:hAnsi="Arial Narrow" w:cs="Arial Narrow"/>
              </w:rPr>
            </w:r>
            <w:r>
              <w:rPr>
                <w:rFonts w:ascii="Arial Narrow" w:hAnsi="Arial Narrow" w:cs="Arial Narrow"/>
              </w:rPr>
            </w:r>
          </w:p>
          <w:p>
            <w:pPr>
              <w:pStyle w:val="915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</w:r>
            <w:r>
              <w:rPr>
                <w:rFonts w:ascii="Arial Narrow" w:hAnsi="Arial Narrow" w:cs="Arial Narrow"/>
              </w:rPr>
            </w:r>
            <w:r>
              <w:rPr>
                <w:rFonts w:ascii="Arial Narrow" w:hAnsi="Arial Narrow" w:cs="Arial Narrow"/>
              </w:rPr>
            </w:r>
          </w:p>
          <w:p>
            <w:pPr>
              <w:pStyle w:val="915"/>
              <w:jc w:val="center"/>
            </w:pPr>
            <w:r>
              <w:rPr>
                <w:rFonts w:ascii="Arial Narrow" w:hAnsi="Arial Narrow" w:cs="Arial Narrow"/>
              </w:rPr>
              <w:t xml:space="preserve">_________________ С.Е. Зуева</w:t>
            </w:r>
            <w:r/>
          </w:p>
          <w:p>
            <w:pPr>
              <w:pStyle w:val="911"/>
              <w:jc w:val="center"/>
              <w:tabs>
                <w:tab w:val="clear" w:pos="4153" w:leader="none"/>
                <w:tab w:val="clear" w:pos="8306" w:leader="none"/>
              </w:tabs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м.п.</w:t>
            </w:r>
            <w:r/>
          </w:p>
        </w:tc>
      </w:tr>
    </w:tbl>
    <w:p>
      <w:r/>
    </w:p>
    <w:sectPr>
      <w:footerReference w:type="default" r:id="rId9"/>
      <w:footerReference w:type="first" r:id="rId10"/>
      <w:footnotePr/>
      <w:endnotePr/>
      <w:type w:val="nextPage"/>
      <w:pgSz w:w="11906" w:h="16838" w:orient="portrait"/>
      <w:pgMar w:top="794" w:right="567" w:bottom="1302" w:left="851" w:header="720" w:footer="622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Devanagari">
    <w:panose1 w:val="020B0502040504020204"/>
  </w:font>
  <w:font w:name="PT Sans">
    <w:panose1 w:val="020B0503020203020204"/>
  </w:font>
  <w:font w:name="Arial Narrow">
    <w:panose1 w:val="020B0606020202030204"/>
  </w:font>
  <w:font w:name="Symbol">
    <w:panose1 w:val="05010000000000000000"/>
  </w:font>
  <w:font w:name="Book Antiqua">
    <w:panose1 w:val="0204050305040603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1"/>
      <w:ind w:right="360" w:firstLine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59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860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pStyle w:val="861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pStyle w:val="862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b/>
      </w:rPr>
    </w:lvl>
    <w:lvl w:ilvl="1">
      <w:start w:val="1"/>
      <w:numFmt w:val="bullet"/>
      <w:isLgl w:val="false"/>
      <w:suff w:val="tab"/>
      <w:lvlText w:val=""/>
      <w:lvlJc w:val="left"/>
      <w:pPr>
        <w:ind w:left="709" w:firstLine="709"/>
        <w:tabs>
          <w:tab w:val="num" w:pos="-539" w:leader="none"/>
        </w:tabs>
      </w:pPr>
      <w:rPr>
        <w:rFonts w:ascii="Symbol" w:hAnsi="Symbol" w:cs="Symbol"/>
        <w:b/>
        <w:sz w:val="19"/>
        <w:szCs w:val="19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108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60" w:hanging="1440"/>
        <w:tabs>
          <w:tab w:val="num" w:pos="216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60" w:hanging="1440"/>
        <w:tabs>
          <w:tab w:val="num" w:pos="21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20" w:hanging="1800"/>
        <w:tabs>
          <w:tab w:val="num" w:pos="25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80" w:hanging="2160"/>
        <w:tabs>
          <w:tab w:val="num" w:pos="288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ascii="Arial" w:hAnsi="Arial" w:cs="Arial"/>
        <w:b/>
        <w:sz w:val="19"/>
        <w:szCs w:val="19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  <w:rPr>
        <w:rFonts w:ascii="Arial Narrow" w:hAnsi="Arial Narrow" w:cs="Arial Narrow"/>
        <w:b w:val="0"/>
        <w:bCs/>
        <w:iCs/>
        <w:sz w:val="19"/>
        <w:szCs w:val="19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108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60" w:hanging="1440"/>
        <w:tabs>
          <w:tab w:val="num" w:pos="216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60" w:hanging="1440"/>
        <w:tabs>
          <w:tab w:val="num" w:pos="21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20" w:hanging="1800"/>
        <w:tabs>
          <w:tab w:val="num" w:pos="25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80" w:hanging="2160"/>
        <w:tabs>
          <w:tab w:val="num" w:pos="288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 w:val="true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>
    <w:name w:val="Heading 1"/>
    <w:basedOn w:val="858"/>
    <w:next w:val="858"/>
    <w:link w:val="6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1">
    <w:name w:val="Heading 1 Char"/>
    <w:link w:val="680"/>
    <w:uiPriority w:val="9"/>
    <w:rPr>
      <w:rFonts w:ascii="Arial" w:hAnsi="Arial" w:eastAsia="Arial" w:cs="Arial"/>
      <w:sz w:val="40"/>
      <w:szCs w:val="40"/>
    </w:rPr>
  </w:style>
  <w:style w:type="paragraph" w:styleId="682">
    <w:name w:val="Heading 2"/>
    <w:basedOn w:val="858"/>
    <w:next w:val="858"/>
    <w:link w:val="68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3">
    <w:name w:val="Heading 2 Char"/>
    <w:link w:val="682"/>
    <w:uiPriority w:val="9"/>
    <w:rPr>
      <w:rFonts w:ascii="Arial" w:hAnsi="Arial" w:eastAsia="Arial" w:cs="Arial"/>
      <w:sz w:val="34"/>
    </w:rPr>
  </w:style>
  <w:style w:type="paragraph" w:styleId="684">
    <w:name w:val="Heading 3"/>
    <w:basedOn w:val="858"/>
    <w:next w:val="858"/>
    <w:link w:val="68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5">
    <w:name w:val="Heading 3 Char"/>
    <w:link w:val="684"/>
    <w:uiPriority w:val="9"/>
    <w:rPr>
      <w:rFonts w:ascii="Arial" w:hAnsi="Arial" w:eastAsia="Arial" w:cs="Arial"/>
      <w:sz w:val="30"/>
      <w:szCs w:val="30"/>
    </w:rPr>
  </w:style>
  <w:style w:type="paragraph" w:styleId="686">
    <w:name w:val="Heading 4"/>
    <w:basedOn w:val="858"/>
    <w:next w:val="858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7">
    <w:name w:val="Heading 4 Char"/>
    <w:link w:val="686"/>
    <w:uiPriority w:val="9"/>
    <w:rPr>
      <w:rFonts w:ascii="Arial" w:hAnsi="Arial" w:eastAsia="Arial" w:cs="Arial"/>
      <w:b/>
      <w:bCs/>
      <w:sz w:val="26"/>
      <w:szCs w:val="26"/>
    </w:rPr>
  </w:style>
  <w:style w:type="paragraph" w:styleId="688">
    <w:name w:val="Heading 5"/>
    <w:basedOn w:val="858"/>
    <w:next w:val="858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9">
    <w:name w:val="Heading 5 Char"/>
    <w:link w:val="688"/>
    <w:uiPriority w:val="9"/>
    <w:rPr>
      <w:rFonts w:ascii="Arial" w:hAnsi="Arial" w:eastAsia="Arial" w:cs="Arial"/>
      <w:b/>
      <w:bCs/>
      <w:sz w:val="24"/>
      <w:szCs w:val="24"/>
    </w:rPr>
  </w:style>
  <w:style w:type="paragraph" w:styleId="690">
    <w:name w:val="Heading 6"/>
    <w:basedOn w:val="858"/>
    <w:next w:val="858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1">
    <w:name w:val="Heading 6 Char"/>
    <w:link w:val="690"/>
    <w:uiPriority w:val="9"/>
    <w:rPr>
      <w:rFonts w:ascii="Arial" w:hAnsi="Arial" w:eastAsia="Arial" w:cs="Arial"/>
      <w:b/>
      <w:bCs/>
      <w:sz w:val="22"/>
      <w:szCs w:val="22"/>
    </w:rPr>
  </w:style>
  <w:style w:type="paragraph" w:styleId="692">
    <w:name w:val="Heading 7"/>
    <w:basedOn w:val="858"/>
    <w:next w:val="858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3">
    <w:name w:val="Heading 7 Char"/>
    <w:link w:val="6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858"/>
    <w:next w:val="858"/>
    <w:link w:val="69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5">
    <w:name w:val="Heading 8 Char"/>
    <w:link w:val="694"/>
    <w:uiPriority w:val="9"/>
    <w:rPr>
      <w:rFonts w:ascii="Arial" w:hAnsi="Arial" w:eastAsia="Arial" w:cs="Arial"/>
      <w:i/>
      <w:iCs/>
      <w:sz w:val="22"/>
      <w:szCs w:val="22"/>
    </w:rPr>
  </w:style>
  <w:style w:type="paragraph" w:styleId="696">
    <w:name w:val="Heading 9"/>
    <w:basedOn w:val="858"/>
    <w:next w:val="858"/>
    <w:link w:val="6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7">
    <w:name w:val="Heading 9 Char"/>
    <w:link w:val="696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List Paragraph"/>
    <w:basedOn w:val="858"/>
    <w:uiPriority w:val="34"/>
    <w:qFormat/>
    <w:pPr>
      <w:contextualSpacing/>
      <w:ind w:left="720"/>
    </w:pPr>
  </w:style>
  <w:style w:type="paragraph" w:styleId="699">
    <w:name w:val="No Spacing"/>
    <w:uiPriority w:val="1"/>
    <w:qFormat/>
    <w:pPr>
      <w:spacing w:before="0" w:after="0" w:line="240" w:lineRule="auto"/>
    </w:pPr>
  </w:style>
  <w:style w:type="paragraph" w:styleId="700">
    <w:name w:val="Title"/>
    <w:basedOn w:val="858"/>
    <w:next w:val="858"/>
    <w:link w:val="7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1">
    <w:name w:val="Title Char"/>
    <w:link w:val="700"/>
    <w:uiPriority w:val="10"/>
    <w:rPr>
      <w:sz w:val="48"/>
      <w:szCs w:val="48"/>
    </w:rPr>
  </w:style>
  <w:style w:type="paragraph" w:styleId="702">
    <w:name w:val="Subtitle"/>
    <w:basedOn w:val="858"/>
    <w:next w:val="858"/>
    <w:link w:val="703"/>
    <w:uiPriority w:val="11"/>
    <w:qFormat/>
    <w:pPr>
      <w:spacing w:before="200" w:after="200"/>
    </w:pPr>
    <w:rPr>
      <w:sz w:val="24"/>
      <w:szCs w:val="24"/>
    </w:rPr>
  </w:style>
  <w:style w:type="character" w:styleId="703">
    <w:name w:val="Subtitle Char"/>
    <w:link w:val="702"/>
    <w:uiPriority w:val="11"/>
    <w:rPr>
      <w:sz w:val="24"/>
      <w:szCs w:val="24"/>
    </w:rPr>
  </w:style>
  <w:style w:type="paragraph" w:styleId="704">
    <w:name w:val="Quote"/>
    <w:basedOn w:val="858"/>
    <w:next w:val="858"/>
    <w:link w:val="705"/>
    <w:uiPriority w:val="29"/>
    <w:qFormat/>
    <w:pPr>
      <w:ind w:left="720" w:right="720"/>
    </w:pPr>
    <w:rPr>
      <w:i/>
    </w:rPr>
  </w:style>
  <w:style w:type="character" w:styleId="705">
    <w:name w:val="Quote Char"/>
    <w:link w:val="704"/>
    <w:uiPriority w:val="29"/>
    <w:rPr>
      <w:i/>
    </w:rPr>
  </w:style>
  <w:style w:type="paragraph" w:styleId="706">
    <w:name w:val="Intense Quote"/>
    <w:basedOn w:val="858"/>
    <w:next w:val="858"/>
    <w:link w:val="70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>
    <w:name w:val="Intense Quote Char"/>
    <w:link w:val="706"/>
    <w:uiPriority w:val="30"/>
    <w:rPr>
      <w:i/>
    </w:rPr>
  </w:style>
  <w:style w:type="paragraph" w:styleId="708">
    <w:name w:val="Header"/>
    <w:basedOn w:val="858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Header Char"/>
    <w:link w:val="708"/>
    <w:uiPriority w:val="99"/>
  </w:style>
  <w:style w:type="paragraph" w:styleId="710">
    <w:name w:val="Footer"/>
    <w:basedOn w:val="858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1">
    <w:name w:val="Footer Char"/>
    <w:link w:val="710"/>
    <w:uiPriority w:val="99"/>
  </w:style>
  <w:style w:type="paragraph" w:styleId="712">
    <w:name w:val="Caption"/>
    <w:basedOn w:val="858"/>
    <w:next w:val="85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3">
    <w:name w:val="Caption Char"/>
    <w:basedOn w:val="712"/>
    <w:link w:val="710"/>
    <w:uiPriority w:val="99"/>
  </w:style>
  <w:style w:type="table" w:styleId="71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0">
    <w:name w:val="Hyperlink"/>
    <w:uiPriority w:val="99"/>
    <w:unhideWhenUsed/>
    <w:rPr>
      <w:color w:val="0000ff" w:themeColor="hyperlink"/>
      <w:u w:val="single"/>
    </w:rPr>
  </w:style>
  <w:style w:type="paragraph" w:styleId="841">
    <w:name w:val="footnote text"/>
    <w:basedOn w:val="858"/>
    <w:link w:val="842"/>
    <w:uiPriority w:val="99"/>
    <w:semiHidden/>
    <w:unhideWhenUsed/>
    <w:pPr>
      <w:spacing w:after="40" w:line="240" w:lineRule="auto"/>
    </w:pPr>
    <w:rPr>
      <w:sz w:val="18"/>
    </w:rPr>
  </w:style>
  <w:style w:type="character" w:styleId="842">
    <w:name w:val="Footnote Text Char"/>
    <w:link w:val="841"/>
    <w:uiPriority w:val="99"/>
    <w:rPr>
      <w:sz w:val="18"/>
    </w:rPr>
  </w:style>
  <w:style w:type="character" w:styleId="843">
    <w:name w:val="footnote reference"/>
    <w:uiPriority w:val="99"/>
    <w:unhideWhenUsed/>
    <w:rPr>
      <w:vertAlign w:val="superscript"/>
    </w:rPr>
  </w:style>
  <w:style w:type="paragraph" w:styleId="844">
    <w:name w:val="endnote text"/>
    <w:basedOn w:val="858"/>
    <w:link w:val="845"/>
    <w:uiPriority w:val="99"/>
    <w:semiHidden/>
    <w:unhideWhenUsed/>
    <w:pPr>
      <w:spacing w:after="0" w:line="240" w:lineRule="auto"/>
    </w:pPr>
    <w:rPr>
      <w:sz w:val="20"/>
    </w:rPr>
  </w:style>
  <w:style w:type="character" w:styleId="845">
    <w:name w:val="Endnote Text Char"/>
    <w:link w:val="844"/>
    <w:uiPriority w:val="99"/>
    <w:rPr>
      <w:sz w:val="20"/>
    </w:rPr>
  </w:style>
  <w:style w:type="character" w:styleId="846">
    <w:name w:val="endnote reference"/>
    <w:uiPriority w:val="99"/>
    <w:semiHidden/>
    <w:unhideWhenUsed/>
    <w:rPr>
      <w:vertAlign w:val="superscript"/>
    </w:rPr>
  </w:style>
  <w:style w:type="paragraph" w:styleId="847">
    <w:name w:val="toc 1"/>
    <w:basedOn w:val="858"/>
    <w:next w:val="858"/>
    <w:uiPriority w:val="39"/>
    <w:unhideWhenUsed/>
    <w:pPr>
      <w:ind w:left="0" w:right="0" w:firstLine="0"/>
      <w:spacing w:after="57"/>
    </w:pPr>
  </w:style>
  <w:style w:type="paragraph" w:styleId="848">
    <w:name w:val="toc 2"/>
    <w:basedOn w:val="858"/>
    <w:next w:val="858"/>
    <w:uiPriority w:val="39"/>
    <w:unhideWhenUsed/>
    <w:pPr>
      <w:ind w:left="283" w:right="0" w:firstLine="0"/>
      <w:spacing w:after="57"/>
    </w:pPr>
  </w:style>
  <w:style w:type="paragraph" w:styleId="849">
    <w:name w:val="toc 3"/>
    <w:basedOn w:val="858"/>
    <w:next w:val="858"/>
    <w:uiPriority w:val="39"/>
    <w:unhideWhenUsed/>
    <w:pPr>
      <w:ind w:left="567" w:right="0" w:firstLine="0"/>
      <w:spacing w:after="57"/>
    </w:pPr>
  </w:style>
  <w:style w:type="paragraph" w:styleId="850">
    <w:name w:val="toc 4"/>
    <w:basedOn w:val="858"/>
    <w:next w:val="858"/>
    <w:uiPriority w:val="39"/>
    <w:unhideWhenUsed/>
    <w:pPr>
      <w:ind w:left="850" w:right="0" w:firstLine="0"/>
      <w:spacing w:after="57"/>
    </w:pPr>
  </w:style>
  <w:style w:type="paragraph" w:styleId="851">
    <w:name w:val="toc 5"/>
    <w:basedOn w:val="858"/>
    <w:next w:val="858"/>
    <w:uiPriority w:val="39"/>
    <w:unhideWhenUsed/>
    <w:pPr>
      <w:ind w:left="1134" w:right="0" w:firstLine="0"/>
      <w:spacing w:after="57"/>
    </w:pPr>
  </w:style>
  <w:style w:type="paragraph" w:styleId="852">
    <w:name w:val="toc 6"/>
    <w:basedOn w:val="858"/>
    <w:next w:val="858"/>
    <w:uiPriority w:val="39"/>
    <w:unhideWhenUsed/>
    <w:pPr>
      <w:ind w:left="1417" w:right="0" w:firstLine="0"/>
      <w:spacing w:after="57"/>
    </w:pPr>
  </w:style>
  <w:style w:type="paragraph" w:styleId="853">
    <w:name w:val="toc 7"/>
    <w:basedOn w:val="858"/>
    <w:next w:val="858"/>
    <w:uiPriority w:val="39"/>
    <w:unhideWhenUsed/>
    <w:pPr>
      <w:ind w:left="1701" w:right="0" w:firstLine="0"/>
      <w:spacing w:after="57"/>
    </w:pPr>
  </w:style>
  <w:style w:type="paragraph" w:styleId="854">
    <w:name w:val="toc 8"/>
    <w:basedOn w:val="858"/>
    <w:next w:val="858"/>
    <w:uiPriority w:val="39"/>
    <w:unhideWhenUsed/>
    <w:pPr>
      <w:ind w:left="1984" w:right="0" w:firstLine="0"/>
      <w:spacing w:after="57"/>
    </w:pPr>
  </w:style>
  <w:style w:type="paragraph" w:styleId="855">
    <w:name w:val="toc 9"/>
    <w:basedOn w:val="858"/>
    <w:next w:val="858"/>
    <w:uiPriority w:val="39"/>
    <w:unhideWhenUsed/>
    <w:pPr>
      <w:ind w:left="2268" w:right="0" w:firstLine="0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858"/>
    <w:next w:val="858"/>
    <w:uiPriority w:val="99"/>
    <w:unhideWhenUsed/>
    <w:pPr>
      <w:spacing w:after="0" w:afterAutospacing="0"/>
    </w:pPr>
  </w:style>
  <w:style w:type="paragraph" w:styleId="858" w:default="1">
    <w:name w:val="Normal"/>
    <w:next w:val="858"/>
    <w:link w:val="858"/>
    <w:qFormat/>
    <w:rPr>
      <w:lang w:val="ru-RU" w:eastAsia="zh-CN" w:bidi="ar-SA"/>
    </w:rPr>
  </w:style>
  <w:style w:type="paragraph" w:styleId="859">
    <w:name w:val="Заголовок 1"/>
    <w:basedOn w:val="858"/>
    <w:next w:val="858"/>
    <w:link w:val="858"/>
    <w:qFormat/>
    <w:pPr>
      <w:numPr>
        <w:ilvl w:val="0"/>
        <w:numId w:val="1"/>
      </w:numPr>
      <w:jc w:val="both"/>
      <w:keepNext/>
      <w:outlineLvl w:val="0"/>
    </w:pPr>
    <w:rPr>
      <w:rFonts w:ascii="Book Antiqua" w:hAnsi="Book Antiqua" w:cs="Book Antiqua"/>
      <w:b/>
      <w:sz w:val="24"/>
    </w:rPr>
  </w:style>
  <w:style w:type="paragraph" w:styleId="860">
    <w:name w:val="Заголовок 2"/>
    <w:basedOn w:val="858"/>
    <w:next w:val="858"/>
    <w:link w:val="858"/>
    <w:qFormat/>
    <w:pPr>
      <w:numPr>
        <w:ilvl w:val="1"/>
        <w:numId w:val="1"/>
      </w:numPr>
      <w:ind w:left="0" w:right="0" w:firstLine="556"/>
      <w:jc w:val="center"/>
      <w:keepNext/>
      <w:outlineLvl w:val="1"/>
    </w:pPr>
    <w:rPr>
      <w:b/>
      <w:sz w:val="28"/>
    </w:rPr>
  </w:style>
  <w:style w:type="paragraph" w:styleId="861">
    <w:name w:val="Заголовок 3"/>
    <w:basedOn w:val="858"/>
    <w:next w:val="858"/>
    <w:link w:val="858"/>
    <w:qFormat/>
    <w:pPr>
      <w:numPr>
        <w:ilvl w:val="2"/>
        <w:numId w:val="1"/>
      </w:numPr>
      <w:jc w:val="both"/>
      <w:keepNext/>
      <w:outlineLvl w:val="2"/>
    </w:pPr>
    <w:rPr>
      <w:rFonts w:ascii="Book Antiqua" w:hAnsi="Book Antiqua" w:cs="Book Antiqua"/>
      <w:sz w:val="24"/>
    </w:rPr>
  </w:style>
  <w:style w:type="paragraph" w:styleId="862">
    <w:name w:val="Заголовок 4"/>
    <w:basedOn w:val="858"/>
    <w:next w:val="858"/>
    <w:link w:val="858"/>
    <w:qFormat/>
    <w:pPr>
      <w:numPr>
        <w:ilvl w:val="3"/>
        <w:numId w:val="1"/>
      </w:numPr>
      <w:keepNext/>
      <w:outlineLvl w:val="3"/>
    </w:pPr>
    <w:rPr>
      <w:sz w:val="26"/>
    </w:rPr>
  </w:style>
  <w:style w:type="character" w:styleId="863">
    <w:name w:val="Основной шрифт абзаца"/>
    <w:next w:val="863"/>
    <w:link w:val="858"/>
    <w:uiPriority w:val="1"/>
    <w:semiHidden/>
    <w:unhideWhenUsed/>
  </w:style>
  <w:style w:type="table" w:styleId="864">
    <w:name w:val="Обычная таблица"/>
    <w:next w:val="864"/>
    <w:link w:val="858"/>
    <w:uiPriority w:val="99"/>
    <w:semiHidden/>
    <w:unhideWhenUsed/>
    <w:tblPr/>
  </w:style>
  <w:style w:type="numbering" w:styleId="865">
    <w:name w:val="Нет списка"/>
    <w:next w:val="865"/>
    <w:link w:val="858"/>
    <w:uiPriority w:val="99"/>
    <w:semiHidden/>
    <w:unhideWhenUsed/>
  </w:style>
  <w:style w:type="character" w:styleId="866">
    <w:name w:val="WW8Num1z0"/>
    <w:next w:val="866"/>
    <w:link w:val="858"/>
  </w:style>
  <w:style w:type="character" w:styleId="867">
    <w:name w:val="WW8Num1z1"/>
    <w:next w:val="867"/>
    <w:link w:val="858"/>
  </w:style>
  <w:style w:type="character" w:styleId="868">
    <w:name w:val="WW8Num1z2"/>
    <w:next w:val="868"/>
    <w:link w:val="858"/>
  </w:style>
  <w:style w:type="character" w:styleId="869">
    <w:name w:val="WW8Num1z3"/>
    <w:next w:val="869"/>
    <w:link w:val="858"/>
  </w:style>
  <w:style w:type="character" w:styleId="870">
    <w:name w:val="WW8Num1z4"/>
    <w:next w:val="870"/>
    <w:link w:val="858"/>
  </w:style>
  <w:style w:type="character" w:styleId="871">
    <w:name w:val="WW8Num1z5"/>
    <w:next w:val="871"/>
    <w:link w:val="858"/>
  </w:style>
  <w:style w:type="character" w:styleId="872">
    <w:name w:val="WW8Num1z6"/>
    <w:next w:val="872"/>
    <w:link w:val="858"/>
  </w:style>
  <w:style w:type="character" w:styleId="873">
    <w:name w:val="WW8Num1z7"/>
    <w:next w:val="873"/>
    <w:link w:val="858"/>
  </w:style>
  <w:style w:type="character" w:styleId="874">
    <w:name w:val="WW8Num1z8"/>
    <w:next w:val="874"/>
    <w:link w:val="858"/>
  </w:style>
  <w:style w:type="character" w:styleId="875">
    <w:name w:val="WW8Num2z0"/>
    <w:next w:val="875"/>
    <w:link w:val="858"/>
    <w:rPr>
      <w:b/>
    </w:rPr>
  </w:style>
  <w:style w:type="character" w:styleId="876">
    <w:name w:val="WW8Num2z1"/>
    <w:next w:val="876"/>
    <w:link w:val="858"/>
    <w:rPr>
      <w:rFonts w:ascii="Symbol" w:hAnsi="Symbol" w:cs="Symbol"/>
      <w:b/>
      <w:sz w:val="19"/>
      <w:szCs w:val="19"/>
    </w:rPr>
  </w:style>
  <w:style w:type="character" w:styleId="877">
    <w:name w:val="WW8Num2z2"/>
    <w:next w:val="877"/>
    <w:link w:val="858"/>
  </w:style>
  <w:style w:type="character" w:styleId="878">
    <w:name w:val="WW8Num3z0"/>
    <w:next w:val="878"/>
    <w:link w:val="858"/>
    <w:rPr>
      <w:rFonts w:ascii="Arial" w:hAnsi="Arial" w:cs="Arial"/>
      <w:b/>
      <w:sz w:val="19"/>
      <w:szCs w:val="19"/>
    </w:rPr>
  </w:style>
  <w:style w:type="character" w:styleId="879">
    <w:name w:val="WW8Num3z1"/>
    <w:next w:val="879"/>
    <w:link w:val="858"/>
    <w:rPr>
      <w:rFonts w:ascii="Arial Narrow" w:hAnsi="Arial Narrow" w:cs="Arial Narrow"/>
      <w:b w:val="0"/>
      <w:bCs/>
      <w:iCs/>
      <w:sz w:val="19"/>
      <w:szCs w:val="19"/>
    </w:rPr>
  </w:style>
  <w:style w:type="character" w:styleId="880">
    <w:name w:val="WW8Num3z2"/>
    <w:next w:val="880"/>
    <w:link w:val="858"/>
  </w:style>
  <w:style w:type="character" w:styleId="881">
    <w:name w:val="WW8Num4z0"/>
    <w:next w:val="881"/>
    <w:link w:val="858"/>
  </w:style>
  <w:style w:type="character" w:styleId="882">
    <w:name w:val="WW8Num4z1"/>
    <w:next w:val="882"/>
    <w:link w:val="858"/>
  </w:style>
  <w:style w:type="character" w:styleId="883">
    <w:name w:val="WW8Num4z2"/>
    <w:next w:val="883"/>
    <w:link w:val="858"/>
  </w:style>
  <w:style w:type="character" w:styleId="884">
    <w:name w:val="WW8Num4z3"/>
    <w:next w:val="884"/>
    <w:link w:val="858"/>
  </w:style>
  <w:style w:type="character" w:styleId="885">
    <w:name w:val="WW8Num4z4"/>
    <w:next w:val="885"/>
    <w:link w:val="858"/>
  </w:style>
  <w:style w:type="character" w:styleId="886">
    <w:name w:val="WW8Num4z5"/>
    <w:next w:val="886"/>
    <w:link w:val="858"/>
  </w:style>
  <w:style w:type="character" w:styleId="887">
    <w:name w:val="WW8Num4z6"/>
    <w:next w:val="887"/>
    <w:link w:val="858"/>
  </w:style>
  <w:style w:type="character" w:styleId="888">
    <w:name w:val="WW8Num4z7"/>
    <w:next w:val="888"/>
    <w:link w:val="858"/>
  </w:style>
  <w:style w:type="character" w:styleId="889">
    <w:name w:val="WW8Num4z8"/>
    <w:next w:val="889"/>
    <w:link w:val="858"/>
  </w:style>
  <w:style w:type="character" w:styleId="890">
    <w:name w:val="WW8Num5z0"/>
    <w:next w:val="890"/>
    <w:link w:val="858"/>
    <w:rPr>
      <w:b/>
    </w:rPr>
  </w:style>
  <w:style w:type="character" w:styleId="891">
    <w:name w:val="WW8Num5z1"/>
    <w:next w:val="891"/>
    <w:link w:val="858"/>
    <w:rPr>
      <w:b w:val="0"/>
    </w:rPr>
  </w:style>
  <w:style w:type="character" w:styleId="892">
    <w:name w:val="WW8Num5z2"/>
    <w:next w:val="892"/>
    <w:link w:val="858"/>
  </w:style>
  <w:style w:type="character" w:styleId="893">
    <w:name w:val="WW8Num6z0"/>
    <w:next w:val="893"/>
    <w:link w:val="858"/>
  </w:style>
  <w:style w:type="character" w:styleId="894">
    <w:name w:val="WW8Num7z0"/>
    <w:next w:val="894"/>
    <w:link w:val="858"/>
  </w:style>
  <w:style w:type="character" w:styleId="895">
    <w:name w:val="WW8Num8z0"/>
    <w:next w:val="895"/>
    <w:link w:val="858"/>
    <w:rPr>
      <w:rFonts w:ascii="Arial" w:hAnsi="Arial" w:cs="Arial"/>
      <w:b/>
      <w:sz w:val="19"/>
      <w:szCs w:val="19"/>
    </w:rPr>
  </w:style>
  <w:style w:type="character" w:styleId="896">
    <w:name w:val="WW8Num8z1"/>
    <w:next w:val="896"/>
    <w:link w:val="858"/>
    <w:rPr>
      <w:rFonts w:ascii="Arial Narrow" w:hAnsi="Arial Narrow" w:cs="Arial Narrow"/>
      <w:b w:val="0"/>
      <w:sz w:val="19"/>
      <w:szCs w:val="19"/>
    </w:rPr>
  </w:style>
  <w:style w:type="character" w:styleId="897">
    <w:name w:val="WW8Num8z2"/>
    <w:next w:val="897"/>
    <w:link w:val="858"/>
  </w:style>
  <w:style w:type="character" w:styleId="898">
    <w:name w:val="Основной шрифт абзаца1"/>
    <w:next w:val="898"/>
    <w:link w:val="858"/>
  </w:style>
  <w:style w:type="character" w:styleId="899">
    <w:name w:val="Номер страницы"/>
    <w:basedOn w:val="898"/>
    <w:next w:val="899"/>
    <w:link w:val="858"/>
  </w:style>
  <w:style w:type="character" w:styleId="900">
    <w:name w:val=" Знак Знак"/>
    <w:next w:val="900"/>
    <w:link w:val="858"/>
    <w:rPr>
      <w:sz w:val="24"/>
      <w:lang w:val="ru-RU" w:bidi="ar-SA"/>
    </w:rPr>
  </w:style>
  <w:style w:type="paragraph" w:styleId="901">
    <w:name w:val="Заголовок1"/>
    <w:basedOn w:val="858"/>
    <w:next w:val="902"/>
    <w:link w:val="858"/>
    <w:pPr>
      <w:jc w:val="center"/>
    </w:pPr>
    <w:rPr>
      <w:rFonts w:ascii="Book Antiqua" w:hAnsi="Book Antiqua" w:cs="Book Antiqua"/>
      <w:b/>
      <w:sz w:val="40"/>
    </w:rPr>
  </w:style>
  <w:style w:type="paragraph" w:styleId="902">
    <w:name w:val="Основной текст"/>
    <w:basedOn w:val="858"/>
    <w:next w:val="902"/>
    <w:link w:val="858"/>
    <w:pPr>
      <w:jc w:val="center"/>
    </w:pPr>
    <w:rPr>
      <w:rFonts w:ascii="Book Antiqua" w:hAnsi="Book Antiqua" w:cs="Book Antiqua"/>
      <w:b/>
      <w:sz w:val="32"/>
    </w:rPr>
  </w:style>
  <w:style w:type="paragraph" w:styleId="903">
    <w:name w:val="Список"/>
    <w:basedOn w:val="902"/>
    <w:next w:val="903"/>
    <w:link w:val="858"/>
    <w:rPr>
      <w:rFonts w:ascii="PT Sans" w:hAnsi="PT Sans" w:cs="Noto Sans Devanagari"/>
    </w:rPr>
  </w:style>
  <w:style w:type="paragraph" w:styleId="904">
    <w:name w:val="Название объекта"/>
    <w:basedOn w:val="858"/>
    <w:next w:val="904"/>
    <w:link w:val="858"/>
    <w:qFormat/>
    <w:pPr>
      <w:spacing w:before="120" w:after="120"/>
      <w:suppressLineNumbers/>
    </w:pPr>
    <w:rPr>
      <w:rFonts w:ascii="PT Sans" w:hAnsi="PT Sans" w:cs="Noto Sans Devanagari"/>
      <w:i/>
      <w:iCs/>
      <w:sz w:val="24"/>
      <w:szCs w:val="24"/>
    </w:rPr>
  </w:style>
  <w:style w:type="paragraph" w:styleId="905">
    <w:name w:val="Указатель1"/>
    <w:basedOn w:val="858"/>
    <w:next w:val="905"/>
    <w:link w:val="858"/>
    <w:pPr>
      <w:suppressLineNumbers/>
    </w:pPr>
    <w:rPr>
      <w:rFonts w:ascii="PT Sans" w:hAnsi="PT Sans" w:cs="Noto Sans Devanagari"/>
    </w:rPr>
  </w:style>
  <w:style w:type="paragraph" w:styleId="906">
    <w:name w:val="Основной текст с отступом"/>
    <w:basedOn w:val="858"/>
    <w:next w:val="906"/>
    <w:link w:val="858"/>
    <w:pPr>
      <w:ind w:left="0" w:right="0" w:firstLine="720"/>
      <w:jc w:val="both"/>
    </w:pPr>
    <w:rPr>
      <w:sz w:val="24"/>
    </w:rPr>
  </w:style>
  <w:style w:type="paragraph" w:styleId="907">
    <w:name w:val="Основной текст с отступом 21"/>
    <w:basedOn w:val="858"/>
    <w:next w:val="907"/>
    <w:link w:val="858"/>
    <w:pPr>
      <w:ind w:left="567" w:right="0" w:hanging="567"/>
      <w:jc w:val="both"/>
    </w:pPr>
    <w:rPr>
      <w:sz w:val="24"/>
    </w:rPr>
  </w:style>
  <w:style w:type="paragraph" w:styleId="908">
    <w:name w:val="Основной текст с отступом 31"/>
    <w:basedOn w:val="858"/>
    <w:next w:val="908"/>
    <w:link w:val="858"/>
    <w:pPr>
      <w:ind w:left="0" w:right="0" w:firstLine="556"/>
      <w:jc w:val="both"/>
    </w:pPr>
    <w:rPr>
      <w:sz w:val="24"/>
    </w:rPr>
  </w:style>
  <w:style w:type="paragraph" w:styleId="909">
    <w:name w:val="Основной текст 21"/>
    <w:basedOn w:val="858"/>
    <w:next w:val="909"/>
    <w:link w:val="858"/>
    <w:pPr>
      <w:jc w:val="both"/>
    </w:pPr>
    <w:rPr>
      <w:rFonts w:ascii="Book Antiqua" w:hAnsi="Book Antiqua" w:cs="Book Antiqua"/>
      <w:sz w:val="24"/>
    </w:rPr>
  </w:style>
  <w:style w:type="paragraph" w:styleId="910">
    <w:name w:val="Верхний и нижний колонтитулы"/>
    <w:basedOn w:val="858"/>
    <w:next w:val="910"/>
    <w:link w:val="858"/>
    <w:pPr>
      <w:tabs>
        <w:tab w:val="center" w:pos="4819" w:leader="none"/>
        <w:tab w:val="right" w:pos="9638" w:leader="none"/>
      </w:tabs>
      <w:suppressLineNumbers/>
    </w:pPr>
  </w:style>
  <w:style w:type="paragraph" w:styleId="911">
    <w:name w:val="Нижний колонтитул"/>
    <w:basedOn w:val="858"/>
    <w:next w:val="911"/>
    <w:link w:val="858"/>
    <w:pPr>
      <w:tabs>
        <w:tab w:val="center" w:pos="4153" w:leader="none"/>
        <w:tab w:val="right" w:pos="8306" w:leader="none"/>
      </w:tabs>
    </w:pPr>
  </w:style>
  <w:style w:type="paragraph" w:styleId="912">
    <w:name w:val="Основной текст 31"/>
    <w:basedOn w:val="858"/>
    <w:next w:val="912"/>
    <w:link w:val="858"/>
    <w:pPr>
      <w:jc w:val="both"/>
    </w:pPr>
    <w:rPr>
      <w:rFonts w:ascii="Arial Narrow" w:hAnsi="Arial Narrow" w:cs="Arial"/>
    </w:rPr>
  </w:style>
  <w:style w:type="paragraph" w:styleId="913">
    <w:name w:val="FR3"/>
    <w:next w:val="913"/>
    <w:link w:val="858"/>
    <w:pPr>
      <w:widowControl w:val="off"/>
    </w:pPr>
    <w:rPr>
      <w:rFonts w:ascii="Arial" w:hAnsi="Arial" w:cs="Arial"/>
      <w:sz w:val="18"/>
      <w:lang w:val="ru-RU" w:eastAsia="zh-CN" w:bidi="ar-SA"/>
    </w:rPr>
  </w:style>
  <w:style w:type="paragraph" w:styleId="914">
    <w:name w:val=" Знак1"/>
    <w:basedOn w:val="858"/>
    <w:next w:val="914"/>
    <w:link w:val="858"/>
    <w:pPr>
      <w:jc w:val="right"/>
      <w:spacing w:before="0" w:after="160" w:line="240" w:lineRule="exact"/>
      <w:widowControl w:val="off"/>
    </w:pPr>
    <w:rPr>
      <w:lang w:val="en-GB"/>
    </w:rPr>
  </w:style>
  <w:style w:type="paragraph" w:styleId="915">
    <w:name w:val="Верхний колонтитул"/>
    <w:basedOn w:val="858"/>
    <w:next w:val="915"/>
    <w:link w:val="858"/>
    <w:pPr>
      <w:tabs>
        <w:tab w:val="center" w:pos="4677" w:leader="none"/>
        <w:tab w:val="right" w:pos="9355" w:leader="none"/>
      </w:tabs>
    </w:pPr>
  </w:style>
  <w:style w:type="paragraph" w:styleId="916">
    <w:name w:val="Содержимое таблицы"/>
    <w:basedOn w:val="858"/>
    <w:next w:val="916"/>
    <w:link w:val="858"/>
    <w:pPr>
      <w:suppressLineNumbers/>
    </w:pPr>
  </w:style>
  <w:style w:type="paragraph" w:styleId="917">
    <w:name w:val="Заголовок таблицы"/>
    <w:basedOn w:val="916"/>
    <w:next w:val="917"/>
    <w:link w:val="858"/>
    <w:pPr>
      <w:jc w:val="center"/>
      <w:suppressLineNumbers/>
    </w:pPr>
    <w:rPr>
      <w:b/>
      <w:bCs/>
    </w:rPr>
  </w:style>
  <w:style w:type="paragraph" w:styleId="918">
    <w:name w:val="Содержимое врезки"/>
    <w:basedOn w:val="858"/>
    <w:next w:val="918"/>
    <w:link w:val="858"/>
  </w:style>
  <w:style w:type="character" w:styleId="919" w:default="1">
    <w:name w:val="Default Paragraph Font"/>
    <w:uiPriority w:val="1"/>
    <w:semiHidden/>
    <w:unhideWhenUsed/>
  </w:style>
  <w:style w:type="numbering" w:styleId="920" w:default="1">
    <w:name w:val="No List"/>
    <w:uiPriority w:val="99"/>
    <w:semiHidden/>
    <w:unhideWhenUsed/>
  </w:style>
  <w:style w:type="table" w:styleId="92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revision>4</cp:revision>
  <dcterms:created xsi:type="dcterms:W3CDTF">2013-12-24T22:43:00Z</dcterms:created>
  <dcterms:modified xsi:type="dcterms:W3CDTF">2026-03-20T00:01:00Z</dcterms:modified>
  <cp:version>1048576</cp:version>
</cp:coreProperties>
</file>