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8"/>
        <w:ind w:right="71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Приложение № 2</w:t>
      </w:r>
      <w:r/>
    </w:p>
    <w:p>
      <w:pPr>
        <w:pStyle w:val="638"/>
        <w:ind w:right="71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 от </w:t>
      </w:r>
      <w:r>
        <w:rPr>
          <w:rFonts w:ascii="Times New Roman" w:hAnsi="Times New Roman" w:cs="Times New Roman"/>
          <w:sz w:val="20"/>
          <w:szCs w:val="20"/>
        </w:rPr>
        <w:t xml:space="preserve">«___»_________ 2024 г.</w:t>
      </w:r>
      <w:r>
        <w:rPr>
          <w:rFonts w:ascii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cs="Times New Roman"/>
          <w:sz w:val="20"/>
          <w:szCs w:val="20"/>
        </w:rPr>
        <w:t xml:space="preserve">_____</w:t>
      </w:r>
      <w:r/>
    </w:p>
    <w:p>
      <w:pPr>
        <w:pStyle w:val="638"/>
        <w:ind w:right="7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638"/>
        <w:ind w:right="7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638"/>
        <w:ind w:right="71"/>
      </w:pPr>
      <w:r>
        <w:rPr>
          <w:rFonts w:ascii="Arial Narrow" w:hAnsi="Arial Narrow" w:cs="Arial Narrow"/>
          <w:szCs w:val="28"/>
        </w:rPr>
        <w:t xml:space="preserve">ИНСТРУКЦИЯ </w:t>
      </w:r>
      <w:r/>
    </w:p>
    <w:p>
      <w:pPr>
        <w:pStyle w:val="638"/>
        <w:ind w:right="71"/>
      </w:pPr>
      <w:r>
        <w:rPr>
          <w:rFonts w:ascii="Arial Narrow" w:hAnsi="Arial Narrow" w:cs="Arial Narrow"/>
          <w:szCs w:val="28"/>
        </w:rPr>
        <w:t xml:space="preserve">по пользованию кнопкой тревожной сигнализации</w:t>
      </w:r>
      <w:r/>
    </w:p>
    <w:p>
      <w:pPr>
        <w:pStyle w:val="621"/>
        <w:ind w:right="71"/>
        <w:jc w:val="center"/>
        <w:rPr>
          <w:rFonts w:ascii="Arial Narrow" w:hAnsi="Arial Narrow" w:eastAsia="Batang" w:cs="Arial Narrow"/>
          <w:b/>
          <w:bCs/>
          <w:sz w:val="19"/>
          <w:szCs w:val="28"/>
        </w:rPr>
      </w:pPr>
      <w:r>
        <w:rPr>
          <w:rFonts w:ascii="Arial Narrow" w:hAnsi="Arial Narrow" w:eastAsia="Batang" w:cs="Arial Narrow"/>
          <w:b/>
          <w:bCs/>
          <w:sz w:val="19"/>
          <w:szCs w:val="28"/>
        </w:rPr>
      </w:r>
      <w:r>
        <w:rPr>
          <w:rFonts w:ascii="Arial Narrow" w:hAnsi="Arial Narrow" w:eastAsia="Batang" w:cs="Arial Narrow"/>
          <w:b/>
          <w:bCs/>
          <w:sz w:val="19"/>
          <w:szCs w:val="28"/>
        </w:rPr>
      </w:r>
    </w:p>
    <w:p>
      <w:pPr>
        <w:pStyle w:val="621"/>
        <w:ind w:right="71"/>
        <w:jc w:val="center"/>
        <w:rPr>
          <w:rFonts w:ascii="Arial Narrow" w:hAnsi="Arial Narrow" w:eastAsia="Batang" w:cs="Arial Narrow"/>
          <w:b/>
          <w:bCs/>
          <w:sz w:val="4"/>
          <w:szCs w:val="28"/>
        </w:rPr>
      </w:pPr>
      <w:r>
        <w:rPr>
          <w:rFonts w:ascii="Arial Narrow" w:hAnsi="Arial Narrow" w:eastAsia="Batang" w:cs="Arial Narrow"/>
          <w:b/>
          <w:bCs/>
          <w:sz w:val="4"/>
          <w:szCs w:val="28"/>
        </w:rPr>
      </w:r>
      <w:r>
        <w:rPr>
          <w:rFonts w:ascii="Arial Narrow" w:hAnsi="Arial Narrow" w:eastAsia="Batang" w:cs="Arial Narrow"/>
          <w:b/>
          <w:bCs/>
          <w:sz w:val="4"/>
          <w:szCs w:val="28"/>
        </w:rPr>
      </w:r>
    </w:p>
    <w:p>
      <w:pPr>
        <w:pStyle w:val="643"/>
        <w:numPr>
          <w:ilvl w:val="0"/>
          <w:numId w:val="2"/>
        </w:numPr>
        <w:ind w:left="0" w:right="71" w:firstLine="0"/>
        <w:tabs>
          <w:tab w:val="left" w:pos="480" w:leader="none"/>
        </w:tabs>
      </w:pPr>
      <w:r>
        <w:rPr>
          <w:rFonts w:ascii="Arial Narrow" w:hAnsi="Arial Narrow" w:cs="Arial Narrow"/>
        </w:rPr>
        <w:t xml:space="preserve">Кнопка тревожной сигнализации (далее по тексту - КТС) предназна</w:t>
      </w:r>
      <w:r>
        <w:rPr>
          <w:rFonts w:ascii="Arial Narrow" w:hAnsi="Arial Narrow" w:cs="Arial Narrow"/>
        </w:rPr>
        <w:t xml:space="preserve">чена для экстренного вызова вооруженного наряда группы задержания в случае нарушения общественного порядка, совершения противоправных посягательств на жизнь, здоровье или собственность граждан на охраняемом объекте, или в непосредственной близости от него.</w:t>
      </w:r>
      <w:r/>
    </w:p>
    <w:p>
      <w:pPr>
        <w:pStyle w:val="643"/>
        <w:ind w:right="71" w:firstLine="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</w:r>
      <w:r>
        <w:rPr>
          <w:rFonts w:ascii="Arial Narrow" w:hAnsi="Arial Narrow" w:cs="Arial Narrow"/>
        </w:rPr>
      </w:r>
    </w:p>
    <w:p>
      <w:pPr>
        <w:pStyle w:val="643"/>
        <w:numPr>
          <w:ilvl w:val="0"/>
          <w:numId w:val="2"/>
        </w:numPr>
        <w:ind w:left="0" w:right="71" w:firstLine="0"/>
        <w:tabs>
          <w:tab w:val="left" w:pos="480" w:leader="none"/>
        </w:tabs>
      </w:pPr>
      <w:r>
        <w:rPr>
          <w:rFonts w:ascii="Arial Narrow" w:hAnsi="Arial Narrow" w:cs="Arial Narrow"/>
        </w:rPr>
        <w:t xml:space="preserve">Для подключения КТС на пульт вневедомственной охраны собственник объ</w:t>
      </w:r>
      <w:r>
        <w:rPr>
          <w:rFonts w:ascii="Arial Narrow" w:hAnsi="Arial Narrow" w:cs="Arial Narrow"/>
        </w:rPr>
        <w:t xml:space="preserve">екта обязан определить круг ответственных лиц, проинструктировать их о правилах подключения и пользования КТС. При увольнении или приеме новых работников информировать о произошедших изменениях вневедомственную охрану в трехдневный срок в письменной форме.</w:t>
      </w:r>
      <w:r/>
    </w:p>
    <w:p>
      <w:pPr>
        <w:pStyle w:val="643"/>
        <w:ind w:right="71" w:firstLine="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</w:r>
      <w:r>
        <w:rPr>
          <w:rFonts w:ascii="Arial Narrow" w:hAnsi="Arial Narrow" w:cs="Arial Narrow"/>
        </w:rPr>
      </w:r>
    </w:p>
    <w:p>
      <w:pPr>
        <w:pStyle w:val="643"/>
        <w:numPr>
          <w:ilvl w:val="0"/>
          <w:numId w:val="2"/>
        </w:numPr>
        <w:ind w:left="0" w:right="71" w:firstLine="0"/>
        <w:tabs>
          <w:tab w:val="left" w:pos="480" w:leader="none"/>
        </w:tabs>
      </w:pPr>
      <w:r>
        <w:rPr>
          <w:rFonts w:ascii="Arial Narrow" w:hAnsi="Arial Narrow" w:cs="Arial Narrow"/>
        </w:rPr>
        <w:t xml:space="preserve">При подключении КТС ответственное лицо обязано проводить ежедневную проверку работоспособности средств сигнализации (поступает ли сигнал</w:t>
      </w:r>
      <w:r>
        <w:rPr>
          <w:rFonts w:ascii="Arial Narrow" w:hAnsi="Arial Narrow" w:cs="Arial Narrow"/>
        </w:rPr>
        <w:t xml:space="preserve"> «Тревога» на пульт вневедомственной охраны при нажатии на кнопку). Для этого необходимо при подключении КТС предупредить оператора пульта централизованной охраны о проведении проверки и произвести контрольную сработку средств сигнализации (нажать на КТС).</w:t>
      </w:r>
      <w:r/>
    </w:p>
    <w:p>
      <w:pPr>
        <w:pStyle w:val="643"/>
        <w:ind w:right="71" w:firstLine="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</w:r>
      <w:r>
        <w:rPr>
          <w:rFonts w:ascii="Arial Narrow" w:hAnsi="Arial Narrow" w:cs="Arial Narrow"/>
        </w:rPr>
      </w:r>
    </w:p>
    <w:p>
      <w:pPr>
        <w:pStyle w:val="643"/>
        <w:numPr>
          <w:ilvl w:val="0"/>
          <w:numId w:val="2"/>
        </w:numPr>
        <w:ind w:left="0" w:right="71" w:firstLine="0"/>
        <w:tabs>
          <w:tab w:val="left" w:pos="480" w:leader="none"/>
        </w:tabs>
      </w:pPr>
      <w:r>
        <w:rPr>
          <w:rFonts w:ascii="Arial Narrow" w:hAnsi="Arial Narrow" w:cs="Arial Narrow"/>
        </w:rPr>
        <w:t xml:space="preserve">Поводом для вызова наряда могут послужить следующие ситуации: драка или ссора                      в</w:t>
      </w:r>
      <w:r>
        <w:rPr>
          <w:rFonts w:ascii="Arial Narrow" w:hAnsi="Arial Narrow" w:cs="Arial Narrow"/>
        </w:rPr>
        <w:t xml:space="preserve"> помещении, попы</w:t>
      </w:r>
      <w:r>
        <w:rPr>
          <w:rFonts w:ascii="Arial Narrow" w:hAnsi="Arial Narrow" w:cs="Arial Narrow"/>
        </w:rPr>
        <w:t xml:space="preserve">тка хищения товароматериальных ценностей собственника объекта или посетителей, угроза жизни или здоровью персонала или посетителей, попытка расплатиться фальшивыми денежными купюрами, сбыть краденые вещи. При возникновении одной из названных ситуаций работ</w:t>
      </w:r>
      <w:r>
        <w:rPr>
          <w:rFonts w:ascii="Arial Narrow" w:hAnsi="Arial Narrow" w:cs="Arial Narrow"/>
        </w:rPr>
        <w:t xml:space="preserve">ник объекта, не проявляя беспокойства, должен незаметно для нарушителя нажать кнопку тревожной сигнализации и принять все меры для сохранения своей жизни и здоровья              до прибытия группы задержания, при этом стараясь максимально запомнить внешний</w:t>
      </w:r>
      <w:r>
        <w:rPr>
          <w:rFonts w:ascii="Arial Narrow" w:hAnsi="Arial Narrow" w:cs="Arial Narrow"/>
        </w:rPr>
        <w:t xml:space="preserve"> вид нарушителей: их количество, одежду, черты лица, рост, а также особые приметы: наличие усов, шрамов на видимых участках кожи, манера речи (заикается, шепелявит), что облегчит поиск нарушителей, если они скроются с места происшествия до прибытия наряда.</w:t>
      </w:r>
      <w:r/>
    </w:p>
    <w:p>
      <w:pPr>
        <w:pStyle w:val="643"/>
        <w:ind w:right="71" w:firstLine="0"/>
        <w:rPr>
          <w:rFonts w:ascii="Arial Narrow" w:hAnsi="Arial Narrow" w:eastAsia="Times New Roman" w:cs="Arial Narrow"/>
        </w:rPr>
      </w:pPr>
      <w:r>
        <w:rPr>
          <w:rFonts w:ascii="Arial Narrow" w:hAnsi="Arial Narrow" w:eastAsia="Times New Roman" w:cs="Arial Narrow"/>
        </w:rPr>
      </w:r>
      <w:r>
        <w:rPr>
          <w:rFonts w:ascii="Arial Narrow" w:hAnsi="Arial Narrow" w:eastAsia="Times New Roman" w:cs="Arial Narrow"/>
        </w:rPr>
      </w:r>
    </w:p>
    <w:p>
      <w:pPr>
        <w:pStyle w:val="643"/>
        <w:numPr>
          <w:ilvl w:val="0"/>
          <w:numId w:val="2"/>
        </w:numPr>
        <w:ind w:left="0" w:right="71" w:firstLine="0"/>
        <w:tabs>
          <w:tab w:val="left" w:pos="480" w:leader="none"/>
        </w:tabs>
      </w:pPr>
      <w:r>
        <w:rPr>
          <w:rFonts w:ascii="Arial Narrow" w:hAnsi="Arial Narrow" w:cs="Arial Narrow"/>
        </w:rPr>
        <w:t xml:space="preserve">По каждому факту вызова вооруженного наряда группы задержания после пресечения ими противоправных действий, задержания и удаления с объекта лиц их совершивших, работник объекта должен написать заявление на имя начальника органов внутренних дел.</w:t>
      </w:r>
      <w:r/>
    </w:p>
    <w:p>
      <w:pPr>
        <w:pStyle w:val="643"/>
        <w:ind w:right="71" w:firstLine="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</w:r>
      <w:r>
        <w:rPr>
          <w:rFonts w:ascii="Arial Narrow" w:hAnsi="Arial Narrow" w:cs="Arial Narrow"/>
        </w:rPr>
      </w:r>
    </w:p>
    <w:p>
      <w:pPr>
        <w:pStyle w:val="643"/>
        <w:ind w:right="71" w:firstLine="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</w:r>
      <w:r>
        <w:rPr>
          <w:rFonts w:ascii="Arial Narrow" w:hAnsi="Arial Narrow" w:cs="Arial Narrow"/>
        </w:rPr>
      </w:r>
    </w:p>
    <w:p>
      <w:pPr>
        <w:pStyle w:val="621"/>
        <w:ind w:firstLine="540"/>
        <w:jc w:val="both"/>
      </w:pPr>
      <w:r>
        <w:rPr>
          <w:rFonts w:ascii="Arial Narrow" w:hAnsi="Arial Narrow" w:cs="Arial Narrow"/>
          <w:b/>
          <w:sz w:val="25"/>
          <w:szCs w:val="25"/>
        </w:rPr>
        <w:t xml:space="preserve">Следует помнить, что заведомо ложный вызов полиции, в соответствии                          с действующим законодательством Российской Федерации, влечет наложение административного штрафа.</w:t>
      </w:r>
      <w:r/>
    </w:p>
    <w:p>
      <w:pPr>
        <w:pStyle w:val="621"/>
        <w:jc w:val="both"/>
        <w:rPr>
          <w:rFonts w:ascii="Arial Narrow" w:hAnsi="Arial Narrow" w:cs="Arial Narrow"/>
          <w:b/>
          <w:sz w:val="26"/>
          <w:szCs w:val="26"/>
        </w:rPr>
      </w:pPr>
      <w:r>
        <w:rPr>
          <w:rFonts w:ascii="Arial Narrow" w:hAnsi="Arial Narrow" w:cs="Arial Narrow"/>
          <w:b/>
          <w:sz w:val="26"/>
          <w:szCs w:val="26"/>
        </w:rPr>
      </w:r>
      <w:r>
        <w:rPr>
          <w:rFonts w:ascii="Arial Narrow" w:hAnsi="Arial Narrow" w:cs="Arial Narrow"/>
          <w:b/>
          <w:sz w:val="26"/>
          <w:szCs w:val="26"/>
        </w:rPr>
      </w:r>
    </w:p>
    <w:p>
      <w:pPr>
        <w:pStyle w:val="621"/>
        <w:jc w:val="both"/>
        <w:rPr>
          <w:rFonts w:ascii="Arial Narrow" w:hAnsi="Arial Narrow" w:cs="Arial Narrow"/>
          <w:b/>
          <w:sz w:val="26"/>
          <w:szCs w:val="26"/>
        </w:rPr>
      </w:pPr>
      <w:r>
        <w:rPr>
          <w:rFonts w:ascii="Arial Narrow" w:hAnsi="Arial Narrow" w:cs="Arial Narrow"/>
          <w:b/>
          <w:sz w:val="26"/>
          <w:szCs w:val="26"/>
        </w:rPr>
      </w:r>
      <w:r>
        <w:rPr>
          <w:rFonts w:ascii="Arial Narrow" w:hAnsi="Arial Narrow" w:cs="Arial Narrow"/>
          <w:b/>
          <w:sz w:val="26"/>
          <w:szCs w:val="26"/>
        </w:rPr>
      </w:r>
    </w:p>
    <w:tbl>
      <w:tblPr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1"/>
        <w:gridCol w:w="597"/>
        <w:gridCol w:w="4615"/>
      </w:tblGrid>
      <w:tr>
        <w:tblPrEx/>
        <w:trPr>
          <w:trHeight w:val="122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9" w:type="dxa"/>
            <w:vAlign w:val="top"/>
            <w:textDirection w:val="lrTb"/>
            <w:noWrap w:val="false"/>
          </w:tcPr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«Исполнитель»</w:t>
            </w:r>
            <w:r/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</w:r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</w:r>
            <w:r>
              <w:rPr>
                <w:rFonts w:ascii="Arial Narrow" w:hAnsi="Arial Narrow" w:cs="Arial Narrow"/>
                <w:sz w:val="22"/>
                <w:szCs w:val="22"/>
              </w:rPr>
            </w:r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</w:r>
            <w:r>
              <w:rPr>
                <w:rFonts w:ascii="Arial Narrow" w:hAnsi="Arial Narrow" w:cs="Arial Narrow"/>
                <w:sz w:val="22"/>
                <w:szCs w:val="22"/>
              </w:rPr>
            </w:r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</w:r>
            <w:r>
              <w:rPr>
                <w:rFonts w:ascii="Arial Narrow" w:hAnsi="Arial Narrow" w:cs="Arial Narrow"/>
                <w:sz w:val="22"/>
                <w:szCs w:val="22"/>
              </w:rPr>
            </w:r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</w:r>
            <w:r>
              <w:rPr>
                <w:rFonts w:ascii="Arial Narrow" w:hAnsi="Arial Narrow" w:cs="Arial Narrow"/>
                <w:sz w:val="22"/>
                <w:szCs w:val="22"/>
              </w:rPr>
            </w:r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__________________ </w:t>
            </w:r>
            <w:r>
              <w:rPr>
                <w:rFonts w:ascii="Arial Narrow" w:hAnsi="Arial Narrow" w:cs="Arial Narrow"/>
                <w:sz w:val="22"/>
                <w:szCs w:val="22"/>
              </w:rPr>
            </w:r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</w:pPr>
            <w:r/>
            <w:r/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84" w:type="dxa"/>
            <w:vAlign w:val="top"/>
            <w:textDirection w:val="lrTb"/>
            <w:noWrap w:val="false"/>
          </w:tcPr>
          <w:p>
            <w:pPr>
              <w:pStyle w:val="639"/>
              <w:spacing w:after="0"/>
              <w:rPr>
                <w:rFonts w:ascii="Arial Narrow" w:hAnsi="Arial Narrow" w:cs="Arial Narrow"/>
                <w:iCs/>
                <w:sz w:val="22"/>
                <w:szCs w:val="22"/>
              </w:rPr>
            </w:pPr>
            <w:r>
              <w:rPr>
                <w:rFonts w:ascii="Arial Narrow" w:hAnsi="Arial Narrow" w:cs="Arial Narrow"/>
                <w:iCs/>
                <w:sz w:val="22"/>
                <w:szCs w:val="22"/>
              </w:rPr>
            </w:r>
            <w:r>
              <w:rPr>
                <w:rFonts w:ascii="Arial Narrow" w:hAnsi="Arial Narrow" w:cs="Arial Narrow"/>
                <w:iCs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14" w:type="dxa"/>
            <w:vAlign w:val="top"/>
            <w:textDirection w:val="lrTb"/>
            <w:noWrap w:val="false"/>
          </w:tcPr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«Заказчик»</w:t>
            </w:r>
            <w:r/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</w:r>
          </w:p>
          <w:p>
            <w:pPr>
              <w:pStyle w:val="649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Руководитель </w:t>
            </w:r>
            <w:r/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</w:r>
            <w:r>
              <w:rPr>
                <w:rFonts w:ascii="Arial Narrow" w:hAnsi="Arial Narrow" w:cs="Arial Narrow"/>
                <w:sz w:val="22"/>
                <w:szCs w:val="22"/>
              </w:rPr>
            </w:r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</w:r>
            <w:r>
              <w:rPr>
                <w:rFonts w:ascii="Arial Narrow" w:hAnsi="Arial Narrow" w:cs="Arial Narrow"/>
                <w:sz w:val="22"/>
                <w:szCs w:val="22"/>
              </w:rPr>
            </w:r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__________________ С.Е. Зуева</w:t>
            </w:r>
            <w:r/>
          </w:p>
          <w:p>
            <w:pPr>
              <w:pStyle w:val="643"/>
              <w:jc w:val="center"/>
              <w:tabs>
                <w:tab w:val="left" w:pos="743" w:leader="none"/>
                <w:tab w:val="left" w:pos="5954" w:leader="none"/>
              </w:tabs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м.п.</w:t>
            </w:r>
            <w:r/>
          </w:p>
        </w:tc>
      </w:tr>
    </w:tbl>
    <w:sectPr>
      <w:footnotePr/>
      <w:endnotePr/>
      <w:type w:val="nextPage"/>
      <w:pgSz w:w="11906" w:h="16838" w:orient="portrait"/>
      <w:pgMar w:top="851" w:right="851" w:bottom="851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Noto Sans Devanagari">
    <w:panose1 w:val="020B0502040504020204"/>
  </w:font>
  <w:font w:name="Wingdings">
    <w:panose1 w:val="05010000000000000000"/>
  </w:font>
  <w:font w:name="PT Sans">
    <w:panose1 w:val="020B0503020203020204"/>
  </w:font>
  <w:font w:name="Batang">
    <w:panose1 w:val="02000506000000020000"/>
  </w:font>
  <w:font w:name="Times New Roman">
    <w:panose1 w:val="02020603050405020304"/>
  </w:font>
  <w:font w:name="Arial Narrow">
    <w:panose1 w:val="020B0606020202030204"/>
  </w:font>
  <w:font w:name="Tahoma">
    <w:panose1 w:val="020B0604030504040204"/>
  </w:font>
  <w:font w:name="Book Antiqua">
    <w:panose1 w:val="02040503050406030204"/>
  </w:font>
  <w:font w:name="Century">
    <w:panose1 w:val="020606060506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2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Arial Narrow" w:hAnsi="Arial Narrow" w:eastAsia="Times New Roman" w:cs="Arial Narro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next w:val="621"/>
    <w:link w:val="621"/>
    <w:qFormat/>
    <w:rPr>
      <w:sz w:val="24"/>
      <w:szCs w:val="24"/>
      <w:lang w:val="ru-RU" w:eastAsia="zh-CN" w:bidi="ar-SA"/>
    </w:rPr>
  </w:style>
  <w:style w:type="paragraph" w:styleId="622">
    <w:name w:val="Заголовок 1"/>
    <w:basedOn w:val="621"/>
    <w:next w:val="621"/>
    <w:link w:val="621"/>
    <w:qFormat/>
    <w:pPr>
      <w:numPr>
        <w:ilvl w:val="0"/>
        <w:numId w:val="1"/>
      </w:numPr>
      <w:jc w:val="both"/>
      <w:keepNext/>
      <w:outlineLvl w:val="0"/>
    </w:pPr>
    <w:rPr>
      <w:rFonts w:ascii="Book Antiqua" w:hAnsi="Book Antiqua" w:cs="Book Antiqua"/>
      <w:b/>
      <w:szCs w:val="20"/>
    </w:rPr>
  </w:style>
  <w:style w:type="character" w:styleId="623">
    <w:name w:val="Основной шрифт абзаца"/>
    <w:next w:val="623"/>
    <w:link w:val="621"/>
    <w:uiPriority w:val="1"/>
    <w:semiHidden/>
    <w:unhideWhenUsed/>
  </w:style>
  <w:style w:type="table" w:styleId="624">
    <w:name w:val="Обычная таблица"/>
    <w:next w:val="624"/>
    <w:link w:val="621"/>
    <w:uiPriority w:val="99"/>
    <w:semiHidden/>
    <w:unhideWhenUsed/>
    <w:tblPr/>
  </w:style>
  <w:style w:type="numbering" w:styleId="625">
    <w:name w:val="Нет списка"/>
    <w:next w:val="625"/>
    <w:link w:val="621"/>
    <w:uiPriority w:val="99"/>
    <w:semiHidden/>
    <w:unhideWhenUsed/>
  </w:style>
  <w:style w:type="character" w:styleId="626">
    <w:name w:val="WW8Num1z0"/>
    <w:next w:val="626"/>
    <w:link w:val="621"/>
  </w:style>
  <w:style w:type="character" w:styleId="627">
    <w:name w:val="WW8Num1z1"/>
    <w:next w:val="627"/>
    <w:link w:val="621"/>
  </w:style>
  <w:style w:type="character" w:styleId="628">
    <w:name w:val="WW8Num1z2"/>
    <w:next w:val="628"/>
    <w:link w:val="621"/>
  </w:style>
  <w:style w:type="character" w:styleId="629">
    <w:name w:val="WW8Num1z3"/>
    <w:next w:val="629"/>
    <w:link w:val="621"/>
  </w:style>
  <w:style w:type="character" w:styleId="630">
    <w:name w:val="WW8Num1z4"/>
    <w:next w:val="630"/>
    <w:link w:val="621"/>
  </w:style>
  <w:style w:type="character" w:styleId="631">
    <w:name w:val="WW8Num1z5"/>
    <w:next w:val="631"/>
    <w:link w:val="621"/>
  </w:style>
  <w:style w:type="character" w:styleId="632">
    <w:name w:val="WW8Num1z6"/>
    <w:next w:val="632"/>
    <w:link w:val="621"/>
  </w:style>
  <w:style w:type="character" w:styleId="633">
    <w:name w:val="WW8Num1z7"/>
    <w:next w:val="633"/>
    <w:link w:val="621"/>
  </w:style>
  <w:style w:type="character" w:styleId="634">
    <w:name w:val="WW8Num1z8"/>
    <w:next w:val="634"/>
    <w:link w:val="621"/>
  </w:style>
  <w:style w:type="character" w:styleId="635">
    <w:name w:val="WW8Num2z0"/>
    <w:next w:val="635"/>
    <w:link w:val="621"/>
    <w:rPr>
      <w:rFonts w:ascii="Arial Narrow" w:hAnsi="Arial Narrow" w:eastAsia="Times New Roman" w:cs="Arial Narrow"/>
    </w:rPr>
  </w:style>
  <w:style w:type="character" w:styleId="636">
    <w:name w:val="Основной шрифт абзаца1"/>
    <w:next w:val="636"/>
    <w:link w:val="621"/>
  </w:style>
  <w:style w:type="character" w:styleId="637">
    <w:name w:val=" Знак Знак"/>
    <w:basedOn w:val="636"/>
    <w:next w:val="637"/>
    <w:link w:val="621"/>
  </w:style>
  <w:style w:type="paragraph" w:styleId="638">
    <w:name w:val="Заголовок1"/>
    <w:basedOn w:val="621"/>
    <w:next w:val="639"/>
    <w:link w:val="621"/>
    <w:pPr>
      <w:jc w:val="center"/>
    </w:pPr>
    <w:rPr>
      <w:rFonts w:ascii="Batang" w:hAnsi="Batang" w:eastAsia="Batang" w:cs="Batang"/>
      <w:b/>
      <w:bCs/>
      <w:sz w:val="28"/>
    </w:rPr>
  </w:style>
  <w:style w:type="paragraph" w:styleId="639">
    <w:name w:val="Основной текст"/>
    <w:basedOn w:val="621"/>
    <w:next w:val="639"/>
    <w:link w:val="621"/>
    <w:pPr>
      <w:spacing w:before="0" w:after="120"/>
    </w:pPr>
  </w:style>
  <w:style w:type="paragraph" w:styleId="640">
    <w:name w:val="Список"/>
    <w:basedOn w:val="639"/>
    <w:next w:val="640"/>
    <w:link w:val="621"/>
    <w:rPr>
      <w:rFonts w:ascii="PT Sans" w:hAnsi="PT Sans" w:cs="Noto Sans Devanagari"/>
    </w:rPr>
  </w:style>
  <w:style w:type="paragraph" w:styleId="641">
    <w:name w:val="Название объекта"/>
    <w:basedOn w:val="621"/>
    <w:next w:val="641"/>
    <w:link w:val="621"/>
    <w:qFormat/>
    <w:pPr>
      <w:spacing w:before="120" w:after="120"/>
      <w:suppressLineNumbers/>
    </w:pPr>
    <w:rPr>
      <w:rFonts w:ascii="PT Sans" w:hAnsi="PT Sans" w:cs="Noto Sans Devanagari"/>
      <w:i/>
      <w:iCs/>
      <w:sz w:val="24"/>
      <w:szCs w:val="24"/>
    </w:rPr>
  </w:style>
  <w:style w:type="paragraph" w:styleId="642">
    <w:name w:val="Указатель1"/>
    <w:basedOn w:val="621"/>
    <w:next w:val="642"/>
    <w:link w:val="621"/>
    <w:pPr>
      <w:suppressLineNumbers/>
    </w:pPr>
    <w:rPr>
      <w:rFonts w:ascii="PT Sans" w:hAnsi="PT Sans" w:cs="Noto Sans Devanagari"/>
    </w:rPr>
  </w:style>
  <w:style w:type="paragraph" w:styleId="643">
    <w:name w:val="Основной текст с отступом"/>
    <w:basedOn w:val="621"/>
    <w:next w:val="643"/>
    <w:link w:val="621"/>
    <w:pPr>
      <w:ind w:left="0" w:right="0" w:firstLine="708"/>
      <w:jc w:val="both"/>
    </w:pPr>
    <w:rPr>
      <w:rFonts w:ascii="Century" w:hAnsi="Century" w:eastAsia="Batang" w:cs="Century"/>
    </w:rPr>
  </w:style>
  <w:style w:type="paragraph" w:styleId="644">
    <w:name w:val="Верхний и нижний колонтитулы"/>
    <w:basedOn w:val="621"/>
    <w:next w:val="644"/>
    <w:link w:val="621"/>
    <w:pPr>
      <w:tabs>
        <w:tab w:val="center" w:pos="4819" w:leader="none"/>
        <w:tab w:val="right" w:pos="9638" w:leader="none"/>
      </w:tabs>
      <w:suppressLineNumbers/>
    </w:pPr>
  </w:style>
  <w:style w:type="paragraph" w:styleId="645">
    <w:name w:val="Нижний колонтитул"/>
    <w:basedOn w:val="621"/>
    <w:next w:val="645"/>
    <w:link w:val="621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646">
    <w:name w:val="Текст выноски"/>
    <w:basedOn w:val="621"/>
    <w:next w:val="646"/>
    <w:link w:val="621"/>
    <w:rPr>
      <w:rFonts w:ascii="Tahoma" w:hAnsi="Tahoma" w:cs="Tahoma"/>
      <w:sz w:val="16"/>
      <w:szCs w:val="16"/>
    </w:rPr>
  </w:style>
  <w:style w:type="paragraph" w:styleId="647">
    <w:name w:val="Основной текст с отступом 21"/>
    <w:basedOn w:val="621"/>
    <w:next w:val="647"/>
    <w:link w:val="621"/>
    <w:pPr>
      <w:ind w:left="283" w:right="0" w:firstLine="0"/>
      <w:spacing w:before="0" w:after="120" w:line="480" w:lineRule="auto"/>
    </w:pPr>
  </w:style>
  <w:style w:type="paragraph" w:styleId="648">
    <w:name w:val="Основной текст 21"/>
    <w:basedOn w:val="621"/>
    <w:next w:val="648"/>
    <w:link w:val="621"/>
    <w:pPr>
      <w:spacing w:before="0" w:after="120" w:line="480" w:lineRule="auto"/>
    </w:pPr>
  </w:style>
  <w:style w:type="paragraph" w:styleId="649">
    <w:name w:val="Верхний колонтитул"/>
    <w:basedOn w:val="621"/>
    <w:next w:val="649"/>
    <w:link w:val="621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650">
    <w:name w:val="Содержимое таблицы"/>
    <w:basedOn w:val="621"/>
    <w:next w:val="650"/>
    <w:link w:val="621"/>
    <w:pPr>
      <w:suppressLineNumbers/>
    </w:pPr>
  </w:style>
  <w:style w:type="paragraph" w:styleId="651">
    <w:name w:val="Заголовок таблицы"/>
    <w:basedOn w:val="650"/>
    <w:next w:val="651"/>
    <w:link w:val="621"/>
    <w:pPr>
      <w:jc w:val="center"/>
      <w:suppressLineNumbers/>
    </w:pPr>
    <w:rPr>
      <w:b/>
      <w:bCs/>
    </w:rPr>
  </w:style>
  <w:style w:type="character" w:styleId="836" w:default="1">
    <w:name w:val="Default Paragraph Font"/>
    <w:uiPriority w:val="1"/>
    <w:semiHidden/>
    <w:unhideWhenUsed/>
  </w:style>
  <w:style w:type="numbering" w:styleId="837" w:default="1">
    <w:name w:val="No List"/>
    <w:uiPriority w:val="99"/>
    <w:semiHidden/>
    <w:unhideWhenUsed/>
  </w:style>
  <w:style w:type="table" w:styleId="83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инспекторы</dc:creator>
  <cp:revision>3</cp:revision>
  <dcterms:created xsi:type="dcterms:W3CDTF">2013-10-30T00:15:00Z</dcterms:created>
  <dcterms:modified xsi:type="dcterms:W3CDTF">2026-03-19T23:57:45Z</dcterms:modified>
  <cp:version>1048576</cp:version>
</cp:coreProperties>
</file>