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664"/>
        <w:jc w:val="both"/>
        <w:spacing w:after="0" w:line="240" w:lineRule="auto"/>
        <w:rPr>
          <w:rFonts w:ascii="Times New Roman" w:hAnsi="Times New Roman"/>
          <w:bCs/>
        </w:rPr>
      </w:pPr>
      <w:r/>
      <w:bookmarkStart w:id="0" w:name="_Hlk94724278"/>
      <w:r>
        <w:rPr>
          <w:rFonts w:ascii="Times New Roman" w:hAnsi="Times New Roman"/>
          <w:bCs/>
        </w:rPr>
        <w:t xml:space="preserve">Приложение № _</w:t>
      </w:r>
      <w:r>
        <w:rPr>
          <w:rFonts w:ascii="Times New Roman" w:hAnsi="Times New Roman"/>
          <w:bCs/>
        </w:rPr>
        <w:t xml:space="preserve">1</w:t>
      </w:r>
      <w:r>
        <w:rPr>
          <w:rFonts w:ascii="Times New Roman" w:hAnsi="Times New Roman"/>
          <w:bCs/>
        </w:rPr>
        <w:t xml:space="preserve">_ к проекту контракта</w:t>
      </w:r>
      <w:r>
        <w:rPr>
          <w:rFonts w:ascii="Times New Roman" w:hAnsi="Times New Roman"/>
          <w:bCs/>
          <w:color w:val="000000"/>
        </w:rPr>
        <w:t xml:space="preserve"> на закупки товара, работы, услуги</w:t>
      </w:r>
      <w:bookmarkEnd w:id="0"/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РАСЧЁТ И ОБОСНОВАНИЕ НАЧАЛЬНОЙ ЦЕНЫ ЕДИНИЦЫ ТОВАРА, РАБОТЫ, УСЛУГИ, МАКСИМАЛЬНОГО ЗНАЧЕНИЯ ЦЕНЫ КОНТРАКТА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ind w:left="2832" w:firstLine="708"/>
        <w:jc w:val="center"/>
        <w:spacing w:after="0" w:line="240" w:lineRule="auto"/>
        <w:rPr>
          <w:rFonts w:ascii="Times New Roman" w:hAnsi="Times New Roman"/>
          <w:b/>
          <w:sz w:val="28"/>
          <w:szCs w:val="23"/>
        </w:rPr>
      </w:pPr>
      <w:r>
        <w:rPr>
          <w:rFonts w:ascii="Times New Roman" w:hAnsi="Times New Roman"/>
          <w:b/>
          <w:sz w:val="28"/>
          <w:szCs w:val="23"/>
        </w:rPr>
      </w:r>
      <w:r>
        <w:rPr>
          <w:rFonts w:ascii="Times New Roman" w:hAnsi="Times New Roman"/>
          <w:b/>
          <w:sz w:val="28"/>
          <w:szCs w:val="23"/>
        </w:rPr>
      </w:r>
      <w:r>
        <w:rPr>
          <w:rFonts w:ascii="Times New Roman" w:hAnsi="Times New Roman"/>
          <w:b/>
          <w:sz w:val="28"/>
          <w:szCs w:val="23"/>
        </w:rPr>
      </w:r>
    </w:p>
    <w:p>
      <w:pPr>
        <w:pStyle w:val="871"/>
        <w:numPr>
          <w:ilvl w:val="0"/>
          <w:numId w:val="1"/>
        </w:numPr>
        <w:ind w:left="0" w:firstLine="709"/>
        <w:jc w:val="both"/>
        <w:spacing w:after="0" w:line="240" w:lineRule="auto"/>
        <w:rPr>
          <w:rFonts w:ascii="Times New Roman" w:hAnsi="Times New Roman" w:eastAsia="Calibri"/>
          <w:lang w:eastAsia="en-US"/>
        </w:rPr>
      </w:pPr>
      <w:r>
        <w:rPr>
          <w:rFonts w:ascii="Times New Roman" w:hAnsi="Times New Roman" w:eastAsia="Calibri"/>
          <w:lang w:eastAsia="en-US"/>
        </w:rPr>
        <w:t xml:space="preserve">В соответствии с положениями статьи 22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и Приказа Минэкономразвития России от 02.10.2013 № 567 «О</w:t>
      </w:r>
      <w:r>
        <w:rPr>
          <w:rFonts w:ascii="Times New Roman" w:hAnsi="Times New Roman" w:eastAsia="Calibri"/>
          <w:lang w:eastAsia="en-US"/>
        </w:rPr>
        <w:t xml:space="preserve">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 для установления начальной (максимальной) цены контракта</w:t>
      </w:r>
      <w:r>
        <w:rPr>
          <w:rFonts w:ascii="Times New Roman" w:hAnsi="Times New Roman" w:eastAsia="Calibri"/>
          <w:lang w:eastAsia="en-US"/>
        </w:rPr>
        <w:t xml:space="preserve"> на</w:t>
      </w:r>
      <w:bookmarkStart w:id="1" w:name="_Hlk74148254"/>
      <w:r>
        <w:rPr>
          <w:rFonts w:ascii="Times New Roman" w:hAnsi="Times New Roman" w:eastAsia="Calibri"/>
          <w:lang w:eastAsia="en-US"/>
        </w:rPr>
        <w:t xml:space="preserve"> </w:t>
      </w:r>
      <w:r>
        <w:rPr>
          <w:rFonts w:ascii="Times New Roman" w:hAnsi="Times New Roman"/>
          <w:lang w:eastAsia="ru-RU"/>
        </w:rPr>
        <w:t xml:space="preserve">оказание услуг по уборке помещений в здании</w:t>
      </w:r>
      <w:r>
        <w:rPr>
          <w:rFonts w:ascii="Times New Roman" w:hAnsi="Times New Roman"/>
          <w:lang w:eastAsia="ru-RU"/>
        </w:rPr>
        <w:t xml:space="preserve"> </w:t>
      </w:r>
      <w:bookmarkEnd w:id="1"/>
      <w:r>
        <w:rPr>
          <w:rFonts w:ascii="Times New Roman" w:hAnsi="Times New Roman" w:eastAsia="Calibri"/>
          <w:lang w:eastAsia="en-US"/>
        </w:rPr>
        <w:t xml:space="preserve">для обеспечения нужд </w:t>
      </w:r>
      <w:r>
        <w:rPr>
          <w:rFonts w:ascii="Times New Roman" w:hAnsi="Times New Roman"/>
          <w:bCs/>
        </w:rPr>
        <w:t xml:space="preserve">Южного территориального управления Федерального агентства железнодорожного транспорта</w:t>
      </w:r>
      <w:r>
        <w:rPr>
          <w:rFonts w:ascii="Times New Roman" w:hAnsi="Times New Roman" w:eastAsia="Calibri"/>
          <w:lang w:eastAsia="en-US"/>
        </w:rPr>
        <w:t xml:space="preserve"> был выполнен следующий расчет</w:t>
      </w:r>
      <w:r>
        <w:rPr>
          <w:rStyle w:val="868"/>
          <w:rFonts w:ascii="Times New Roman" w:hAnsi="Times New Roman" w:eastAsia="Calibri"/>
          <w:lang w:eastAsia="en-US"/>
        </w:rPr>
        <w:footnoteReference w:id="2"/>
      </w:r>
      <w:r>
        <w:rPr>
          <w:rFonts w:ascii="Times New Roman" w:hAnsi="Times New Roman" w:eastAsia="Calibri"/>
          <w:lang w:eastAsia="en-US"/>
        </w:rPr>
        <w:t xml:space="preserve">.</w:t>
      </w:r>
      <w:r>
        <w:rPr>
          <w:rFonts w:ascii="Times New Roman" w:hAnsi="Times New Roman" w:eastAsia="Calibri"/>
          <w:lang w:eastAsia="en-US"/>
        </w:rPr>
      </w:r>
      <w:r>
        <w:rPr>
          <w:rFonts w:ascii="Times New Roman" w:hAnsi="Times New Roman" w:eastAsia="Calibri"/>
          <w:lang w:eastAsia="en-US"/>
        </w:rPr>
      </w:r>
    </w:p>
    <w:p>
      <w:pPr>
        <w:pStyle w:val="871"/>
        <w:numPr>
          <w:ilvl w:val="0"/>
          <w:numId w:val="1"/>
        </w:numPr>
        <w:jc w:val="both"/>
        <w:spacing w:after="0" w:line="240" w:lineRule="auto"/>
        <w:widowControl w:val="off"/>
        <w:rPr>
          <w:rFonts w:ascii="Times New Roman" w:hAnsi="Times New Roman" w:eastAsia="Calibri"/>
          <w:bCs/>
          <w:highlight w:val="white"/>
        </w:rPr>
      </w:pPr>
      <w:r>
        <w:rPr>
          <w:rFonts w:ascii="Times New Roman" w:hAnsi="Times New Roman" w:eastAsia="Calibri"/>
          <w:bCs/>
          <w:highlight w:val="white"/>
          <w:lang w:eastAsia="en-US"/>
        </w:rPr>
        <w:t xml:space="preserve">Начальная (максимальная) цена контракта </w:t>
      </w:r>
      <w:r>
        <w:rPr>
          <w:rStyle w:val="869"/>
          <w:rFonts w:ascii="Times New Roman" w:hAnsi="Times New Roman"/>
          <w:highlight w:val="white"/>
        </w:rPr>
        <w:t xml:space="preserve">178 464,00</w:t>
      </w:r>
      <w:r>
        <w:rPr>
          <w:rStyle w:val="869"/>
          <w:rFonts w:ascii="Times New Roman" w:hAnsi="Times New Roman"/>
          <w:highlight w:val="white"/>
        </w:rPr>
        <w:t xml:space="preserve"> </w:t>
      </w:r>
      <w:r>
        <w:rPr>
          <w:rFonts w:ascii="Times New Roman" w:hAnsi="Times New Roman" w:eastAsia="Calibri"/>
          <w:highlight w:val="white"/>
          <w:lang w:eastAsia="en-US"/>
        </w:rPr>
        <w:t xml:space="preserve">руб.</w:t>
      </w:r>
      <w:r>
        <w:rPr>
          <w:rFonts w:ascii="Times New Roman" w:hAnsi="Times New Roman"/>
          <w:highlight w:val="white"/>
          <w:lang w:eastAsia="ru-RU"/>
        </w:rPr>
        <w:t xml:space="preserve"> (</w:t>
      </w:r>
      <w:r>
        <w:rPr>
          <w:rFonts w:ascii="Times New Roman" w:hAnsi="Times New Roman"/>
          <w:highlight w:val="white"/>
        </w:rPr>
        <w:t xml:space="preserve">Сто семьдесят восемь тысяч четыреста шестьдесят четыре рубля 00 копеек.</w:t>
      </w:r>
      <w:r>
        <w:rPr>
          <w:rFonts w:ascii="Times New Roman" w:hAnsi="Times New Roman"/>
          <w:highlight w:val="white"/>
          <w:lang w:eastAsia="ru-RU"/>
        </w:rPr>
        <w:t xml:space="preserve">)</w:t>
      </w:r>
      <w:r>
        <w:rPr>
          <w:rFonts w:ascii="Times New Roman" w:hAnsi="Times New Roman" w:eastAsia="Calibri"/>
          <w:bCs/>
          <w:highlight w:val="white"/>
          <w:lang w:eastAsia="en-US"/>
        </w:rPr>
        <w:t xml:space="preserve">.</w:t>
      </w:r>
      <w:r>
        <w:rPr>
          <w:rFonts w:ascii="Times New Roman" w:hAnsi="Times New Roman" w:eastAsia="Calibri"/>
          <w:bCs/>
          <w:highlight w:val="white"/>
        </w:rPr>
      </w:r>
      <w:r>
        <w:rPr>
          <w:rFonts w:ascii="Times New Roman" w:hAnsi="Times New Roman" w:eastAsia="Calibri"/>
          <w:bCs/>
          <w:highlight w:val="white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Цена контракта включает в себя все расходы </w:t>
      </w:r>
      <w:r>
        <w:rPr>
          <w:rFonts w:ascii="Times New Roman" w:hAnsi="Times New Roman"/>
        </w:rPr>
        <w:t xml:space="preserve">Поставщика (Подрядчика, </w:t>
      </w:r>
      <w:r>
        <w:rPr>
          <w:rFonts w:ascii="Times New Roman" w:hAnsi="Times New Roman"/>
        </w:rPr>
        <w:t xml:space="preserve">Исполнителя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, необходимые для выполнения своих обязательств по </w:t>
      </w:r>
      <w:r>
        <w:rPr>
          <w:rFonts w:ascii="Times New Roman" w:hAnsi="Times New Roman"/>
        </w:rPr>
        <w:t xml:space="preserve">к</w:t>
      </w:r>
      <w:r>
        <w:rPr>
          <w:rFonts w:ascii="Times New Roman" w:hAnsi="Times New Roman"/>
        </w:rPr>
        <w:t xml:space="preserve">онтракту, а также налоги, сборы, пошлины и другие обязательные платежи, которые Исполнитель должен оплачивать в соответствии с условиями </w:t>
      </w:r>
      <w:r>
        <w:rPr>
          <w:rFonts w:ascii="Times New Roman" w:hAnsi="Times New Roman"/>
        </w:rPr>
        <w:t xml:space="preserve">к</w:t>
      </w:r>
      <w:r>
        <w:rPr>
          <w:rFonts w:ascii="Times New Roman" w:hAnsi="Times New Roman"/>
        </w:rPr>
        <w:t xml:space="preserve">онтракта.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60"/>
        <w:ind w:left="0" w:firstLine="567"/>
        <w:spacing w:after="0" w:line="240" w:lineRule="auto"/>
        <w:rPr>
          <w:rFonts w:ascii="Times New Roman" w:hAnsi="Times New Roman"/>
          <w:b/>
          <w:sz w:val="22"/>
          <w:szCs w:val="22"/>
          <w:lang w:val="ru-RU"/>
        </w:rPr>
      </w:pPr>
      <w:r>
        <w:rPr>
          <w:rFonts w:ascii="Times New Roman" w:hAnsi="Times New Roman"/>
          <w:b/>
          <w:sz w:val="22"/>
          <w:szCs w:val="22"/>
          <w:lang w:val="ru-RU"/>
        </w:rPr>
        <w:t xml:space="preserve">Информация о валюте, используемой для формирования цены контракта и расчетов с Исполнителями.</w:t>
      </w:r>
      <w:r>
        <w:rPr>
          <w:rFonts w:ascii="Times New Roman" w:hAnsi="Times New Roman"/>
          <w:b/>
          <w:sz w:val="22"/>
          <w:szCs w:val="22"/>
          <w:lang w:val="ru-RU"/>
        </w:rPr>
      </w:r>
      <w:r>
        <w:rPr>
          <w:rFonts w:ascii="Times New Roman" w:hAnsi="Times New Roman"/>
          <w:b/>
          <w:sz w:val="22"/>
          <w:szCs w:val="22"/>
          <w:lang w:val="ru-RU"/>
        </w:rPr>
      </w:r>
    </w:p>
    <w:p>
      <w:pPr>
        <w:pStyle w:val="859"/>
        <w:ind w:firstLine="567"/>
        <w:jc w:val="both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Валютой контракта является рубль Российской Федерации.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контракта.</w:t>
      </w:r>
      <w:r>
        <w:rPr>
          <w:rFonts w:ascii="Times New Roman" w:hAnsi="Times New Roman"/>
          <w:b/>
        </w:rPr>
      </w:r>
      <w:r>
        <w:rPr>
          <w:rFonts w:ascii="Times New Roman" w:hAnsi="Times New Roman"/>
          <w:b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Не применяется.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 w:eastAsia="Calibri"/>
          <w:sz w:val="20"/>
          <w:szCs w:val="20"/>
          <w:lang w:eastAsia="en-US"/>
        </w:rPr>
      </w:pPr>
      <w:r>
        <w:rPr>
          <w:rFonts w:ascii="Times New Roman" w:hAnsi="Times New Roman" w:eastAsia="Calibri"/>
          <w:sz w:val="20"/>
          <w:szCs w:val="20"/>
          <w:lang w:eastAsia="en-US"/>
        </w:rPr>
      </w:r>
      <w:r>
        <w:rPr>
          <w:rFonts w:ascii="Times New Roman" w:hAnsi="Times New Roman" w:eastAsia="Calibri"/>
          <w:sz w:val="20"/>
          <w:szCs w:val="20"/>
          <w:lang w:eastAsia="en-US"/>
        </w:rPr>
      </w:r>
      <w:r>
        <w:rPr>
          <w:rFonts w:ascii="Times New Roman" w:hAnsi="Times New Roman" w:eastAsia="Calibri"/>
          <w:sz w:val="20"/>
          <w:szCs w:val="20"/>
          <w:lang w:eastAsia="en-US"/>
        </w:rPr>
      </w:r>
    </w:p>
    <w:p>
      <w:pPr>
        <w:ind w:firstLine="709"/>
        <w:jc w:val="both"/>
        <w:spacing w:after="0" w:line="240" w:lineRule="auto"/>
        <w:widowControl w:val="of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целях определения однородности совокупности значений выявленных цен, используемых в </w:t>
      </w:r>
      <w:r>
        <w:rPr>
          <w:rFonts w:ascii="Times New Roman" w:hAnsi="Times New Roman"/>
        </w:rPr>
        <w:t xml:space="preserve">расчете Н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М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ЦК </w:t>
      </w:r>
      <w:r>
        <w:rPr>
          <w:rFonts w:ascii="Times New Roman" w:hAnsi="Times New Roman"/>
        </w:rPr>
        <w:t xml:space="preserve">/ </w:t>
      </w:r>
      <w:r>
        <w:rPr>
          <w:rFonts w:ascii="Times New Roman" w:hAnsi="Times New Roman"/>
          <w:color w:val="000000"/>
        </w:rPr>
        <w:t xml:space="preserve">начальной </w:t>
      </w:r>
      <w:r>
        <w:rPr>
          <w:rStyle w:val="870"/>
          <w:rFonts w:ascii="Times New Roman" w:hAnsi="Times New Roman"/>
          <w:i w:val="0"/>
          <w:iCs w:val="0"/>
          <w:color w:val="000000"/>
        </w:rPr>
        <w:t xml:space="preserve">сумм</w:t>
      </w:r>
      <w:r>
        <w:rPr>
          <w:rStyle w:val="870"/>
          <w:rFonts w:ascii="Times New Roman" w:hAnsi="Times New Roman"/>
          <w:i w:val="0"/>
          <w:iCs w:val="0"/>
          <w:color w:val="000000"/>
        </w:rPr>
        <w:t xml:space="preserve">ы</w:t>
      </w:r>
      <w:r>
        <w:rPr>
          <w:rStyle w:val="870"/>
          <w:rFonts w:ascii="Times New Roman" w:hAnsi="Times New Roman"/>
          <w:i w:val="0"/>
          <w:iCs w:val="0"/>
          <w:color w:val="000000"/>
        </w:rPr>
        <w:t xml:space="preserve"> цен единиц</w:t>
      </w:r>
      <w:r>
        <w:rPr>
          <w:rFonts w:ascii="Times New Roman" w:hAnsi="Times New Roman"/>
          <w:color w:val="000000"/>
        </w:rPr>
        <w:t xml:space="preserve"> товара, работы, услуги</w:t>
      </w:r>
      <w:r>
        <w:rPr>
          <w:rFonts w:ascii="Times New Roman" w:hAnsi="Times New Roman"/>
          <w:color w:val="000000"/>
        </w:rPr>
        <w:t xml:space="preserve">(НСЦТРУ) </w:t>
      </w:r>
      <w:r>
        <w:rPr>
          <w:rFonts w:ascii="Times New Roman" w:hAnsi="Times New Roman"/>
        </w:rPr>
        <w:t xml:space="preserve">определяем </w:t>
      </w:r>
      <w:r>
        <w:rPr>
          <w:rFonts w:ascii="Times New Roman" w:hAnsi="Times New Roman"/>
        </w:rPr>
        <w:t xml:space="preserve">коэффициент вариации. Коэффициент вариации цены определяется по следующей формуле: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539"/>
        <w:jc w:val="both"/>
        <w:spacing w:after="0" w:line="240" w:lineRule="auto"/>
        <w:widowControl w:val="off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10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112520" cy="172720"/>
                <wp:effectExtent l="0" t="0" r="0" b="0"/>
                <wp:docPr id="1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112520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87.60pt;height:13.60pt;mso-wrap-distance-left:0.00pt;mso-wrap-distance-top:0.00pt;mso-wrap-distance-right:0.00pt;mso-wrap-distance-bottom:0.00pt;" stroked="f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,  где V - коэффициент вариации;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26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302385" cy="466090"/>
                <wp:effectExtent l="0" t="0" r="0" b="0"/>
                <wp:docPr id="2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302385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102.55pt;height:36.70pt;mso-wrap-distance-left:0.00pt;mso-wrap-distance-top:0.00pt;mso-wrap-distance-right:0.00pt;mso-wrap-distance-bottom:0.00pt;" stroked="f">
                <v:path textboxrect="0,0,0,0"/>
                <v:imagedata r:id="rId11" o:title="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- среднее квадратичное отклонение;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12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63830" cy="250190"/>
                <wp:effectExtent l="0" t="0" r="762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163830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12.90pt;height:19.70pt;mso-wrap-distance-left:0.00pt;mso-wrap-distance-top:0.00pt;mso-wrap-distance-right:0.00pt;mso-wrap-distance-bottom:0.00pt;" stroked="f">
                <v:path textboxrect="0,0,0,0"/>
                <v:imagedata r:id="rId12" o:title="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- цена единицы товара, работы, услуги, указанная в источнике с номером i;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&lt;ц&gt; - средняя арифметическая величина цены единицы товара, работы, услуги;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 - количество значений, используемых в расчете.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Н</w:t>
      </w:r>
      <w:r>
        <w:rPr>
          <w:rFonts w:ascii="Times New Roman" w:hAnsi="Times New Roman"/>
        </w:rPr>
        <w:t xml:space="preserve">(</w:t>
      </w:r>
      <w:r>
        <w:rPr>
          <w:rFonts w:ascii="Times New Roman" w:hAnsi="Times New Roman"/>
        </w:rPr>
        <w:t xml:space="preserve">М</w:t>
      </w:r>
      <w:r>
        <w:rPr>
          <w:rFonts w:ascii="Times New Roman" w:hAnsi="Times New Roman"/>
        </w:rPr>
        <w:t xml:space="preserve">)</w:t>
      </w:r>
      <w:r>
        <w:rPr>
          <w:rFonts w:ascii="Times New Roman" w:hAnsi="Times New Roman"/>
        </w:rPr>
        <w:t xml:space="preserve">ЦК </w:t>
      </w:r>
      <w:r>
        <w:rPr>
          <w:rFonts w:ascii="Times New Roman" w:hAnsi="Times New Roman"/>
        </w:rPr>
        <w:t xml:space="preserve">/ НСЦ</w:t>
      </w:r>
      <w:r>
        <w:rPr>
          <w:rFonts w:ascii="Times New Roman" w:hAnsi="Times New Roman"/>
        </w:rPr>
        <w:t xml:space="preserve">ТРУ </w:t>
      </w:r>
      <w:r>
        <w:rPr>
          <w:rFonts w:ascii="Times New Roman" w:hAnsi="Times New Roman"/>
        </w:rPr>
        <w:t xml:space="preserve">определена методом сопоставимых рыночных цен (анализа рынка) в соответствии с Методическими рекомендациями по формуле: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position w:val="-14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1578610" cy="241300"/>
                <wp:effectExtent l="0" t="0" r="2540" b="6350"/>
                <wp:docPr id="4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4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157861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124.30pt;height:19.00pt;mso-wrap-distance-left:0.00pt;mso-wrap-distance-top:0.00pt;mso-wrap-distance-right:0.00pt;mso-wrap-distance-bottom:0.00pt;" stroked="f">
                <v:path textboxrect="0,0,0,0"/>
                <v:imagedata r:id="rId13" o:title="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,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где </w:t>
      </w:r>
      <w:r>
        <w:rPr>
          <w:rFonts w:ascii="Times New Roman" w:hAnsi="Times New Roman"/>
          <w:position w:val="-10"/>
          <w:sz w:val="20"/>
          <w:szCs w:val="20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577850" cy="207010"/>
                <wp:effectExtent l="0" t="0" r="0" b="2540"/>
                <wp:docPr id="5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577849" cy="207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5.50pt;height:16.30pt;mso-wrap-distance-left:0.00pt;mso-wrap-distance-top:0.00pt;mso-wrap-distance-right:0.00pt;mso-wrap-distance-bottom:0.00pt;" stroked="f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- НМЦК, определяемая методом сопоставимых рыночных цен (анализа рынка);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v - количество (объем) закупаемого товара (работы, услуги);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 - количество значений, используемых в расчете - 3;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67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i</w:t>
      </w:r>
      <w:r>
        <w:rPr>
          <w:rFonts w:ascii="Times New Roman" w:hAnsi="Times New Roman"/>
          <w:sz w:val="20"/>
          <w:szCs w:val="20"/>
        </w:rPr>
        <w:t xml:space="preserve"> - номер источника ценовой информации;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40"/>
        <w:jc w:val="both"/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323850</wp:posOffset>
                </wp:positionH>
                <wp:positionV relativeFrom="paragraph">
                  <wp:posOffset>8890</wp:posOffset>
                </wp:positionV>
                <wp:extent cx="152400" cy="175260"/>
                <wp:effectExtent l="0" t="0" r="0" b="0"/>
                <wp:wrapTight wrapText="bothSides">
                  <wp:wrapPolygon edited="1">
                    <wp:start x="0" y="0"/>
                    <wp:lineTo x="0" y="18783"/>
                    <wp:lineTo x="18900" y="18783"/>
                    <wp:lineTo x="18900" y="0"/>
                    <wp:lineTo x="0" y="0"/>
                  </wp:wrapPolygon>
                </wp:wrapTight>
                <wp:docPr id="6" name="Рисунок 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6"/>
                        <pic:cNvPicPr>
                          <a:picLocks noChangeArrowheads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152400" cy="175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-251659264;o:allowoverlap:true;o:allowincell:true;mso-position-horizontal-relative:text;margin-left:25.50pt;mso-position-horizontal:absolute;mso-position-vertical-relative:text;margin-top:0.70pt;mso-position-vertical:absolute;width:12.00pt;height:13.80pt;mso-wrap-distance-left:9.00pt;mso-wrap-distance-top:0.00pt;mso-wrap-distance-right:9.00pt;mso-wrap-distance-bottom:0.00pt;" wrapcoords="0 0 0 86958 87500 86958 87500 0 0 0" stroked="false">
                <v:path textboxrect="0,0,0,0"/>
                <w10:wrap type="tight"/>
                <v:imagedata r:id="rId15" o:title=""/>
              </v:shape>
            </w:pict>
          </mc:Fallback>
        </mc:AlternateContent>
      </w:r>
      <w:r>
        <w:rPr>
          <w:rFonts w:ascii="Times New Roman" w:hAnsi="Times New Roman"/>
          <w:sz w:val="20"/>
          <w:szCs w:val="20"/>
        </w:rPr>
        <w:t xml:space="preserve"> - цена единицы товара, работы, услуги, представленная в источнике с номером i.</w:t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709"/>
        <w:jc w:val="both"/>
        <w:spacing w:after="0" w:line="240" w:lineRule="auto"/>
        <w:tabs>
          <w:tab w:val="left" w:pos="7350" w:leader="none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  <w:r>
        <w:rPr>
          <w:rFonts w:ascii="Times New Roman" w:hAnsi="Times New Roman"/>
          <w:sz w:val="20"/>
          <w:szCs w:val="20"/>
        </w:rPr>
      </w:r>
    </w:p>
    <w:p>
      <w:pPr>
        <w:ind w:firstLine="567"/>
        <w:jc w:val="both"/>
        <w:spacing w:after="0" w:line="240" w:lineRule="auto"/>
        <w:tabs>
          <w:tab w:val="left" w:pos="735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3.Метод сопоставления рыночных цен (анализа рынка), на основании поступивших предложений: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567"/>
        <w:jc w:val="both"/>
        <w:spacing w:after="0" w:line="240" w:lineRule="auto"/>
        <w:tabs>
          <w:tab w:val="left" w:pos="735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</w:t>
      </w:r>
      <w:r>
        <w:rPr>
          <w:rFonts w:ascii="Times New Roman" w:hAnsi="Times New Roman"/>
        </w:rPr>
        <w:t xml:space="preserve">целях проведения анализа рынка </w:t>
      </w:r>
      <w:r>
        <w:rPr>
          <w:rFonts w:ascii="Times New Roman" w:hAnsi="Times New Roman"/>
          <w:color w:val="000000"/>
          <w:lang w:eastAsia="ru-RU"/>
        </w:rPr>
        <w:t xml:space="preserve">5</w:t>
      </w:r>
      <w:r>
        <w:rPr>
          <w:rFonts w:ascii="Times New Roman" w:hAnsi="Times New Roman"/>
        </w:rPr>
        <w:t xml:space="preserve"> потенциальным</w:t>
      </w:r>
      <w:r>
        <w:rPr>
          <w:rFonts w:ascii="Times New Roman" w:hAnsi="Times New Roman"/>
          <w:color w:val="000000"/>
          <w:lang w:eastAsia="ru-RU"/>
        </w:rPr>
        <w:t xml:space="preserve"> поставщикам </w:t>
      </w:r>
      <w:r>
        <w:rPr>
          <w:rFonts w:ascii="Times New Roman" w:hAnsi="Times New Roman"/>
        </w:rPr>
        <w:t xml:space="preserve">(подрядчикам, исполнителям)</w:t>
      </w:r>
      <w:r>
        <w:rPr>
          <w:rFonts w:ascii="Times New Roman" w:hAnsi="Times New Roman"/>
          <w:color w:val="000000"/>
          <w:lang w:eastAsia="ru-RU"/>
        </w:rPr>
        <w:t xml:space="preserve"> направлены</w:t>
      </w:r>
      <w:r>
        <w:rPr>
          <w:rFonts w:ascii="Times New Roman" w:hAnsi="Times New Roman"/>
        </w:rPr>
        <w:t xml:space="preserve"> запросы о предоставлении ценовой информации, в ответ получены 3 коммерческих предложения: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567"/>
        <w:jc w:val="both"/>
        <w:spacing w:after="0" w:line="240" w:lineRule="auto"/>
        <w:tabs>
          <w:tab w:val="left" w:pos="7350" w:leader="none"/>
        </w:tabs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ind w:firstLine="567"/>
        <w:spacing w:after="0" w:line="240" w:lineRule="auto"/>
        <w:tabs>
          <w:tab w:val="left" w:pos="7350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1) Источник 1: </w:t>
      </w:r>
      <w:r>
        <w:rPr>
          <w:rFonts w:ascii="Times New Roman" w:hAnsi="Times New Roman"/>
          <w:highlight w:val="white"/>
        </w:rPr>
        <w:t xml:space="preserve">ВХ-02.2-1</w:t>
      </w:r>
      <w:r>
        <w:rPr>
          <w:rFonts w:ascii="Times New Roman" w:hAnsi="Times New Roman"/>
          <w:highlight w:val="white"/>
        </w:rPr>
        <w:t xml:space="preserve">9</w:t>
      </w:r>
      <w:r>
        <w:rPr>
          <w:rFonts w:ascii="Times New Roman" w:hAnsi="Times New Roman"/>
          <w:highlight w:val="white"/>
        </w:rPr>
        <w:t xml:space="preserve">-</w:t>
      </w:r>
      <w:r>
        <w:rPr>
          <w:rFonts w:ascii="Times New Roman" w:hAnsi="Times New Roman"/>
          <w:highlight w:val="white"/>
        </w:rPr>
        <w:t xml:space="preserve">140</w:t>
      </w:r>
      <w:r>
        <w:rPr>
          <w:rFonts w:ascii="Times New Roman" w:hAnsi="Times New Roman"/>
          <w:highlight w:val="white"/>
        </w:rPr>
        <w:t xml:space="preserve">-Ю</w:t>
      </w:r>
      <w:r>
        <w:rPr>
          <w:rFonts w:ascii="Times New Roman" w:hAnsi="Times New Roman"/>
          <w:highlight w:val="white"/>
        </w:rPr>
        <w:t xml:space="preserve"> от 10.08.2026г.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ind w:firstLine="567"/>
        <w:spacing w:after="0" w:line="240" w:lineRule="auto"/>
        <w:tabs>
          <w:tab w:val="left" w:pos="7350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2) Источник 2: </w:t>
      </w:r>
      <w:r>
        <w:rPr>
          <w:rFonts w:ascii="Times New Roman" w:hAnsi="Times New Roman"/>
          <w:highlight w:val="white"/>
        </w:rPr>
        <w:t xml:space="preserve">ВХ-02.2-1</w:t>
      </w:r>
      <w:r>
        <w:rPr>
          <w:rFonts w:ascii="Times New Roman" w:hAnsi="Times New Roman"/>
          <w:highlight w:val="white"/>
        </w:rPr>
        <w:t xml:space="preserve">9</w:t>
      </w:r>
      <w:r>
        <w:rPr>
          <w:rFonts w:ascii="Times New Roman" w:hAnsi="Times New Roman"/>
          <w:highlight w:val="white"/>
        </w:rPr>
        <w:t xml:space="preserve">-</w:t>
      </w:r>
      <w:r>
        <w:rPr>
          <w:rFonts w:ascii="Times New Roman" w:hAnsi="Times New Roman"/>
          <w:highlight w:val="white"/>
        </w:rPr>
        <w:t xml:space="preserve">139</w:t>
      </w:r>
      <w:r>
        <w:rPr>
          <w:rFonts w:ascii="Times New Roman" w:hAnsi="Times New Roman"/>
          <w:highlight w:val="white"/>
        </w:rPr>
        <w:t xml:space="preserve">-Ю от </w:t>
      </w:r>
      <w:r>
        <w:rPr>
          <w:rFonts w:ascii="Times New Roman" w:hAnsi="Times New Roman"/>
          <w:highlight w:val="white"/>
        </w:rPr>
        <w:t xml:space="preserve">10.08.2026г</w:t>
      </w:r>
      <w:r>
        <w:rPr>
          <w:rFonts w:ascii="Times New Roman" w:hAnsi="Times New Roman"/>
          <w:highlight w:val="white"/>
        </w:rPr>
        <w:t xml:space="preserve">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ind w:firstLine="567"/>
        <w:spacing w:after="0" w:line="240" w:lineRule="auto"/>
        <w:tabs>
          <w:tab w:val="left" w:pos="7350" w:leader="none"/>
        </w:tabs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3) Источник 3: </w:t>
      </w:r>
      <w:r>
        <w:rPr>
          <w:rFonts w:ascii="Times New Roman" w:hAnsi="Times New Roman"/>
          <w:highlight w:val="white"/>
        </w:rPr>
        <w:t xml:space="preserve">ВХ-02.2-1</w:t>
      </w:r>
      <w:r>
        <w:rPr>
          <w:rFonts w:ascii="Times New Roman" w:hAnsi="Times New Roman"/>
          <w:highlight w:val="white"/>
        </w:rPr>
        <w:t xml:space="preserve">9</w:t>
      </w:r>
      <w:r>
        <w:rPr>
          <w:rFonts w:ascii="Times New Roman" w:hAnsi="Times New Roman"/>
          <w:highlight w:val="white"/>
        </w:rPr>
        <w:t xml:space="preserve">-</w:t>
      </w:r>
      <w:r>
        <w:rPr>
          <w:rFonts w:ascii="Times New Roman" w:hAnsi="Times New Roman"/>
          <w:highlight w:val="white"/>
        </w:rPr>
        <w:t xml:space="preserve">138</w:t>
      </w:r>
      <w:r>
        <w:rPr>
          <w:rFonts w:ascii="Times New Roman" w:hAnsi="Times New Roman"/>
          <w:highlight w:val="white"/>
        </w:rPr>
        <w:t xml:space="preserve">-Ю от </w:t>
      </w:r>
      <w:r>
        <w:rPr>
          <w:rFonts w:ascii="Times New Roman" w:hAnsi="Times New Roman"/>
          <w:highlight w:val="white"/>
        </w:rPr>
        <w:t xml:space="preserve">10.08.2026г</w:t>
      </w:r>
      <w:r>
        <w:rPr>
          <w:rFonts w:ascii="Times New Roman" w:hAnsi="Times New Roman"/>
          <w:highlight w:val="white"/>
        </w:rPr>
        <w:t xml:space="preserve">.</w:t>
      </w:r>
      <w:r>
        <w:rPr>
          <w:rFonts w:ascii="Times New Roman" w:hAnsi="Times New Roman"/>
          <w:highlight w:val="white"/>
        </w:rPr>
      </w:r>
      <w:r>
        <w:rPr>
          <w:rFonts w:ascii="Times New Roman" w:hAnsi="Times New Roman"/>
          <w:highlight w:val="white"/>
        </w:rPr>
      </w:r>
    </w:p>
    <w:p>
      <w:pPr>
        <w:ind w:firstLine="567"/>
        <w:spacing w:after="0" w:line="240" w:lineRule="auto"/>
        <w:tabs>
          <w:tab w:val="left" w:pos="7350" w:leader="none"/>
        </w:tabs>
        <w:rPr>
          <w:rFonts w:ascii="Times New Roman" w:hAnsi="Times New Roman"/>
          <w:sz w:val="20"/>
          <w:szCs w:val="20"/>
          <w:highlight w:val="yellow"/>
        </w:rPr>
      </w:pPr>
      <w:r>
        <w:rPr>
          <w:rFonts w:ascii="Times New Roman" w:hAnsi="Times New Roman"/>
          <w:sz w:val="20"/>
          <w:szCs w:val="20"/>
          <w:highlight w:val="yellow"/>
        </w:rPr>
      </w:r>
      <w:r>
        <w:rPr>
          <w:rFonts w:ascii="Times New Roman" w:hAnsi="Times New Roman"/>
          <w:sz w:val="20"/>
          <w:szCs w:val="20"/>
          <w:highlight w:val="yellow"/>
        </w:rPr>
      </w:r>
      <w:r>
        <w:rPr>
          <w:rFonts w:ascii="Times New Roman" w:hAnsi="Times New Roman"/>
          <w:sz w:val="20"/>
          <w:szCs w:val="20"/>
          <w:highlight w:val="yellow"/>
        </w:rPr>
      </w:r>
    </w:p>
    <w:tbl>
      <w:tblPr>
        <w:tblW w:w="22295" w:type="dxa"/>
        <w:tblLayout w:type="fixed"/>
        <w:tblLook w:val="04A0" w:firstRow="1" w:lastRow="0" w:firstColumn="1" w:lastColumn="0" w:noHBand="0" w:noVBand="1"/>
      </w:tblPr>
      <w:tblGrid>
        <w:gridCol w:w="95"/>
        <w:gridCol w:w="439"/>
        <w:gridCol w:w="1842"/>
        <w:gridCol w:w="851"/>
        <w:gridCol w:w="709"/>
        <w:gridCol w:w="850"/>
        <w:gridCol w:w="851"/>
        <w:gridCol w:w="992"/>
        <w:gridCol w:w="850"/>
        <w:gridCol w:w="993"/>
        <w:gridCol w:w="1134"/>
        <w:gridCol w:w="850"/>
        <w:gridCol w:w="11839"/>
      </w:tblGrid>
      <w:tr>
        <w:trPr>
          <w:gridAfter w:val="1"/>
          <w:trHeight w:val="1050"/>
        </w:trPr>
        <w:tc>
          <w:tcPr>
            <w:gridSpan w:val="2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/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п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Наименование услуги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Объем услуги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Единица измерения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Цена за ед.,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Средняя цена, руб.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Сумма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 w:val="false"/>
          </w:tcPr>
          <w:p>
            <w:pPr>
              <w:ind w:left="91" w:right="181" w:hanging="33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Сигма (среднее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квадратическое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отклонени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)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  <w:t xml:space="preserve">Коэффициент вариации, %</w:t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r>
          </w:p>
        </w:tc>
      </w:tr>
      <w:tr>
        <w:trPr>
          <w:gridAfter w:val="1"/>
          <w:trHeight w:val="315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534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4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О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казание услуг по уборке помещений в здании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42942,90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Кв.м.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5,21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5,26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000000" w:fill="ffffff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5,36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5,28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993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226738,51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134" w:type="dxa"/>
            <w:vAlign w:val="center"/>
            <w:textDirection w:val="lrTb"/>
            <w:noWrap/>
          </w:tcPr>
          <w:p>
            <w:pPr>
              <w:ind w:right="383"/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0,0700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 xml:space="preserve">1,3300</w:t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</w:r>
          </w:p>
        </w:tc>
      </w:tr>
      <w:tr>
        <w:trPr>
          <w:gridBefore w:val="1"/>
          <w:trHeight w:val="375"/>
        </w:trPr>
        <w:tc>
          <w:tcPr>
            <w:gridSpan w:val="12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2200" w:type="dxa"/>
            <w:vAlign w:val="bottom"/>
            <w:vMerge w:val="restart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Объем услуги исчисляется, как произведение площади помещений в здании на количество рабочих дней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период оказания услуги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.  Цена за единицу выражена в стоимости оказания услуги на 1 кв.м. помещения</w:t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0"/>
                <w:szCs w:val="20"/>
                <w:lang w:eastAsia="ru-RU"/>
              </w:rPr>
              <w:t xml:space="preserve">за 1 рабочий день.</w:t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r>
          </w:p>
        </w:tc>
      </w:tr>
    </w:tbl>
    <w:tbl>
      <w:tblPr>
        <w:tblStyle w:val="713"/>
        <w:tblW w:w="0" w:type="auto"/>
        <w:tblLook w:val="04A0" w:firstRow="1" w:lastRow="0" w:firstColumn="1" w:lastColumn="0" w:noHBand="0" w:noVBand="1"/>
      </w:tblPr>
      <w:tblGrid>
        <w:gridCol w:w="945"/>
        <w:gridCol w:w="2760"/>
        <w:gridCol w:w="1470"/>
        <w:gridCol w:w="1860"/>
        <w:gridCol w:w="2055"/>
        <w:gridCol w:w="1740"/>
        <w:gridCol w:w="1500"/>
        <w:gridCol w:w="1890"/>
        <w:gridCol w:w="3165"/>
        <w:gridCol w:w="2535"/>
        <w:gridCol w:w="5400"/>
      </w:tblGrid>
      <w:tr>
        <w:trPr>
          <w:trHeight w:val="315"/>
        </w:trPr>
        <w:tc>
          <w:tcPr>
            <w:gridSpan w:val="11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Mar>
              <w:left w:w="0" w:type="dxa"/>
              <w:top w:w="0" w:type="dxa"/>
              <w:right w:w="0" w:type="dxa"/>
              <w:bottom w:w="0" w:type="dxa"/>
            </w:tcMar>
            <w:tcW w:w="25320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ff0000"/>
                <w:sz w:val="28"/>
                <w:u w:val="none"/>
                <w:vertAlign w:val="baseline"/>
              </w:rPr>
              <w:t xml:space="preserve">НМЦК приводится к доведенным</w:t>
            </w: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ff0000"/>
                <w:sz w:val="28"/>
                <w:u w:val="none"/>
                <w:vertAlign w:val="baseline"/>
              </w:rPr>
              <w:t xml:space="preserve"> лимитам бюджетных обязательств (снижена до размера доведенных до заказчика лимитов бюджетных обязательств в соответствии ч.2 ст. 72 и ст. 219 Бюджетного кодекса РФ, письмо Минфина России от 06.10.2021 г. № 24-06-06/80818). НМЦК составила 178 464,00 рублей</w:t>
            </w:r>
            <w:r/>
          </w:p>
        </w:tc>
      </w:tr>
    </w:tbl>
    <w:p>
      <w:pPr>
        <w:ind w:firstLine="567"/>
        <w:spacing w:after="0" w:line="240" w:lineRule="auto"/>
      </w:pPr>
      <w:r/>
      <w:r/>
    </w:p>
    <w:sectPr>
      <w:footnotePr/>
      <w:endnotePr/>
      <w:type w:val="nextPage"/>
      <w:pgSz w:w="11906" w:h="16838" w:orient="portrait"/>
      <w:pgMar w:top="851" w:right="993" w:bottom="709" w:left="993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font291">
    <w:panose1 w:val="05050102010205020202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ind w:firstLine="709"/>
        <w:jc w:val="both"/>
        <w:keepNext/>
        <w:spacing w:after="0" w:line="240" w:lineRule="auto"/>
        <w:rPr>
          <w:rFonts w:ascii="Times New Roman" w:hAnsi="Times New Roman" w:eastAsia="Calibri"/>
          <w:sz w:val="18"/>
          <w:szCs w:val="18"/>
          <w:lang w:eastAsia="en-US"/>
        </w:rPr>
      </w:pPr>
      <w:r>
        <w:rPr>
          <w:rStyle w:val="868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В случае если </w:t>
      </w:r>
      <w:r>
        <w:rPr>
          <w:rFonts w:ascii="Times New Roman" w:hAnsi="Times New Roman" w:eastAsia="Calibri"/>
          <w:sz w:val="18"/>
          <w:szCs w:val="18"/>
          <w:lang w:eastAsia="en-US"/>
        </w:rPr>
        <w:t xml:space="preserve">формированию Н(М)ЦК и суммы цен за единицу товара (работы, услуги) с дробными значениями количество знаков после запятой превышает два,</w:t>
      </w:r>
      <w:r>
        <w:rPr>
          <w:rFonts w:ascii="Times New Roman" w:hAnsi="Times New Roman" w:eastAsia="Calibri"/>
          <w:sz w:val="18"/>
          <w:szCs w:val="18"/>
          <w:lang w:eastAsia="en-US"/>
        </w:rPr>
        <w:t xml:space="preserve"> то при необходимости (по причине отсутствия технической возможности совершения операций с такими значениями в бухгалтерских программах и программном обеспечении реестра контракта) Государственным заказчиком применяется округление таких показателей (вниз).</w:t>
      </w:r>
      <w:r>
        <w:rPr>
          <w:rFonts w:ascii="Times New Roman" w:hAnsi="Times New Roman" w:eastAsia="Calibri"/>
          <w:sz w:val="18"/>
          <w:szCs w:val="18"/>
          <w:lang w:eastAsia="en-US"/>
        </w:rPr>
      </w:r>
      <w:r>
        <w:rPr>
          <w:rFonts w:ascii="Times New Roman" w:hAnsi="Times New Roman" w:eastAsia="Calibri"/>
          <w:sz w:val="18"/>
          <w:szCs w:val="18"/>
          <w:lang w:eastAsia="en-US"/>
        </w:rPr>
      </w:r>
    </w:p>
    <w:p>
      <w:pPr>
        <w:ind w:firstLine="709"/>
        <w:jc w:val="both"/>
        <w:keepNext/>
        <w:spacing w:after="0" w:line="240" w:lineRule="auto"/>
        <w:rPr>
          <w:rFonts w:ascii="Times New Roman" w:hAnsi="Times New Roman" w:eastAsia="Calibri"/>
          <w:sz w:val="20"/>
          <w:szCs w:val="20"/>
          <w:lang w:eastAsia="en-US"/>
        </w:rPr>
      </w:pPr>
      <w:r>
        <w:rPr>
          <w:rFonts w:ascii="Times New Roman" w:hAnsi="Times New Roman" w:eastAsia="Calibri"/>
          <w:sz w:val="20"/>
          <w:szCs w:val="20"/>
          <w:lang w:eastAsia="en-US"/>
        </w:rPr>
      </w:r>
      <w:r>
        <w:rPr>
          <w:rFonts w:ascii="Times New Roman" w:hAnsi="Times New Roman" w:eastAsia="Calibri"/>
          <w:sz w:val="20"/>
          <w:szCs w:val="20"/>
          <w:lang w:eastAsia="en-US"/>
        </w:rPr>
      </w:r>
      <w:r>
        <w:rPr>
          <w:rFonts w:ascii="Times New Roman" w:hAnsi="Times New Roman" w:eastAsia="Calibri"/>
          <w:sz w:val="20"/>
          <w:szCs w:val="20"/>
          <w:lang w:eastAsia="en-US"/>
        </w:rPr>
      </w:r>
    </w:p>
    <w:p>
      <w:pPr>
        <w:pStyle w:val="866"/>
      </w:pPr>
      <w:r/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ind w:left="0" w:right="0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0">
    <w:name w:val="Heading 1"/>
    <w:basedOn w:val="852"/>
    <w:next w:val="852"/>
    <w:link w:val="6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1">
    <w:name w:val="Heading 1 Char"/>
    <w:basedOn w:val="853"/>
    <w:link w:val="680"/>
    <w:uiPriority w:val="9"/>
    <w:rPr>
      <w:rFonts w:ascii="Arial" w:hAnsi="Arial" w:eastAsia="Arial" w:cs="Arial"/>
      <w:sz w:val="40"/>
      <w:szCs w:val="40"/>
    </w:rPr>
  </w:style>
  <w:style w:type="paragraph" w:styleId="682">
    <w:name w:val="Heading 2"/>
    <w:basedOn w:val="852"/>
    <w:next w:val="852"/>
    <w:link w:val="68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3">
    <w:name w:val="Heading 2 Char"/>
    <w:basedOn w:val="853"/>
    <w:link w:val="682"/>
    <w:uiPriority w:val="9"/>
    <w:rPr>
      <w:rFonts w:ascii="Arial" w:hAnsi="Arial" w:eastAsia="Arial" w:cs="Arial"/>
      <w:sz w:val="34"/>
    </w:rPr>
  </w:style>
  <w:style w:type="paragraph" w:styleId="684">
    <w:name w:val="Heading 3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5">
    <w:name w:val="Heading 3 Char"/>
    <w:basedOn w:val="853"/>
    <w:link w:val="684"/>
    <w:uiPriority w:val="9"/>
    <w:rPr>
      <w:rFonts w:ascii="Arial" w:hAnsi="Arial" w:eastAsia="Arial" w:cs="Arial"/>
      <w:sz w:val="30"/>
      <w:szCs w:val="30"/>
    </w:rPr>
  </w:style>
  <w:style w:type="paragraph" w:styleId="686">
    <w:name w:val="Heading 4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7">
    <w:name w:val="Heading 4 Char"/>
    <w:basedOn w:val="853"/>
    <w:link w:val="686"/>
    <w:uiPriority w:val="9"/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9">
    <w:name w:val="Heading 5 Char"/>
    <w:basedOn w:val="85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paragraph" w:styleId="690">
    <w:name w:val="Heading 6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1">
    <w:name w:val="Heading 6 Char"/>
    <w:basedOn w:val="853"/>
    <w:link w:val="690"/>
    <w:uiPriority w:val="9"/>
    <w:rPr>
      <w:rFonts w:ascii="Arial" w:hAnsi="Arial" w:eastAsia="Arial" w:cs="Arial"/>
      <w:b/>
      <w:bCs/>
      <w:sz w:val="22"/>
      <w:szCs w:val="22"/>
    </w:rPr>
  </w:style>
  <w:style w:type="paragraph" w:styleId="692">
    <w:name w:val="Heading 7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3">
    <w:name w:val="Heading 7 Char"/>
    <w:basedOn w:val="853"/>
    <w:link w:val="69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4">
    <w:name w:val="Heading 8"/>
    <w:basedOn w:val="852"/>
    <w:next w:val="852"/>
    <w:link w:val="69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5">
    <w:name w:val="Heading 8 Char"/>
    <w:basedOn w:val="853"/>
    <w:link w:val="694"/>
    <w:uiPriority w:val="9"/>
    <w:rPr>
      <w:rFonts w:ascii="Arial" w:hAnsi="Arial" w:eastAsia="Arial" w:cs="Arial"/>
      <w:i/>
      <w:iCs/>
      <w:sz w:val="22"/>
      <w:szCs w:val="22"/>
    </w:rPr>
  </w:style>
  <w:style w:type="paragraph" w:styleId="696">
    <w:name w:val="Heading 9"/>
    <w:basedOn w:val="852"/>
    <w:next w:val="852"/>
    <w:link w:val="69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7">
    <w:name w:val="Heading 9 Char"/>
    <w:basedOn w:val="853"/>
    <w:link w:val="696"/>
    <w:uiPriority w:val="9"/>
    <w:rPr>
      <w:rFonts w:ascii="Arial" w:hAnsi="Arial" w:eastAsia="Arial" w:cs="Arial"/>
      <w:i/>
      <w:iCs/>
      <w:sz w:val="21"/>
      <w:szCs w:val="21"/>
    </w:rPr>
  </w:style>
  <w:style w:type="paragraph" w:styleId="698">
    <w:name w:val="No Spacing"/>
    <w:uiPriority w:val="1"/>
    <w:qFormat/>
    <w:pPr>
      <w:spacing w:before="0" w:after="0" w:line="240" w:lineRule="auto"/>
    </w:pPr>
  </w:style>
  <w:style w:type="paragraph" w:styleId="699">
    <w:name w:val="Title"/>
    <w:basedOn w:val="852"/>
    <w:next w:val="852"/>
    <w:link w:val="70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0">
    <w:name w:val="Title Char"/>
    <w:basedOn w:val="853"/>
    <w:link w:val="699"/>
    <w:uiPriority w:val="10"/>
    <w:rPr>
      <w:sz w:val="48"/>
      <w:szCs w:val="48"/>
    </w:rPr>
  </w:style>
  <w:style w:type="paragraph" w:styleId="701">
    <w:name w:val="Subtitle"/>
    <w:basedOn w:val="852"/>
    <w:next w:val="852"/>
    <w:link w:val="702"/>
    <w:uiPriority w:val="11"/>
    <w:qFormat/>
    <w:pPr>
      <w:spacing w:before="200" w:after="200"/>
    </w:pPr>
    <w:rPr>
      <w:sz w:val="24"/>
      <w:szCs w:val="24"/>
    </w:rPr>
  </w:style>
  <w:style w:type="character" w:styleId="702">
    <w:name w:val="Subtitle Char"/>
    <w:basedOn w:val="853"/>
    <w:link w:val="701"/>
    <w:uiPriority w:val="11"/>
    <w:rPr>
      <w:sz w:val="24"/>
      <w:szCs w:val="24"/>
    </w:rPr>
  </w:style>
  <w:style w:type="paragraph" w:styleId="703">
    <w:name w:val="Quote"/>
    <w:basedOn w:val="852"/>
    <w:next w:val="852"/>
    <w:link w:val="704"/>
    <w:uiPriority w:val="29"/>
    <w:qFormat/>
    <w:pPr>
      <w:ind w:left="720" w:right="720"/>
    </w:pPr>
    <w:rPr>
      <w:i/>
    </w:rPr>
  </w:style>
  <w:style w:type="character" w:styleId="704">
    <w:name w:val="Quote Char"/>
    <w:link w:val="703"/>
    <w:uiPriority w:val="29"/>
    <w:rPr>
      <w:i/>
    </w:rPr>
  </w:style>
  <w:style w:type="paragraph" w:styleId="705">
    <w:name w:val="Intense Quote"/>
    <w:basedOn w:val="852"/>
    <w:next w:val="852"/>
    <w:link w:val="70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6">
    <w:name w:val="Intense Quote Char"/>
    <w:link w:val="705"/>
    <w:uiPriority w:val="30"/>
    <w:rPr>
      <w:i/>
    </w:rPr>
  </w:style>
  <w:style w:type="paragraph" w:styleId="707">
    <w:name w:val="Header"/>
    <w:basedOn w:val="852"/>
    <w:link w:val="70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8">
    <w:name w:val="Header Char"/>
    <w:basedOn w:val="853"/>
    <w:link w:val="707"/>
    <w:uiPriority w:val="99"/>
  </w:style>
  <w:style w:type="paragraph" w:styleId="709">
    <w:name w:val="Footer"/>
    <w:basedOn w:val="852"/>
    <w:link w:val="712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0">
    <w:name w:val="Footer Char"/>
    <w:basedOn w:val="853"/>
    <w:link w:val="709"/>
    <w:uiPriority w:val="99"/>
  </w:style>
  <w:style w:type="paragraph" w:styleId="711">
    <w:name w:val="Caption"/>
    <w:basedOn w:val="852"/>
    <w:next w:val="85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2">
    <w:name w:val="Caption Char"/>
    <w:basedOn w:val="711"/>
    <w:link w:val="709"/>
    <w:uiPriority w:val="99"/>
  </w:style>
  <w:style w:type="table" w:styleId="713">
    <w:name w:val="Table Grid"/>
    <w:basedOn w:val="85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4">
    <w:name w:val="Table Grid Light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5">
    <w:name w:val="Plain Table 1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6">
    <w:name w:val="Plain Table 2"/>
    <w:basedOn w:val="85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7">
    <w:name w:val="Plain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8">
    <w:name w:val="Plain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Plain Table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0">
    <w:name w:val="Grid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Grid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Grid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2">
    <w:name w:val="Grid Table 4 - Accent 1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3">
    <w:name w:val="Grid Table 4 - Accent 2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4">
    <w:name w:val="Grid Table 4 - Accent 3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5">
    <w:name w:val="Grid Table 4 - Accent 4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6">
    <w:name w:val="Grid Table 4 - Accent 5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7">
    <w:name w:val="Grid Table 4 - Accent 6"/>
    <w:basedOn w:val="85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8">
    <w:name w:val="Grid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52">
    <w:name w:val="Grid Table 5 Dark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53">
    <w:name w:val="Grid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54">
    <w:name w:val="Grid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55">
    <w:name w:val="Grid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6">
    <w:name w:val="Grid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7">
    <w:name w:val="Grid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8">
    <w:name w:val="Grid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9">
    <w:name w:val="Grid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0">
    <w:name w:val="Grid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1">
    <w:name w:val="Grid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2">
    <w:name w:val="Grid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1 Light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List Table 1 Light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7">
    <w:name w:val="List Table 2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8">
    <w:name w:val="List Table 2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9">
    <w:name w:val="List Table 2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0">
    <w:name w:val="List Table 2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1">
    <w:name w:val="List Table 2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2">
    <w:name w:val="List Table 2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3">
    <w:name w:val="List Table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3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3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3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4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4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5 Dark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5 Dark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2">
    <w:name w:val="List Table 5 Dark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3">
    <w:name w:val="List Table 5 Dark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6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5">
    <w:name w:val="List Table 6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6">
    <w:name w:val="List Table 6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7">
    <w:name w:val="List Table 6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8">
    <w:name w:val="List Table 6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9">
    <w:name w:val="List Table 6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0">
    <w:name w:val="List Table 6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1">
    <w:name w:val="List Table 7 Colorful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2">
    <w:name w:val="List Table 7 Colorful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13">
    <w:name w:val="List Table 7 Colorful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14">
    <w:name w:val="List Table 7 Colorful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15">
    <w:name w:val="List Table 7 Colorful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16">
    <w:name w:val="List Table 7 Colorful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17">
    <w:name w:val="List Table 7 Colorful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8">
    <w:name w:val="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9">
    <w:name w:val="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0">
    <w:name w:val="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1">
    <w:name w:val="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2">
    <w:name w:val="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3">
    <w:name w:val="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4">
    <w:name w:val="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5">
    <w:name w:val="Bordered &amp; Lined - Accent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6">
    <w:name w:val="Bordered &amp; Lined - Accent 1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7">
    <w:name w:val="Bordered &amp; Lined - Accent 2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8">
    <w:name w:val="Bordered &amp; Lined - Accent 3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9">
    <w:name w:val="Bordered &amp; Lined - Accent 4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0">
    <w:name w:val="Bordered &amp; Lined - Accent 5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1">
    <w:name w:val="Bordered &amp; Lined - Accent 6"/>
    <w:basedOn w:val="85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2">
    <w:name w:val="Bordered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3">
    <w:name w:val="Bordered - Accent 1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4">
    <w:name w:val="Bordered - Accent 2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5">
    <w:name w:val="Bordered - Accent 3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6">
    <w:name w:val="Bordered - Accent 4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7">
    <w:name w:val="Bordered - Accent 5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8">
    <w:name w:val="Bordered - Accent 6"/>
    <w:basedOn w:val="85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9">
    <w:name w:val="Footnote Text Char"/>
    <w:link w:val="866"/>
    <w:uiPriority w:val="99"/>
    <w:rPr>
      <w:sz w:val="18"/>
    </w:rPr>
  </w:style>
  <w:style w:type="character" w:styleId="840">
    <w:name w:val="Endnote Text Char"/>
    <w:link w:val="863"/>
    <w:uiPriority w:val="99"/>
    <w:rPr>
      <w:sz w:val="20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  <w:pPr>
      <w:ind w:firstLine="0"/>
      <w:jc w:val="left"/>
      <w:spacing w:after="200" w:line="276" w:lineRule="auto"/>
    </w:pPr>
    <w:rPr>
      <w:rFonts w:ascii="Calibri" w:hAnsi="Calibri" w:eastAsia="Times New Roman" w:cs="Times New Roman"/>
      <w:lang w:eastAsia="ar-SA"/>
    </w:rPr>
  </w:style>
  <w:style w:type="character" w:styleId="853" w:default="1">
    <w:name w:val="Default Paragraph Font"/>
    <w:uiPriority w:val="1"/>
    <w:semiHidden/>
    <w:unhideWhenUsed/>
  </w:style>
  <w:style w:type="table" w:styleId="854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5" w:default="1">
    <w:name w:val="No List"/>
    <w:uiPriority w:val="99"/>
    <w:semiHidden/>
    <w:unhideWhenUsed/>
  </w:style>
  <w:style w:type="character" w:styleId="856">
    <w:name w:val="Hyperlink"/>
    <w:uiPriority w:val="99"/>
    <w:rPr>
      <w:color w:val="0000ff"/>
      <w:u w:val="single"/>
    </w:rPr>
  </w:style>
  <w:style w:type="paragraph" w:styleId="857">
    <w:name w:val="Balloon Text"/>
    <w:basedOn w:val="852"/>
    <w:link w:val="858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8" w:customStyle="1">
    <w:name w:val="Текст выноски Знак"/>
    <w:basedOn w:val="853"/>
    <w:link w:val="857"/>
    <w:uiPriority w:val="99"/>
    <w:semiHidden/>
    <w:rPr>
      <w:rFonts w:ascii="Tahoma" w:hAnsi="Tahoma" w:eastAsia="Times New Roman" w:cs="Tahoma"/>
      <w:sz w:val="16"/>
      <w:szCs w:val="16"/>
      <w:lang w:eastAsia="ar-SA"/>
    </w:rPr>
  </w:style>
  <w:style w:type="paragraph" w:styleId="859">
    <w:name w:val="Normal (Web)"/>
    <w:uiPriority w:val="99"/>
    <w:pPr>
      <w:ind w:firstLine="0"/>
      <w:jc w:val="left"/>
      <w:spacing w:after="200" w:line="276" w:lineRule="auto"/>
      <w:widowControl w:val="off"/>
    </w:pPr>
    <w:rPr>
      <w:rFonts w:ascii="Calibri" w:hAnsi="Calibri" w:eastAsia="DejaVu Sans" w:cs="font291"/>
      <w:lang w:eastAsia="ar-SA"/>
    </w:rPr>
  </w:style>
  <w:style w:type="paragraph" w:styleId="860" w:customStyle="1">
    <w:name w:val="Абзац списка1"/>
    <w:basedOn w:val="852"/>
    <w:pPr>
      <w:contextualSpacing/>
      <w:ind w:left="720"/>
      <w:jc w:val="both"/>
    </w:pPr>
    <w:rPr>
      <w:rFonts w:eastAsia="Calibri"/>
      <w:sz w:val="20"/>
      <w:szCs w:val="20"/>
      <w:lang w:val="en-US" w:eastAsia="en-US"/>
    </w:rPr>
  </w:style>
  <w:style w:type="character" w:styleId="861">
    <w:name w:val="FollowedHyperlink"/>
    <w:basedOn w:val="853"/>
    <w:uiPriority w:val="99"/>
    <w:semiHidden/>
    <w:unhideWhenUsed/>
    <w:rPr>
      <w:color w:val="800080" w:themeColor="followedHyperlink"/>
      <w:u w:val="single"/>
    </w:rPr>
  </w:style>
  <w:style w:type="character" w:styleId="862" w:customStyle="1">
    <w:name w:val="Unresolved Mention"/>
    <w:basedOn w:val="853"/>
    <w:uiPriority w:val="99"/>
    <w:semiHidden/>
    <w:unhideWhenUsed/>
    <w:rPr>
      <w:color w:val="605e5c"/>
      <w:shd w:val="clear" w:color="auto" w:fill="e1dfdd"/>
    </w:rPr>
  </w:style>
  <w:style w:type="paragraph" w:styleId="863">
    <w:name w:val="endnote text"/>
    <w:basedOn w:val="852"/>
    <w:link w:val="864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4" w:customStyle="1">
    <w:name w:val="Текст концевой сноски Знак"/>
    <w:basedOn w:val="853"/>
    <w:link w:val="863"/>
    <w:uiPriority w:val="99"/>
    <w:semiHidden/>
    <w:rPr>
      <w:rFonts w:ascii="Calibri" w:hAnsi="Calibri" w:eastAsia="Times New Roman" w:cs="Times New Roman"/>
      <w:sz w:val="20"/>
      <w:szCs w:val="20"/>
      <w:lang w:eastAsia="ar-SA"/>
    </w:rPr>
  </w:style>
  <w:style w:type="character" w:styleId="865">
    <w:name w:val="endnote reference"/>
    <w:basedOn w:val="853"/>
    <w:uiPriority w:val="99"/>
    <w:semiHidden/>
    <w:unhideWhenUsed/>
    <w:rPr>
      <w:vertAlign w:val="superscript"/>
    </w:rPr>
  </w:style>
  <w:style w:type="paragraph" w:styleId="866">
    <w:name w:val="footnote text"/>
    <w:basedOn w:val="852"/>
    <w:link w:val="867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867" w:customStyle="1">
    <w:name w:val="Текст сноски Знак"/>
    <w:basedOn w:val="853"/>
    <w:link w:val="866"/>
    <w:uiPriority w:val="99"/>
    <w:semiHidden/>
    <w:rPr>
      <w:rFonts w:ascii="Calibri" w:hAnsi="Calibri" w:eastAsia="Times New Roman" w:cs="Times New Roman"/>
      <w:sz w:val="20"/>
      <w:szCs w:val="20"/>
      <w:lang w:eastAsia="ar-SA"/>
    </w:rPr>
  </w:style>
  <w:style w:type="character" w:styleId="868">
    <w:name w:val="footnote reference"/>
    <w:basedOn w:val="853"/>
    <w:uiPriority w:val="99"/>
    <w:semiHidden/>
    <w:unhideWhenUsed/>
    <w:rPr>
      <w:vertAlign w:val="superscript"/>
    </w:rPr>
  </w:style>
  <w:style w:type="character" w:styleId="869" w:customStyle="1">
    <w:name w:val="textcell"/>
    <w:basedOn w:val="853"/>
  </w:style>
  <w:style w:type="character" w:styleId="870">
    <w:name w:val="Emphasis"/>
    <w:basedOn w:val="853"/>
    <w:uiPriority w:val="20"/>
    <w:qFormat/>
    <w:rPr>
      <w:i/>
      <w:iCs/>
    </w:rPr>
  </w:style>
  <w:style w:type="paragraph" w:styleId="871">
    <w:name w:val="List Paragraph"/>
    <w:basedOn w:val="852"/>
    <w:uiPriority w:val="34"/>
    <w:qFormat/>
    <w:pPr>
      <w:contextualSpacing/>
      <w:ind w:left="720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image" Target="media/image1.wmf"/><Relationship Id="rId11" Type="http://schemas.openxmlformats.org/officeDocument/2006/relationships/image" Target="media/image2.wmf"/><Relationship Id="rId12" Type="http://schemas.openxmlformats.org/officeDocument/2006/relationships/image" Target="media/image3.wmf"/><Relationship Id="rId13" Type="http://schemas.openxmlformats.org/officeDocument/2006/relationships/image" Target="media/image4.wmf"/><Relationship Id="rId14" Type="http://schemas.openxmlformats.org/officeDocument/2006/relationships/image" Target="media/image5.wmf"/><Relationship Id="rId15" Type="http://schemas.openxmlformats.org/officeDocument/2006/relationships/image" Target="media/image6.wmf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3512F-B31C-4A1D-B464-44FE0958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Р7-Офис/7.4.0.227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</dc:creator>
  <cp:revision>37</cp:revision>
  <dcterms:created xsi:type="dcterms:W3CDTF">2022-02-02T14:44:00Z</dcterms:created>
  <dcterms:modified xsi:type="dcterms:W3CDTF">2026-08-11T05:41:00Z</dcterms:modified>
</cp:coreProperties>
</file>