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/>
      </w:pPr>
      <w:r>
        <w:rPr>
          <w:i w:val="1"/>
        </w:rPr>
        <w:t xml:space="preserve">Приложение № 2 к договору № 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t>от «___</w:t>
      </w:r>
      <w:r>
        <w:t>»</w:t>
      </w:r>
      <w:r>
        <w:t xml:space="preserve"> _______ </w:t>
      </w:r>
      <w:r>
        <w:t>2026г</w:t>
      </w:r>
    </w:p>
    <w:p w14:paraId="02000000"/>
    <w:p w14:paraId="03000000">
      <w:r>
        <w:rPr>
          <w:b w:val="1"/>
          <w:sz w:val="28"/>
        </w:rPr>
        <w:t>ТЕХНИЧЕСКОЕ ЗАДАНИЕ</w:t>
      </w:r>
    </w:p>
    <w:tbl>
      <w:tblPr>
        <w:tblStyle w:val="Style_2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left w:type="dxa" w:w="10"/>
          <w:right w:type="dxa" w:w="10"/>
        </w:tblCellMar>
      </w:tblPr>
      <w:tblGrid>
        <w:gridCol w:w="654"/>
        <w:gridCol w:w="1745"/>
        <w:gridCol w:w="660"/>
        <w:gridCol w:w="7650"/>
        <w:gridCol w:w="2841"/>
        <w:gridCol w:w="1597"/>
      </w:tblGrid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4000000">
            <w:pPr>
              <w:widowControl w:val="1"/>
              <w:ind/>
              <w:jc w:val="center"/>
            </w:pPr>
            <w:r>
              <w:rPr>
                <w:b w:val="1"/>
                <w:sz w:val="20"/>
              </w:rPr>
              <w:t>№ п/п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5000000">
            <w:pPr>
              <w:widowControl w:val="1"/>
              <w:ind/>
              <w:jc w:val="center"/>
            </w:pPr>
            <w:r>
              <w:rPr>
                <w:b w:val="1"/>
                <w:sz w:val="20"/>
              </w:rPr>
              <w:t>Наименование</w:t>
            </w: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6000000">
            <w:pPr>
              <w:widowControl w:val="1"/>
              <w:ind/>
              <w:jc w:val="center"/>
            </w:pPr>
            <w:r>
              <w:rPr>
                <w:b w:val="1"/>
                <w:sz w:val="20"/>
              </w:rPr>
              <w:t>Единицы измерения</w:t>
            </w:r>
          </w:p>
        </w:tc>
        <w:tc>
          <w:tcPr>
            <w:tcW w:type="dxa" w:w="7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7000000">
            <w:pPr>
              <w:widowControl w:val="1"/>
              <w:ind/>
              <w:jc w:val="center"/>
            </w:pPr>
            <w:r>
              <w:rPr>
                <w:b w:val="1"/>
                <w:sz w:val="20"/>
              </w:rPr>
              <w:t>Состав, плотность, логотип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8000000">
            <w:pPr>
              <w:widowControl w:val="1"/>
              <w:ind/>
              <w:jc w:val="center"/>
            </w:pPr>
            <w:r>
              <w:rPr>
                <w:b w:val="1"/>
                <w:sz w:val="20"/>
              </w:rPr>
              <w:t>Фото-пример</w:t>
            </w:r>
          </w:p>
        </w:tc>
        <w:tc>
          <w:tcPr>
            <w:tcW w:type="dxa" w:w="1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D9E2F3" w:val="clear"/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9000000">
            <w:pPr>
              <w:widowControl w:val="1"/>
              <w:ind/>
              <w:jc w:val="center"/>
            </w:pPr>
            <w:r>
              <w:rPr>
                <w:b w:val="1"/>
                <w:sz w:val="20"/>
              </w:rPr>
              <w:t>Количество</w:t>
            </w:r>
          </w:p>
        </w:tc>
      </w:tr>
      <w:tr>
        <w:tc>
          <w:tcPr>
            <w:tcW w:type="dxa" w:w="6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A000000">
            <w:pPr>
              <w:widowControl w:val="1"/>
              <w:spacing w:after="40"/>
              <w:ind/>
              <w:jc w:val="center"/>
            </w:pPr>
            <w:r>
              <w:rPr>
                <w:sz w:val="20"/>
              </w:rPr>
              <w:t>1.</w:t>
            </w:r>
          </w:p>
        </w:tc>
        <w:tc>
          <w:tcPr>
            <w:tcW w:type="dxa" w:w="174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0B000000">
            <w:pPr>
              <w:widowControl w:val="1"/>
              <w:ind/>
              <w:jc w:val="left"/>
              <w:rPr>
                <w:rFonts w:ascii="Times New Roman" w:hAnsi="Times New Roman"/>
                <w:b w:val="1"/>
                <w:sz w:val="22"/>
              </w:rPr>
            </w:pPr>
            <w:r>
              <w:rPr>
                <w:rFonts w:ascii="Times New Roman" w:hAnsi="Times New Roman"/>
                <w:b w:val="1"/>
                <w:sz w:val="22"/>
              </w:rPr>
              <w:t xml:space="preserve">Виниловый магнит на лентикулярном пластике с эффектом смены двух изображений. </w:t>
            </w:r>
          </w:p>
          <w:p w14:paraId="0C000000">
            <w:pPr>
              <w:widowControl w:val="1"/>
              <w:spacing w:after="40"/>
              <w:ind/>
              <w:rPr>
                <w:sz w:val="24"/>
              </w:rPr>
            </w:pPr>
          </w:p>
        </w:tc>
        <w:tc>
          <w:tcPr>
            <w:tcW w:type="dxa" w:w="66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0D000000">
            <w:pPr>
              <w:widowControl w:val="1"/>
              <w:spacing w:after="40"/>
              <w:ind/>
              <w:jc w:val="center"/>
            </w:pPr>
            <w:r>
              <w:rPr>
                <w:sz w:val="20"/>
              </w:rPr>
              <w:t>шт</w:t>
            </w:r>
          </w:p>
        </w:tc>
        <w:tc>
          <w:tcPr>
            <w:tcW w:type="dxa" w:w="765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 w14:paraId="0E000000">
            <w:pPr>
              <w:widowControl w:val="1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Размер изделия 90х140 мм, прямоугольной формы</w:t>
            </w:r>
          </w:p>
          <w:p w14:paraId="0F000000">
            <w:pPr>
              <w:widowControl w:val="1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Пластик 75lpi/ 0.6 mm. Шилдик 90*10 мм на серебрянной пленке. </w:t>
            </w:r>
          </w:p>
          <w:p w14:paraId="10000000">
            <w:pPr>
              <w:widowControl w:val="1"/>
              <w:ind/>
              <w:jc w:val="left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Два макета</w:t>
            </w:r>
          </w:p>
          <w:p w14:paraId="11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0"/>
                <w:sz w:val="24"/>
              </w:rPr>
            </w:pPr>
          </w:p>
          <w:p w14:paraId="12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Материалы и конструкция:</w:t>
            </w:r>
          </w:p>
          <w:p w14:paraId="13000000">
            <w:pPr>
              <w:widowControl w:val="1"/>
              <w:spacing w:after="0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О</w:t>
            </w:r>
            <w:r>
              <w:rPr>
                <w:rFonts w:ascii="Times New Roman" w:hAnsi="Times New Roman"/>
                <w:b w:val="0"/>
                <w:sz w:val="24"/>
              </w:rPr>
              <w:t>снова: гибкий виниловый магнит</w:t>
            </w:r>
          </w:p>
          <w:p w14:paraId="14000000">
            <w:pPr>
              <w:widowControl w:val="1"/>
              <w:spacing w:after="0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Лицевая поверхность: </w:t>
            </w:r>
            <w:r>
              <w:rPr>
                <w:rFonts w:ascii="Times New Roman" w:hAnsi="Times New Roman"/>
                <w:b w:val="0"/>
                <w:sz w:val="24"/>
              </w:rPr>
              <w:t>лентикулярн</w:t>
            </w:r>
            <w:r>
              <w:rPr>
                <w:rFonts w:ascii="Times New Roman" w:hAnsi="Times New Roman"/>
                <w:b w:val="0"/>
                <w:sz w:val="24"/>
              </w:rPr>
              <w:t>ый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(растровый) пластиковый слой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</w:p>
          <w:p w14:paraId="15000000">
            <w:pPr>
              <w:widowControl w:val="1"/>
              <w:spacing w:after="0"/>
              <w:ind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  <w:t>Магнитный слой: равномерный, обеспечивающий надежное сцеплени</w:t>
            </w:r>
            <w:r>
              <w:rPr>
                <w:rFonts w:ascii="Times New Roman" w:hAnsi="Times New Roman"/>
                <w:b w:val="0"/>
                <w:sz w:val="24"/>
              </w:rPr>
              <w:t>е с металлической поверхностью</w:t>
            </w:r>
          </w:p>
          <w:p w14:paraId="16000000">
            <w:pPr>
              <w:widowControl w:val="1"/>
              <w:spacing w:after="40"/>
              <w:ind/>
            </w:pPr>
          </w:p>
          <w:p w14:paraId="17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Технология изображения и обязательный эффект</w:t>
            </w:r>
          </w:p>
          <w:p w14:paraId="18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Изделие должно быть изготовлено по </w:t>
            </w:r>
            <w:r>
              <w:rPr>
                <w:rFonts w:ascii="Times New Roman" w:hAnsi="Times New Roman"/>
                <w:b w:val="1"/>
                <w:sz w:val="24"/>
              </w:rPr>
              <w:t>лентикулярной</w:t>
            </w:r>
            <w:r>
              <w:rPr>
                <w:rFonts w:ascii="Times New Roman" w:hAnsi="Times New Roman"/>
                <w:b w:val="1"/>
                <w:sz w:val="24"/>
              </w:rPr>
              <w:t xml:space="preserve"> технологии</w:t>
            </w:r>
          </w:p>
          <w:p w14:paraId="19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Должен быть обеспечен </w:t>
            </w:r>
            <w:r>
              <w:rPr>
                <w:rFonts w:ascii="Times New Roman" w:hAnsi="Times New Roman"/>
                <w:b w:val="1"/>
                <w:sz w:val="24"/>
              </w:rPr>
              <w:t>визуальный эффект изменения изображения при изменении угла обзора</w:t>
            </w:r>
            <w:r>
              <w:rPr>
                <w:rFonts w:ascii="Times New Roman" w:hAnsi="Times New Roman"/>
                <w:sz w:val="24"/>
              </w:rPr>
              <w:t xml:space="preserve"> (смены кадров</w:t>
            </w:r>
            <w:r>
              <w:rPr>
                <w:rFonts w:ascii="Times New Roman" w:hAnsi="Times New Roman"/>
                <w:sz w:val="24"/>
              </w:rPr>
              <w:t>)</w:t>
            </w:r>
          </w:p>
          <w:p w14:paraId="1A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Эффект должен быть </w:t>
            </w:r>
            <w:r>
              <w:rPr>
                <w:rFonts w:ascii="Times New Roman" w:hAnsi="Times New Roman"/>
                <w:b w:val="1"/>
                <w:sz w:val="24"/>
              </w:rPr>
              <w:t>плавным, читаемым и выраженным</w:t>
            </w:r>
            <w:r>
              <w:rPr>
                <w:rFonts w:ascii="Times New Roman" w:hAnsi="Times New Roman"/>
                <w:sz w:val="24"/>
              </w:rPr>
              <w:t>, без «двойного изображения», с</w:t>
            </w:r>
            <w:r>
              <w:rPr>
                <w:rFonts w:ascii="Times New Roman" w:hAnsi="Times New Roman"/>
                <w:sz w:val="24"/>
              </w:rPr>
              <w:t>мазывания или искажения кадров</w:t>
            </w:r>
          </w:p>
          <w:p w14:paraId="1B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Использование альтернативных технологий </w:t>
            </w:r>
            <w:r>
              <w:rPr>
                <w:rFonts w:ascii="Times New Roman" w:hAnsi="Times New Roman"/>
                <w:b w:val="1"/>
                <w:sz w:val="24"/>
              </w:rPr>
              <w:t>не допускается</w:t>
            </w:r>
            <w:r>
              <w:rPr>
                <w:rFonts w:ascii="Times New Roman" w:hAnsi="Times New Roman"/>
                <w:sz w:val="24"/>
              </w:rPr>
              <w:t>, так как не обеспечивают</w:t>
            </w:r>
            <w:r>
              <w:rPr>
                <w:rFonts w:ascii="Times New Roman" w:hAnsi="Times New Roman"/>
                <w:sz w:val="24"/>
              </w:rPr>
              <w:t xml:space="preserve"> требуемый</w:t>
            </w:r>
            <w:r>
              <w:rPr>
                <w:rFonts w:ascii="Times New Roman" w:hAnsi="Times New Roman"/>
                <w:sz w:val="24"/>
              </w:rPr>
              <w:t xml:space="preserve"> эффект смены двух изображений</w:t>
            </w:r>
          </w:p>
          <w:p w14:paraId="1C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Печать</w:t>
            </w:r>
          </w:p>
          <w:p w14:paraId="1D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Цветопередача должна соотве</w:t>
            </w:r>
            <w:r>
              <w:rPr>
                <w:rFonts w:ascii="Times New Roman" w:hAnsi="Times New Roman"/>
                <w:sz w:val="24"/>
              </w:rPr>
              <w:t>тствовать утвержденному макету</w:t>
            </w:r>
          </w:p>
          <w:p w14:paraId="1E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Допускается согласовани</w:t>
            </w:r>
            <w:r>
              <w:rPr>
                <w:rFonts w:ascii="Times New Roman" w:hAnsi="Times New Roman"/>
                <w:sz w:val="24"/>
              </w:rPr>
              <w:t>е цветовой пробы перед тиражом</w:t>
            </w:r>
          </w:p>
          <w:p w14:paraId="1F000000">
            <w:pPr>
              <w:widowControl w:val="1"/>
              <w:spacing w:after="0"/>
              <w:ind w:left="720"/>
              <w:rPr>
                <w:rFonts w:ascii="Times New Roman" w:hAnsi="Times New Roman"/>
                <w:sz w:val="24"/>
              </w:rPr>
            </w:pPr>
          </w:p>
          <w:p w14:paraId="20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Заказанные изображения</w:t>
            </w:r>
          </w:p>
          <w:p w14:paraId="21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Магнит: изображение волка и сайгака</w:t>
            </w:r>
          </w:p>
          <w:p w14:paraId="22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</w:t>
            </w:r>
            <w:r>
              <w:rPr>
                <w:rFonts w:ascii="Times New Roman" w:hAnsi="Times New Roman"/>
                <w:sz w:val="24"/>
              </w:rPr>
              <w:t>кет предоставляе</w:t>
            </w:r>
            <w:r>
              <w:rPr>
                <w:rFonts w:ascii="Times New Roman" w:hAnsi="Times New Roman"/>
                <w:sz w:val="24"/>
              </w:rPr>
              <w:t>тся Заказчиком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3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Надпись</w:t>
            </w:r>
            <w:r>
              <w:rPr>
                <w:rFonts w:ascii="Times New Roman" w:hAnsi="Times New Roman"/>
                <w:b w:val="1"/>
                <w:sz w:val="24"/>
              </w:rPr>
              <w:t xml:space="preserve"> на магните</w:t>
            </w:r>
            <w:r>
              <w:rPr>
                <w:rFonts w:ascii="Times New Roman" w:hAnsi="Times New Roman"/>
                <w:b w:val="1"/>
                <w:sz w:val="24"/>
              </w:rPr>
              <w:t>: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Заповедник</w:t>
            </w:r>
            <w:r>
              <w:rPr>
                <w:rFonts w:ascii="Times New Roman" w:hAnsi="Times New Roman"/>
                <w:b w:val="1"/>
                <w:sz w:val="24"/>
              </w:rPr>
              <w:t xml:space="preserve"> «</w:t>
            </w:r>
            <w:r>
              <w:rPr>
                <w:rFonts w:ascii="Times New Roman" w:hAnsi="Times New Roman"/>
                <w:b w:val="0"/>
                <w:sz w:val="24"/>
              </w:rPr>
              <w:t>Чёрные земли</w:t>
            </w:r>
            <w:r>
              <w:rPr>
                <w:rFonts w:ascii="Times New Roman" w:hAnsi="Times New Roman"/>
                <w:b w:val="1"/>
                <w:sz w:val="24"/>
              </w:rPr>
              <w:t xml:space="preserve">», </w:t>
            </w:r>
            <w:r>
              <w:rPr>
                <w:rFonts w:ascii="Times New Roman" w:hAnsi="Times New Roman"/>
                <w:sz w:val="24"/>
              </w:rPr>
              <w:t>р</w:t>
            </w:r>
            <w:r>
              <w:rPr>
                <w:rFonts w:ascii="Times New Roman" w:hAnsi="Times New Roman"/>
                <w:sz w:val="24"/>
              </w:rPr>
              <w:t xml:space="preserve">асположение: по нижней части магнита, по центру, </w:t>
            </w:r>
            <w:r>
              <w:rPr>
                <w:rFonts w:ascii="Times New Roman" w:hAnsi="Times New Roman"/>
                <w:sz w:val="24"/>
              </w:rPr>
              <w:t>ш</w:t>
            </w:r>
            <w:r>
              <w:rPr>
                <w:rFonts w:ascii="Times New Roman" w:hAnsi="Times New Roman"/>
                <w:sz w:val="24"/>
              </w:rPr>
              <w:t xml:space="preserve">рифт </w:t>
            </w:r>
            <w:r>
              <w:rPr>
                <w:rFonts w:ascii="Times New Roman" w:hAnsi="Times New Roman"/>
                <w:b w:val="0"/>
                <w:sz w:val="24"/>
              </w:rPr>
              <w:t xml:space="preserve">PT </w:t>
            </w:r>
            <w:r>
              <w:rPr>
                <w:rFonts w:ascii="Times New Roman" w:hAnsi="Times New Roman"/>
                <w:b w:val="0"/>
                <w:sz w:val="24"/>
              </w:rPr>
              <w:t>Sans</w:t>
            </w:r>
            <w:r>
              <w:rPr>
                <w:rFonts w:ascii="Times New Roman" w:hAnsi="Times New Roman"/>
                <w:b w:val="0"/>
                <w:sz w:val="24"/>
              </w:rPr>
              <w:t xml:space="preserve"> </w:t>
            </w:r>
            <w:r>
              <w:rPr>
                <w:rFonts w:ascii="Times New Roman" w:hAnsi="Times New Roman"/>
                <w:b w:val="0"/>
                <w:sz w:val="24"/>
              </w:rPr>
              <w:t>Regular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4000000">
            <w:pPr>
              <w:widowControl w:val="1"/>
              <w:spacing w:after="0"/>
              <w:ind w:left="720"/>
              <w:rPr>
                <w:rFonts w:ascii="Times New Roman" w:hAnsi="Times New Roman"/>
                <w:sz w:val="24"/>
              </w:rPr>
            </w:pPr>
          </w:p>
          <w:p w14:paraId="25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Защитное покрытие</w:t>
            </w:r>
          </w:p>
          <w:p w14:paraId="26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Допускается </w:t>
            </w:r>
            <w:r>
              <w:rPr>
                <w:rFonts w:ascii="Times New Roman" w:hAnsi="Times New Roman"/>
                <w:sz w:val="24"/>
              </w:rPr>
              <w:t>ламинация</w:t>
            </w:r>
            <w:r>
              <w:rPr>
                <w:rFonts w:ascii="Times New Roman" w:hAnsi="Times New Roman"/>
                <w:sz w:val="24"/>
              </w:rPr>
              <w:t xml:space="preserve"> (матовая или глянцевая) либо иное защитное покрытие, обеспечивающее:</w:t>
            </w:r>
          </w:p>
          <w:p w14:paraId="27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-устойчивость к истиранию</w:t>
            </w:r>
          </w:p>
          <w:p w14:paraId="28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-защиту</w:t>
            </w:r>
            <w:r>
              <w:rPr>
                <w:rFonts w:ascii="Times New Roman" w:hAnsi="Times New Roman"/>
                <w:sz w:val="24"/>
              </w:rPr>
              <w:t xml:space="preserve"> от выцветания</w:t>
            </w:r>
          </w:p>
          <w:p w14:paraId="29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-сохранность изобра</w:t>
            </w:r>
            <w:r>
              <w:rPr>
                <w:rFonts w:ascii="Times New Roman" w:hAnsi="Times New Roman"/>
                <w:sz w:val="24"/>
              </w:rPr>
              <w:t>жения при бытовой эксплуатации</w:t>
            </w:r>
          </w:p>
          <w:p w14:paraId="2A000000">
            <w:pPr>
              <w:widowControl w:val="1"/>
              <w:spacing w:after="0"/>
              <w:ind w:left="720"/>
              <w:rPr>
                <w:rFonts w:ascii="Times New Roman" w:hAnsi="Times New Roman"/>
                <w:sz w:val="24"/>
              </w:rPr>
            </w:pPr>
          </w:p>
          <w:p w14:paraId="2B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 xml:space="preserve"> Требования к качеству</w:t>
            </w:r>
          </w:p>
          <w:p w14:paraId="2C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Готовая продукция должна:</w:t>
            </w:r>
          </w:p>
          <w:p w14:paraId="2D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-соотв</w:t>
            </w:r>
            <w:r>
              <w:rPr>
                <w:rFonts w:ascii="Times New Roman" w:hAnsi="Times New Roman"/>
                <w:sz w:val="24"/>
              </w:rPr>
              <w:t>етствовать утвержденным макетам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2E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-иметь четкий </w:t>
            </w:r>
            <w:r>
              <w:rPr>
                <w:rFonts w:ascii="Times New Roman" w:hAnsi="Times New Roman"/>
                <w:sz w:val="24"/>
              </w:rPr>
              <w:t>лентикулярный</w:t>
            </w:r>
            <w:r>
              <w:rPr>
                <w:rFonts w:ascii="Times New Roman" w:hAnsi="Times New Roman"/>
                <w:sz w:val="24"/>
              </w:rPr>
              <w:t xml:space="preserve"> э</w:t>
            </w:r>
            <w:r>
              <w:rPr>
                <w:rFonts w:ascii="Times New Roman" w:hAnsi="Times New Roman"/>
                <w:sz w:val="24"/>
              </w:rPr>
              <w:t>ффект без дефектов изображения</w:t>
            </w:r>
          </w:p>
          <w:p w14:paraId="2F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-не иметь расслоений, пузырей, заломо</w:t>
            </w:r>
            <w:r>
              <w:rPr>
                <w:rFonts w:ascii="Times New Roman" w:hAnsi="Times New Roman"/>
                <w:sz w:val="24"/>
              </w:rPr>
              <w:t>в</w:t>
            </w:r>
          </w:p>
          <w:p w14:paraId="30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-не им</w:t>
            </w:r>
            <w:r>
              <w:rPr>
                <w:rFonts w:ascii="Times New Roman" w:hAnsi="Times New Roman"/>
                <w:sz w:val="24"/>
              </w:rPr>
              <w:t>еть смещения слоев изображения</w:t>
            </w:r>
          </w:p>
          <w:p w14:paraId="31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-быть целос</w:t>
            </w:r>
            <w:r>
              <w:rPr>
                <w:rFonts w:ascii="Times New Roman" w:hAnsi="Times New Roman"/>
                <w:sz w:val="24"/>
              </w:rPr>
              <w:t>тной и пригодной к эксплуатации</w:t>
            </w:r>
          </w:p>
          <w:p w14:paraId="32000000">
            <w:pPr>
              <w:widowControl w:val="1"/>
              <w:spacing w:after="0"/>
              <w:ind w:left="72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3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Упаковка</w:t>
            </w:r>
          </w:p>
          <w:p w14:paraId="34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Магниты должны быт</w:t>
            </w:r>
            <w:r>
              <w:rPr>
                <w:rFonts w:ascii="Times New Roman" w:hAnsi="Times New Roman"/>
                <w:sz w:val="24"/>
              </w:rPr>
              <w:t>ь упакованы в индивидуальную и</w:t>
            </w:r>
            <w:r>
              <w:rPr>
                <w:rFonts w:ascii="Times New Roman" w:hAnsi="Times New Roman"/>
                <w:sz w:val="24"/>
              </w:rPr>
              <w:t xml:space="preserve"> групповую упаковку, обеспечивающую сохранность при транспортировке и исклю</w:t>
            </w:r>
            <w:r>
              <w:rPr>
                <w:rFonts w:ascii="Times New Roman" w:hAnsi="Times New Roman"/>
                <w:sz w:val="24"/>
              </w:rPr>
              <w:t>чающую механические повреждения</w:t>
            </w:r>
          </w:p>
          <w:p w14:paraId="35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</w:p>
          <w:p w14:paraId="36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Доставка</w:t>
            </w:r>
          </w:p>
          <w:p w14:paraId="37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Доставка осуществляется силами и за счет И</w:t>
            </w:r>
            <w:r>
              <w:rPr>
                <w:rFonts w:ascii="Times New Roman" w:hAnsi="Times New Roman"/>
                <w:sz w:val="24"/>
              </w:rPr>
              <w:t>сполнителя по адресу Заказчика</w:t>
            </w:r>
          </w:p>
          <w:p w14:paraId="38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Разгрузка осу</w:t>
            </w:r>
            <w:r>
              <w:rPr>
                <w:rFonts w:ascii="Times New Roman" w:hAnsi="Times New Roman"/>
                <w:sz w:val="24"/>
              </w:rPr>
              <w:t>ществляется силами Исполнителя</w:t>
            </w:r>
          </w:p>
          <w:p w14:paraId="39000000">
            <w:pPr>
              <w:widowControl w:val="1"/>
              <w:spacing w:after="0"/>
              <w:ind w:left="720"/>
              <w:rPr>
                <w:rFonts w:ascii="Times New Roman" w:hAnsi="Times New Roman"/>
                <w:sz w:val="24"/>
              </w:rPr>
            </w:pPr>
          </w:p>
          <w:p w14:paraId="3A000000">
            <w:pPr>
              <w:widowControl w:val="1"/>
              <w:spacing w:after="0"/>
              <w:ind/>
              <w:outlineLvl w:val="1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14. Приемка товара</w:t>
            </w:r>
          </w:p>
          <w:p w14:paraId="3B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 приемке проверяется:</w:t>
            </w:r>
          </w:p>
          <w:p w14:paraId="3C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-соответствие количества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3D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-соответствие размерам</w:t>
            </w:r>
          </w:p>
          <w:p w14:paraId="3E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-соответствие макетам</w:t>
            </w:r>
          </w:p>
          <w:p w14:paraId="3F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-наличие и корректность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лентикулярного</w:t>
            </w:r>
            <w:r>
              <w:rPr>
                <w:rFonts w:ascii="Times New Roman" w:hAnsi="Times New Roman"/>
                <w:sz w:val="24"/>
              </w:rPr>
              <w:t xml:space="preserve"> эффекта</w:t>
            </w:r>
          </w:p>
          <w:p w14:paraId="40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-отсутстви</w:t>
            </w:r>
            <w:r>
              <w:rPr>
                <w:rFonts w:ascii="Times New Roman" w:hAnsi="Times New Roman"/>
                <w:sz w:val="24"/>
              </w:rPr>
              <w:t>е дефектов печати и конструкции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41000000">
            <w:pPr>
              <w:widowControl w:val="1"/>
              <w:spacing w:after="0"/>
              <w:ind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Товар, не соответствующий требованиям, подл</w:t>
            </w:r>
            <w:r>
              <w:rPr>
                <w:rFonts w:ascii="Times New Roman" w:hAnsi="Times New Roman"/>
                <w:sz w:val="24"/>
              </w:rPr>
              <w:t>ежит замене за счет Исполнителя</w:t>
            </w:r>
          </w:p>
        </w:tc>
        <w:tc>
          <w:tcPr>
            <w:tcW w:type="dxa" w:w="284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42000000">
            <w:pPr>
              <w:widowControl w:val="1"/>
              <w:spacing w:after="40"/>
              <w:ind/>
              <w:jc w:val="center"/>
            </w:pPr>
            <w:r>
              <w:drawing>
                <wp:inline>
                  <wp:extent cx="1389380" cy="2208064"/>
                  <wp:effectExtent b="0" l="0" r="0" t="0"/>
                  <wp:docPr hidden="false" id="2" name="Picture 2"/>
                  <a:graphic>
                    <a:graphicData uri="http://schemas.openxmlformats.org/drawingml/2006/picture">
                      <pic:pic>
                        <pic:nvPicPr>
                          <pic:cNvPr hidden="false" id="1" name="Picture 1"/>
                          <pic:cNvPicPr preferRelativeResize="true"/>
                        </pic:nvPicPr>
                        <pic:blipFill>
                          <a:blip r:embed="rId1"/>
                          <a:stretch/>
                        </pic:blipFill>
                        <pic:spPr>
                          <a:xfrm flipH="false" flipV="false" rot="0">
                            <a:ext cx="1389380" cy="2208064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>
                  <wp:extent cx="1328419" cy="1987867"/>
                  <wp:effectExtent b="0" l="0" r="0" t="0"/>
                  <wp:docPr hidden="false" id="4" name="Picture 4"/>
                  <a:graphic>
                    <a:graphicData uri="http://schemas.openxmlformats.org/drawingml/2006/picture">
                      <pic:pic>
                        <pic:nvPicPr>
                          <pic:cNvPr hidden="false" id="3" name="Picture 3"/>
                          <pic:cNvPicPr preferRelativeResize="true"/>
                        </pic:nvPicPr>
                        <pic:blipFill>
                          <a:blip r:embed="rId2"/>
                          <a:stretch/>
                        </pic:blipFill>
                        <pic:spPr>
                          <a:xfrm flipH="false" flipV="false" rot="0">
                            <a:ext cx="1328419" cy="1987867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 w14:paraId="43000000"/>
          <w:p w14:paraId="44000000">
            <w:pPr>
              <w:widowControl w:val="1"/>
              <w:spacing w:after="40"/>
              <w:ind/>
              <w:jc w:val="center"/>
            </w:pPr>
          </w:p>
        </w:tc>
        <w:tc>
          <w:tcPr>
            <w:tcW w:type="dxa" w:w="159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40"/>
              <w:left w:type="dxa" w:w="80"/>
              <w:bottom w:type="dxa" w:w="40"/>
              <w:right w:type="dxa" w:w="80"/>
            </w:tcMar>
            <w:vAlign w:val="center"/>
          </w:tcPr>
          <w:p w14:paraId="45000000">
            <w:pPr>
              <w:widowControl w:val="1"/>
              <w:spacing w:after="40"/>
              <w:ind/>
              <w:jc w:val="center"/>
            </w:pPr>
            <w:r>
              <w:t>400</w:t>
            </w:r>
          </w:p>
        </w:tc>
      </w:tr>
    </w:tbl>
    <w:p w14:paraId="46000000">
      <w:pPr>
        <w:widowControl w:val="1"/>
        <w:spacing w:after="100"/>
        <w:ind/>
      </w:pPr>
    </w:p>
    <w:p w14:paraId="47000000">
      <w:pPr>
        <w:widowControl w:val="1"/>
        <w:spacing w:after="100"/>
        <w:ind/>
      </w:pPr>
      <w:r>
        <w:t>1. Порядок оплаты –</w:t>
      </w:r>
      <w:r>
        <w:t>согласно акта</w:t>
      </w:r>
      <w:r>
        <w:t xml:space="preserve"> сдачи-приемки товара</w:t>
      </w:r>
    </w:p>
    <w:p w14:paraId="48000000">
      <w:pPr>
        <w:widowControl w:val="1"/>
        <w:spacing w:after="100"/>
        <w:ind/>
      </w:pPr>
      <w:r>
        <w:t>2. Поставляемая продукция должна полностью соответствовать требованиям, указанным в Техническом задании.</w:t>
      </w:r>
    </w:p>
    <w:p w14:paraId="49000000">
      <w:pPr>
        <w:widowControl w:val="1"/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изготовлен</w:t>
      </w:r>
      <w:r>
        <w:rPr>
          <w:rFonts w:ascii="Times New Roman" w:hAnsi="Times New Roman"/>
          <w:sz w:val="24"/>
        </w:rPr>
        <w:t>ию и печати на магнитах прилагается утвержденный Заказчиком макет</w:t>
      </w:r>
      <w:r>
        <w:rPr>
          <w:rFonts w:ascii="Times New Roman" w:hAnsi="Times New Roman"/>
          <w:sz w:val="24"/>
        </w:rPr>
        <w:t>:</w:t>
      </w:r>
    </w:p>
    <w:p w14:paraId="4A000000">
      <w:pPr>
        <w:widowControl w:val="1"/>
        <w:numPr>
          <w:ilvl w:val="0"/>
          <w:numId w:val="1"/>
        </w:numPr>
        <w:spacing w:after="0" w:line="240" w:lineRule="auto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Изображение №1 — </w:t>
      </w:r>
      <w:r>
        <w:rPr>
          <w:rFonts w:ascii="Times New Roman" w:hAnsi="Times New Roman"/>
          <w:sz w:val="24"/>
        </w:rPr>
        <w:t>волк, изображение № 2 - сайгак.</w:t>
      </w:r>
    </w:p>
    <w:sectPr>
      <w:pgSz w:h="11908" w:orient="landscape" w:w="16848"/>
      <w:pgMar w:bottom="995" w:footer="708" w:gutter="0" w:header="708" w:left="851" w:right="850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numFmt w:val="bullet"/>
      <w:lvlText w:val=""/>
      <w:pPr>
        <w:widowControl w:val="1"/>
        <w:ind w:hanging="360" w:left="720"/>
      </w:pPr>
      <w:rPr>
        <w:rFonts w:ascii="Symbol" w:hAnsi="Symbol"/>
      </w:rPr>
    </w:lvl>
    <w:lvl w:ilvl="1">
      <w:numFmt w:val="bullet"/>
      <w:lvlText w:val="o"/>
      <w:pPr>
        <w:widowControl w:val="1"/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widowControl w:val="1"/>
        <w:ind w:hanging="360" w:left="2160"/>
      </w:pPr>
      <w:rPr>
        <w:rFonts w:ascii="Wingdings" w:hAnsi="Wingdings"/>
      </w:rPr>
    </w:lvl>
    <w:lvl w:ilvl="3">
      <w:numFmt w:val="bullet"/>
      <w:lvlText w:val=""/>
      <w:pPr>
        <w:widowControl w:val="1"/>
        <w:ind w:hanging="360" w:left="2880"/>
      </w:pPr>
      <w:rPr>
        <w:rFonts w:ascii="Symbol" w:hAnsi="Symbol"/>
      </w:rPr>
    </w:lvl>
    <w:lvl w:ilvl="4">
      <w:numFmt w:val="bullet"/>
      <w:lvlText w:val="o"/>
      <w:pPr>
        <w:widowControl w:val="1"/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widowControl w:val="1"/>
        <w:ind w:hanging="360" w:left="4320"/>
      </w:pPr>
      <w:rPr>
        <w:rFonts w:ascii="Wingdings" w:hAnsi="Wingdings"/>
      </w:rPr>
    </w:lvl>
    <w:lvl w:ilvl="6">
      <w:numFmt w:val="bullet"/>
      <w:lvlText w:val=""/>
      <w:pPr>
        <w:widowControl w:val="1"/>
        <w:ind w:hanging="360" w:left="5040"/>
      </w:pPr>
      <w:rPr>
        <w:rFonts w:ascii="Symbol" w:hAnsi="Symbol"/>
      </w:rPr>
    </w:lvl>
    <w:lvl w:ilvl="7">
      <w:numFmt w:val="bullet"/>
      <w:lvlText w:val="o"/>
      <w:pPr>
        <w:widowControl w:val="1"/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link w:val="Style_9_ch"/>
    <w:uiPriority w:val="9"/>
    <w:qFormat/>
    <w:pPr>
      <w:widowControl w:val="1"/>
      <w:ind/>
      <w:outlineLvl w:val="2"/>
    </w:pPr>
    <w:rPr>
      <w:color w:val="1F4D78"/>
      <w:sz w:val="24"/>
    </w:rPr>
  </w:style>
  <w:style w:styleId="Style_9_ch" w:type="character">
    <w:name w:val="heading 3"/>
    <w:link w:val="Style_9"/>
    <w:rPr>
      <w:color w:val="1F4D78"/>
      <w:sz w:val="24"/>
    </w:rPr>
  </w:style>
  <w:style w:styleId="Style_10" w:type="paragraph">
    <w:name w:val="toc 3"/>
    <w:next w:val="Style_3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link w:val="Style_11_ch"/>
    <w:uiPriority w:val="9"/>
    <w:qFormat/>
    <w:pPr>
      <w:widowControl w:val="1"/>
      <w:ind/>
      <w:outlineLvl w:val="4"/>
    </w:pPr>
    <w:rPr>
      <w:color w:val="2E74B5"/>
      <w:sz w:val="24"/>
    </w:rPr>
  </w:style>
  <w:style w:styleId="Style_11_ch" w:type="character">
    <w:name w:val="heading 5"/>
    <w:link w:val="Style_11"/>
    <w:rPr>
      <w:color w:val="2E74B5"/>
      <w:sz w:val="24"/>
    </w:rPr>
  </w:style>
  <w:style w:styleId="Style_12" w:type="paragraph">
    <w:name w:val="heading 1"/>
    <w:link w:val="Style_12_ch"/>
    <w:uiPriority w:val="9"/>
    <w:qFormat/>
    <w:pPr>
      <w:widowControl w:val="1"/>
      <w:ind/>
      <w:outlineLvl w:val="0"/>
    </w:pPr>
    <w:rPr>
      <w:color w:val="2E74B5"/>
      <w:sz w:val="32"/>
    </w:rPr>
  </w:style>
  <w:style w:styleId="Style_12_ch" w:type="character">
    <w:name w:val="heading 1"/>
    <w:link w:val="Style_12"/>
    <w:rPr>
      <w:color w:val="2E74B5"/>
      <w:sz w:val="32"/>
    </w:rPr>
  </w:style>
  <w:style w:styleId="Style_13" w:type="paragraph">
    <w:name w:val="Hyperlink"/>
    <w:link w:val="Style_13_ch"/>
    <w:rPr>
      <w:color w:val="0563C1"/>
      <w:u w:val="single"/>
    </w:rPr>
  </w:style>
  <w:style w:styleId="Style_13_ch" w:type="character">
    <w:name w:val="Hyperlink"/>
    <w:link w:val="Style_13"/>
    <w:rPr>
      <w:color w:val="0563C1"/>
      <w:u w:val="single"/>
    </w:rPr>
  </w:style>
  <w:style w:styleId="Style_14" w:type="paragraph">
    <w:name w:val="Footnote"/>
    <w:link w:val="Style_14_ch"/>
  </w:style>
  <w:style w:styleId="Style_14_ch" w:type="character">
    <w:name w:val="Footnote"/>
    <w:link w:val="Style_14"/>
  </w:style>
  <w:style w:styleId="Style_15" w:type="paragraph">
    <w:name w:val="toc 1"/>
    <w:next w:val="Style_3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List Paragraph"/>
    <w:link w:val="Style_19_ch"/>
    <w:rPr>
      <w:sz w:val="24"/>
    </w:rPr>
  </w:style>
  <w:style w:styleId="Style_19_ch" w:type="character">
    <w:name w:val="List Paragraph"/>
    <w:link w:val="Style_19"/>
    <w:rPr>
      <w:sz w:val="24"/>
    </w:rPr>
  </w:style>
  <w:style w:styleId="Style_20" w:type="paragraph">
    <w:name w:val="Строгий1"/>
    <w:link w:val="Style_20_ch"/>
    <w:rPr>
      <w:b w:val="1"/>
      <w:sz w:val="24"/>
    </w:rPr>
  </w:style>
  <w:style w:styleId="Style_20_ch" w:type="character">
    <w:name w:val="Строгий1"/>
    <w:link w:val="Style_20"/>
    <w:rPr>
      <w:b w:val="1"/>
      <w:sz w:val="24"/>
    </w:rPr>
  </w:style>
  <w:style w:styleId="Style_21" w:type="paragraph">
    <w:name w:val="toc 5"/>
    <w:next w:val="Style_3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3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1" w:type="paragraph">
    <w:name w:val="Style4"/>
    <w:basedOn w:val="Style_3"/>
    <w:link w:val="Style_1_ch"/>
    <w:pPr>
      <w:widowControl w:val="0"/>
      <w:spacing w:line="274" w:lineRule="exact"/>
      <w:ind w:firstLine="706"/>
      <w:jc w:val="both"/>
    </w:pPr>
  </w:style>
  <w:style w:styleId="Style_1_ch" w:type="character">
    <w:name w:val="Style4"/>
    <w:basedOn w:val="Style_3_ch"/>
    <w:link w:val="Style_1"/>
  </w:style>
  <w:style w:styleId="Style_23" w:type="paragraph">
    <w:name w:val="Title"/>
    <w:link w:val="Style_23_ch"/>
    <w:uiPriority w:val="10"/>
    <w:qFormat/>
    <w:rPr>
      <w:sz w:val="56"/>
    </w:rPr>
  </w:style>
  <w:style w:styleId="Style_23_ch" w:type="character">
    <w:name w:val="Title"/>
    <w:link w:val="Style_23"/>
    <w:rPr>
      <w:sz w:val="56"/>
    </w:rPr>
  </w:style>
  <w:style w:styleId="Style_24" w:type="paragraph">
    <w:name w:val="heading 4"/>
    <w:link w:val="Style_24_ch"/>
    <w:uiPriority w:val="9"/>
    <w:qFormat/>
    <w:pPr>
      <w:widowControl w:val="1"/>
      <w:ind/>
      <w:outlineLvl w:val="3"/>
    </w:pPr>
    <w:rPr>
      <w:i w:val="1"/>
      <w:color w:val="2E74B5"/>
      <w:sz w:val="24"/>
    </w:rPr>
  </w:style>
  <w:style w:styleId="Style_24_ch" w:type="character">
    <w:name w:val="heading 4"/>
    <w:link w:val="Style_24"/>
    <w:rPr>
      <w:i w:val="1"/>
      <w:color w:val="2E74B5"/>
      <w:sz w:val="24"/>
    </w:rPr>
  </w:style>
  <w:style w:styleId="Style_25" w:type="paragraph">
    <w:name w:val="Default Paragraph Font"/>
    <w:link w:val="Style_25_ch"/>
  </w:style>
  <w:style w:styleId="Style_25_ch" w:type="character">
    <w:name w:val="Default Paragraph Font"/>
    <w:link w:val="Style_25"/>
  </w:style>
  <w:style w:styleId="Style_26" w:type="paragraph">
    <w:name w:val="heading 2"/>
    <w:link w:val="Style_26_ch"/>
    <w:uiPriority w:val="9"/>
    <w:qFormat/>
    <w:pPr>
      <w:widowControl w:val="1"/>
      <w:ind/>
      <w:outlineLvl w:val="1"/>
    </w:pPr>
    <w:rPr>
      <w:color w:val="2E74B5"/>
      <w:sz w:val="26"/>
    </w:rPr>
  </w:style>
  <w:style w:styleId="Style_26_ch" w:type="character">
    <w:name w:val="heading 2"/>
    <w:link w:val="Style_26"/>
    <w:rPr>
      <w:color w:val="2E74B5"/>
      <w:sz w:val="26"/>
    </w:rPr>
  </w:style>
  <w:style w:styleId="Style_27" w:type="paragraph">
    <w:name w:val="footnote reference"/>
    <w:link w:val="Style_27_ch"/>
    <w:rPr>
      <w:vertAlign w:val="superscript"/>
    </w:rPr>
  </w:style>
  <w:style w:styleId="Style_27_ch" w:type="character">
    <w:name w:val="footnote reference"/>
    <w:link w:val="Style_27"/>
    <w:rPr>
      <w:vertAlign w:val="superscript"/>
    </w:rPr>
  </w:style>
  <w:style w:styleId="Style_28" w:type="paragraph">
    <w:name w:val="heading 6"/>
    <w:link w:val="Style_28_ch"/>
    <w:uiPriority w:val="9"/>
    <w:qFormat/>
    <w:pPr>
      <w:widowControl w:val="1"/>
      <w:ind/>
      <w:outlineLvl w:val="5"/>
    </w:pPr>
    <w:rPr>
      <w:color w:val="1F4D78"/>
      <w:sz w:val="24"/>
    </w:rPr>
  </w:style>
  <w:style w:styleId="Style_28_ch" w:type="character">
    <w:name w:val="heading 6"/>
    <w:link w:val="Style_28"/>
    <w:rPr>
      <w:color w:val="1F4D78"/>
      <w:sz w:val="24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2026-03-30T10:54:00Z</dcterms:created>
  <dcterms:modified xsi:type="dcterms:W3CDTF">2026-07-30T11:07:05Z</dcterms:modified>
</cp:coreProperties>
</file>