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FirstPage.xml" ContentType="application/vnd.openxmlformats-officedocument.wordprocessingml.header+xml"/>
  <Override PartName="/word/footerFirstPage.xml" ContentType="application/vnd.openxmlformats-officedocument.wordprocessingml.footer+xml"/>
  <Override PartName="/word/headerEvenPages.xml" ContentType="application/vnd.openxmlformats-officedocument.wordprocessingml.header+xml"/>
  <Override PartName="/word/footerEvenPages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>
  <w:body>
    <w:tbl>
      <w:tblPr>
        <w:tblW w:w="5000" w:type="pct"/>
        <w:tblLayout w:type="fixed"/>
        <w:tblBorders>
          <w:insideH w:val="single" w:sz="6" w:color="auto"/>
          <w:insideV w:val="single" w:sz="6" w:color="auto"/>
        </w:tblBorders>
        <w:tblCellMar>
          <w:top w:w="15" w:type="dxa"/>
          <w:left w:w="15" w:type="dxa"/>
          <w:bottom w:w="15" w:type="dxa"/>
          <w:right w:w="15" w:type="dxa"/>
        </w:tblCellMar>
        <w:shd w:val="clear" w:color="auto" w:fill="FFFFFF"/>
      </w:tblPr>
      <w:tblGrid>
        <w:gridCol w:w="4575"/>
        <w:gridCol w:w="3720"/>
      </w:tblGrid>
      <w:tr>
        <w:tc>
          <w:tcPr>
            <w:tcW w:w="3990" w:type="dxa"/>
            <w:tcBorders>
              <w:left w:val="nil"/>
              <w:top w:val="nil"/>
              <w:right w:val="nil"/>
              <w:bottom w:val="nil"/>
            </w:tcBorders>
            <w:shd w:val="clear" w:color="auto" w:fill="FFFFFF"/>
          </w:tcPr>
          <w:p>
            <w:pPr>
              <w:rPr>
                <w:shd w:val="clear" w:color="auto" w:fill="FFFF99"/>
              </w:rPr>
            </w:pPr>
            <w:r>
              <w:rPr>
                <w:shd w:val="clear" w:color="auto" w:fill="FFFF99"/>
              </w:rPr>
              <w:t/>
            </w:r>
          </w:p>
        </w:tc>
        <w:tc>
          <w:tcPr>
            <w:tcW w:w="3240" w:type="dxa"/>
            <w:tcBorders>
              <w:left w:val="nil"/>
              <w:top w:val="nil"/>
              <w:right w:val="nil"/>
              <w:bottom w:val="nil"/>
            </w:tcBorders>
            <w:shd w:val="clear" w:color="auto" w:fill="FFFFFF"/>
          </w:tcPr>
          <w:p>
            <w:pPr>
              <w:rPr>
                <w:shd w:val="clear" w:color="auto" w:fill="FFFF99"/>
              </w:rPr>
            </w:pPr>
            <w:r>
              <w:rPr>
                <w:shd w:val="clear" w:color="auto" w:fill="FFFF99"/>
              </w:rPr>
              <w:t/>
            </w:r>
          </w:p>
        </w:tc>
      </w:tr>
      <w:tr>
        <w:tc>
          <w:tcPr>
            <w:tcW w:w="3990" w:type="dxa"/>
            <w:tcBorders>
              <w:left w:val="nil"/>
              <w:top w:val="nil"/>
              <w:right w:val="nil"/>
              <w:bottom w:val="nil"/>
            </w:tcBorders>
            <w:shd w:val="clear" w:color="auto" w:fill="FFFFFF"/>
          </w:tcPr>
          <w:p>
            <w:pPr/>
            <w:r>
              <w:t/>
            </w:r>
          </w:p>
        </w:tc>
        <w:tc>
          <w:tcPr>
            <w:tcW w:w="3240" w:type="dxa"/>
            <w:tcBorders>
              <w:left w:val="nil"/>
              <w:top w:val="nil"/>
              <w:right w:val="nil"/>
              <w:bottom w:val="nil"/>
            </w:tcBorders>
            <w:shd w:val="clear" w:color="auto" w:fill="FFFFFF"/>
          </w:tcPr>
          <w:p>
            <w:pPr/>
            <w:r>
              <w:t/>
            </w:r>
          </w:p>
        </w:tc>
      </w:tr>
    </w:tbl>
    <w:p>
      <w:pPr>
        <w:jc w:val="center"/>
      </w:pPr>
      <w:r>
        <w:rPr>
          <w:b/>
          <w:sz w:val="24"/>
        </w:rPr>
        <w:t>ОКПД2 65 12 49 000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/>
      </w:r>
    </w:p>
    <w:p>
      <w:pPr>
        <w:jc w:val="center"/>
      </w:pPr>
      <w:r>
        <w:rPr>
          <w:b/>
          <w:sz w:val="24"/>
        </w:rPr>
        <w:t xml:space="preserve">Техническое задание </w:t>
      </w:r>
    </w:p>
    <w:p>
      <w:pPr>
        <w:jc w:val="center"/>
      </w:pPr>
      <w:r>
        <w:rPr>
          <w:sz w:val="24"/>
        </w:rPr>
        <w:t>на оказание услуги по страхованию финансовых рисков по локализации и ликвидации последствий ЧС.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/>
      </w:r>
    </w:p>
    <w:p>
      <w:pPr>
        <w:ind w:firstLine="705"/>
      </w:pPr>
      <w:r>
        <w:rPr>
          <w:b/>
          <w:sz w:val="24"/>
        </w:rPr>
        <w:t>1. Общие сведения о закупке</w:t>
      </w:r>
    </w:p>
    <w:p>
      <w:pPr>
        <w:pStyle w:val="13"/>
        <w:jc w:val="both"/>
        <w:spacing w:before="0" w:after="0"/>
        <w:shd w:val="clear" w:color="auto" w:fill="auto"/>
        <w:tabs>
          <w:tab w:val="left" w:pos="510"/>
        </w:tabs>
      </w:pPr>
      <w:r>
        <w:rPr>
          <w:rFonts w:ascii="Times New Roman" w:hAnsi="Times New Roman" w:cs="Times New Roman" w:eastAsia="Times New Roman"/>
          <w:sz w:val="24"/>
        </w:rPr>
        <w:tab/>
      </w:r>
      <w:r>
        <w:rPr>
          <w:rFonts w:ascii="Times New Roman" w:hAnsi="Times New Roman" w:cs="Times New Roman" w:eastAsia="Times New Roman"/>
          <w:sz w:val="24"/>
        </w:rPr>
        <w:t>1.1. Заказчиком (страхователем) является Федеральное государственное бюджетное учреждение «Новокузнецкий научно-практический центр медико-социальной экспертизы и реабилитации инвалидов» Министерства труда и социальной защиты Российской Федерации (ФГБУ ННПЦ МСЭ и РИ Минтруда России) г. Новокузнецк ул. Малая д.7</w:t>
      </w:r>
    </w:p>
    <w:p>
      <w:pPr>
        <w:pStyle w:val="13"/>
        <w:jc w:val="both"/>
        <w:spacing w:before="0" w:after="0"/>
        <w:shd w:val="clear" w:color="auto" w:fill="auto"/>
        <w:tabs>
          <w:tab w:val="left" w:pos="510"/>
        </w:tabs>
      </w:pPr>
      <w:r>
        <w:rPr>
          <w:rFonts w:ascii="Times New Roman" w:hAnsi="Times New Roman" w:cs="Times New Roman" w:eastAsia="Times New Roman"/>
          <w:sz w:val="24"/>
        </w:rPr>
        <w:tab/>
      </w:r>
      <w:r>
        <w:rPr>
          <w:rFonts w:ascii="Times New Roman" w:hAnsi="Times New Roman" w:cs="Times New Roman" w:eastAsia="Times New Roman"/>
          <w:sz w:val="24"/>
        </w:rPr>
        <w:t xml:space="preserve">1.2. Целью проведения закупки является услуга по страхованию финансовых рисков на 1000000р. (один миллион рублей) сроком на один год, связанных с расходами по локализации и ликвидации последствий чрезвычайных ситуаций объектах ФГБУ ННПЦ МСЭ и РИ Минтруда России </w:t>
      </w:r>
    </w:p>
    <w:p>
      <w:pPr>
        <w:pStyle w:val="13"/>
        <w:jc w:val="both"/>
        <w:spacing w:before="0" w:after="0"/>
        <w:shd w:val="clear" w:color="auto" w:fill="auto"/>
        <w:tabs>
          <w:tab w:val="left" w:pos="510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/>
      </w:r>
    </w:p>
    <w:p>
      <w:pPr>
        <w:jc w:val="both"/>
        <w:ind w:firstLine="705"/>
      </w:pPr>
      <w:r>
        <w:rPr>
          <w:b/>
          <w:sz w:val="24"/>
        </w:rPr>
        <w:t>2. Объект страхования</w:t>
      </w:r>
    </w:p>
    <w:p>
      <w:pPr>
        <w:jc w:val="both"/>
        <w:ind w:firstLine="705"/>
      </w:pPr>
      <w:r>
        <w:rPr>
          <w:sz w:val="24"/>
        </w:rPr>
        <w:t>Имущественные интересы страхователя связанные с риском его убытков в виде возникновения непредвиденных расходов на локализацию и/или ликвидацию в результате чрезвычайных ситуаций природного и техногенного характера, а также аварий и инцидентов, приведшим к чрезвычайным ситуациям, происшедшим на территории страхования.</w:t>
      </w:r>
    </w:p>
    <w:p>
      <w:pPr>
        <w:jc w:val="both"/>
        <w:ind w:left="360" w:firstLine="345"/>
        <w:rPr>
          <w:sz w:val="24"/>
        </w:rPr>
      </w:pPr>
      <w:r>
        <w:rPr>
          <w:sz w:val="24"/>
        </w:rPr>
        <w:t/>
      </w:r>
    </w:p>
    <w:p>
      <w:pPr>
        <w:jc w:val="both"/>
        <w:ind w:left="360" w:firstLine="345"/>
      </w:pPr>
      <w:r>
        <w:rPr>
          <w:b/>
          <w:sz w:val="24"/>
        </w:rPr>
        <w:t>3. Страховые случаи/риски</w:t>
      </w:r>
    </w:p>
    <w:p>
      <w:pPr>
        <w:jc w:val="both"/>
        <w:ind w:firstLine="705"/>
      </w:pPr>
      <w:r>
        <w:rPr>
          <w:sz w:val="24"/>
        </w:rPr>
        <w:t>3.1 .Страховым случаем является возникновение у Страхователя дополнительных расходов, направленных на проведение мероприятий по ликвидации и локализации чрезвычайных ситуаций, произошедших в течение срока действия договора страхования, в том числе расходов на:</w:t>
      </w:r>
    </w:p>
    <w:p>
      <w:pPr>
        <w:jc w:val="both"/>
      </w:pPr>
      <w:r>
        <w:rPr>
          <w:sz w:val="24"/>
        </w:rPr>
        <w:tab/>
      </w:r>
      <w:r>
        <w:rPr>
          <w:sz w:val="24"/>
        </w:rPr>
        <w:t>а).  Проведение поисковых и аварийно-спасательных работ.</w:t>
      </w:r>
    </w:p>
    <w:p>
      <w:pPr>
        <w:jc w:val="both"/>
      </w:pPr>
      <w:r>
        <w:rPr>
          <w:sz w:val="24"/>
        </w:rPr>
        <w:tab/>
      </w:r>
      <w:r>
        <w:rPr>
          <w:sz w:val="24"/>
        </w:rPr>
        <w:t>б). Проведение неотложных аварийно-спасательных работ на объектах топливно-энергетического комплекса, нефтехимии,  жилищно-коммунального хозяйства и социальной сферы, пострадавших в результате чрезвычайной ситуации.</w:t>
      </w:r>
    </w:p>
    <w:p>
      <w:pPr>
        <w:jc w:val="both"/>
      </w:pPr>
      <w:r>
        <w:rPr>
          <w:sz w:val="24"/>
        </w:rPr>
        <w:tab/>
      </w:r>
      <w:r>
        <w:rPr>
          <w:sz w:val="24"/>
        </w:rPr>
        <w:t>в) Закупку, доставку и кратковременное хранение материальных ресурсов для первоочередного жизнеобеспечения пострадавшего населения.</w:t>
      </w:r>
    </w:p>
    <w:p>
      <w:pPr>
        <w:jc w:val="both"/>
      </w:pPr>
      <w:r>
        <w:rPr>
          <w:sz w:val="24"/>
        </w:rPr>
        <w:tab/>
      </w:r>
      <w:r>
        <w:rPr>
          <w:sz w:val="24"/>
        </w:rPr>
        <w:t>г) Развертывание, содержание временных пунктов проживания и питания для пострадавших граждан.</w:t>
      </w:r>
    </w:p>
    <w:p>
      <w:pPr>
        <w:jc w:val="both"/>
      </w:pPr>
      <w:r>
        <w:rPr>
          <w:sz w:val="24"/>
        </w:rPr>
        <w:tab/>
      </w:r>
      <w:r>
        <w:rPr>
          <w:sz w:val="24"/>
        </w:rPr>
        <w:t>д) Доставку материальных ресурсов из материального резерва к месту чрезвычайной ситуации.</w:t>
      </w:r>
    </w:p>
    <w:p>
      <w:pPr>
        <w:jc w:val="both"/>
      </w:pPr>
      <w:r>
        <w:rPr>
          <w:sz w:val="24"/>
        </w:rPr>
        <w:tab/>
      </w:r>
      <w:r>
        <w:rPr>
          <w:sz w:val="24"/>
        </w:rPr>
        <w:t>е) Проведение экстренных мероприятий по локализации и ликвидации чрезвычайной ситуации.</w:t>
      </w:r>
    </w:p>
    <w:p>
      <w:pPr>
        <w:jc w:val="both"/>
      </w:pPr>
      <w:r>
        <w:rPr>
          <w:sz w:val="24"/>
        </w:rPr>
        <w:tab/>
      </w:r>
      <w:r>
        <w:rPr>
          <w:sz w:val="24"/>
        </w:rPr>
        <w:t>ж) Привлечение сил и средств окружной подсистемы Единой государственной системы предупреждения и ликвидации чрезвычайных ситуаций (РСЧС), а также других организаций для проведения экстренных мероприятий по локализации и ликвидации чрезвычайных ситуаций.</w:t>
      </w:r>
    </w:p>
    <w:p>
      <w:pPr>
        <w:jc w:val="both"/>
        <w:ind w:firstLine="855"/>
      </w:pPr>
      <w:r>
        <w:rPr>
          <w:sz w:val="24"/>
        </w:rPr>
        <w:t>При наступлении страхового случая возмещению подлежат также расходы, понесенные Страхователем с целью уменьшения убытка, возмещаемого по настоящим Дополнительным условиям, если такие расходы были необходимы или были произведены для выполнения письменных указаний Страховщика.</w:t>
      </w:r>
    </w:p>
    <w:p>
      <w:pPr>
        <w:jc w:val="both"/>
        <w:ind w:firstLine="570"/>
        <w:rPr>
          <w:b/>
          <w:u w:val="single"/>
          <w:sz w:val="24"/>
        </w:rPr>
      </w:pPr>
      <w:r>
        <w:rPr>
          <w:b/>
          <w:u w:val="single"/>
          <w:sz w:val="24"/>
        </w:rPr>
        <w:t/>
      </w:r>
    </w:p>
    <w:p>
      <w:pPr>
        <w:jc w:val="center"/>
        <w:ind w:firstLine="345"/>
        <w:rPr>
          <w:sz w:val="24"/>
        </w:rPr>
      </w:pPr>
      <w:r>
        <w:rPr>
          <w:sz w:val="24"/>
        </w:rPr>
        <w:t/>
      </w:r>
    </w:p>
    <w:p>
      <w:pPr>
        <w:jc w:val="center"/>
        <w:ind w:firstLine="345"/>
      </w:pPr>
      <w:r>
        <w:rPr>
          <w:sz w:val="24"/>
        </w:rPr>
        <w:t>Технико-экономические показатели объектов на основании технического плана зданий.</w:t>
      </w:r>
    </w:p>
    <w:tbl>
      <w:tblPr>
        <w:tblW w:w="4900" w:type="pct"/>
        <w:tblLayout w:type="fixed"/>
        <w:tblCellMar>
          <w:top w:w="0" w:type="dxa"/>
          <w:left w:w="105" w:type="dxa"/>
          <w:bottom w:w="0" w:type="dxa"/>
          <w:right w:w="105" w:type="dxa"/>
        </w:tblCellMar>
        <w:tblInd w:w="135" w:type="dxa"/>
      </w:tblPr>
      <w:tblGrid>
        <w:gridCol w:w="750"/>
        <w:gridCol w:w="1860"/>
        <w:gridCol w:w="1470"/>
        <w:gridCol w:w="2850"/>
        <w:gridCol w:w="1065"/>
      </w:tblGrid>
      <w:tr>
        <w:trPr>
          <w:trHeight w:val="690" w:hRule="atLeast"/>
        </w:trPr>
        <w:tc>
          <w:tcPr>
            <w:tcW w:w="450" w:type="pct"/>
            <w:tcBorders>
              <w:left w:val="single" w:sz="6" w:color="000000"/>
              <w:top w:val="single" w:sz="6" w:color="000000"/>
              <w:right w:val="single" w:sz="6" w:color="000000"/>
              <w:bottom w:val="single" w:sz="6" w:color="000000"/>
            </w:tcBorders>
            <w:vAlign w:val="center"/>
          </w:tcPr>
          <w:p>
            <w:pPr>
              <w:jc w:val="center"/>
            </w:pPr>
            <w:r>
              <w:t>№ проекта п/п</w:t>
            </w:r>
          </w:p>
        </w:tc>
        <w:tc>
          <w:tcPr>
            <w:tcW w:w="1150" w:type="pct"/>
            <w:tcBorders>
              <w:left w:val="nil"/>
              <w:top w:val="single" w:sz="6" w:color="000000"/>
              <w:right w:val="single" w:sz="6" w:color="000000"/>
              <w:bottom w:val="single" w:sz="6" w:color="000000"/>
            </w:tcBorders>
            <w:vAlign w:val="center"/>
          </w:tcPr>
          <w:p>
            <w:pPr>
              <w:jc w:val="center"/>
            </w:pPr>
            <w:r>
              <w:t>Адрес объекта</w:t>
            </w:r>
          </w:p>
        </w:tc>
        <w:tc>
          <w:tcPr>
            <w:tcW w:w="900" w:type="pct"/>
            <w:tcBorders>
              <w:left w:val="nil"/>
              <w:top w:val="single" w:sz="6" w:color="000000"/>
              <w:right w:val="single" w:sz="6" w:color="000000"/>
              <w:bottom w:val="single" w:sz="6" w:color="000000"/>
            </w:tcBorders>
            <w:vAlign w:val="center"/>
          </w:tcPr>
          <w:p>
            <w:pPr>
              <w:jc w:val="center"/>
            </w:pPr>
            <w:r>
              <w:t>Жилое/нежилое</w:t>
            </w:r>
          </w:p>
        </w:tc>
        <w:tc>
          <w:tcPr>
            <w:tcW w:w="1750" w:type="pct"/>
            <w:tcBorders>
              <w:left w:val="nil"/>
              <w:top w:val="single" w:sz="6" w:color="000000"/>
              <w:right w:val="single" w:sz="6" w:color="000000"/>
              <w:bottom w:val="single" w:sz="6" w:color="000000"/>
            </w:tcBorders>
            <w:vAlign w:val="center"/>
          </w:tcPr>
          <w:p>
            <w:pPr>
              <w:jc w:val="center"/>
            </w:pPr>
            <w:r>
              <w:t xml:space="preserve">Функциональное назначение </w:t>
            </w:r>
          </w:p>
        </w:tc>
        <w:tc>
          <w:tcPr>
            <w:tcW w:w="650" w:type="pct"/>
            <w:tcBorders>
              <w:left w:val="nil"/>
              <w:top w:val="single" w:sz="6" w:color="000000"/>
              <w:right w:val="single" w:sz="6" w:color="000000"/>
              <w:bottom w:val="single" w:sz="6" w:color="000000"/>
            </w:tcBorders>
            <w:vAlign w:val="center"/>
          </w:tcPr>
          <w:p>
            <w:pPr>
              <w:jc w:val="center"/>
            </w:pPr>
            <w:r>
              <w:t>Общая площадь здания м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>
        <w:trPr>
          <w:trHeight w:val="240" w:hRule="atLeast"/>
        </w:trPr>
        <w:tc>
          <w:tcPr>
            <w:tcW w:w="450" w:type="pct"/>
            <w:tcBorders>
              <w:left w:val="single" w:sz="6" w:color="000000"/>
              <w:top w:val="nil"/>
              <w:right w:val="nil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150" w:type="pct"/>
            <w:tcBorders>
              <w:left w:val="single" w:sz="6" w:color="000000"/>
              <w:top w:val="nil"/>
              <w:right w:val="nil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Улица Мадая дом 7</w:t>
            </w:r>
          </w:p>
        </w:tc>
        <w:tc>
          <w:tcPr>
            <w:tcW w:w="900" w:type="pct"/>
            <w:tcBorders>
              <w:left w:val="single" w:sz="6" w:color="000000"/>
              <w:top w:val="nil"/>
              <w:right w:val="single" w:sz="6" w:color="000000"/>
              <w:bottom w:val="single" w:sz="6" w:color="000000"/>
            </w:tcBorders>
            <w:vAlign w:val="center"/>
          </w:tcPr>
          <w:p>
            <w:pPr>
              <w:jc w:val="center"/>
            </w:pPr>
            <w:r>
              <w:t>нежилое</w:t>
            </w:r>
          </w:p>
        </w:tc>
        <w:tc>
          <w:tcPr>
            <w:tcW w:w="1750" w:type="pct"/>
            <w:tcBorders>
              <w:left w:val="nil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Отдельно стоящее нежилое здание (Поликлиника и больница)</w:t>
            </w:r>
          </w:p>
        </w:tc>
        <w:tc>
          <w:tcPr>
            <w:tcW w:w="650" w:type="pct"/>
            <w:tcBorders>
              <w:left w:val="nil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17992,4 </w:t>
            </w:r>
          </w:p>
        </w:tc>
      </w:tr>
    </w:tbl>
    <w:p>
      <w:pPr/>
      <w:r>
        <w:t/>
      </w:r>
    </w:p>
    <w:sectPr>
      <w:headerReference w:type="default" r:id="rIdHF0"/>
      <w:footerReference w:type="default" r:id="rIdHF1"/>
      <w:headerReference w:type="first" r:id="rIdHF2"/>
      <w:footerReference w:type="first" r:id="rIdHF3"/>
      <w:headerReference w:type="even" r:id="rIdHF4"/>
      <w:footerReference w:type="even" r:id="rIdHF5"/>
      <w:pgSz w:w="11906" w:h="16838"/>
      <w:pgMar w:top="727" w:right="1800" w:bottom="983" w:left="1800" w:header="720" w:footer="720" w:gutter="0"/>
      <w:footnotePr>
        <w:numRestart w:val="eachPage"/>
      </w:footnotePr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1"/>
  </w:font>
  <w:font w:name="Arial">
    <w:charset w:val="01"/>
  </w:font>
</w:fonts>
</file>

<file path=word/footer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EvenPages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FirstPage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EvenPages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FirstPage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>
  <w:zoom w:percent="200"/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0" w:before="0" w:line="240" w:lineRule="auto"/>
        <w:widowControl w:val="0"/>
      </w:pPr>
    </w:pPrDefault>
    <w:rPrDefault>
      <w:rPr>
        <w:rFonts w:ascii="Arial" w:hAnsi="Arial" w:cs="Arial" w:eastAsia="Arial"/>
        <w:sz w:val="20"/>
      </w:rPr>
    </w:rPrDefault>
  </w:docDefaults>
  <w:style w:type="paragraph" w:default="1" w:styleId="0">
    <w:name w:val="Normal"/>
    <w:qFormat/>
    <w:rPr>
      <w:rFonts w:ascii="Times New Roman" w:hAnsi="Times New Roman" w:cs="Times New Roman" w:eastAsia="Times New Roman"/>
      <w:sz w:val="20"/>
    </w:rPr>
  </w:style>
  <w:style w:type="character" w:default="1" w:styleId="def">
    <w:name w:val="Default Paragraph Font"/>
    <w:uiPriority w:val="1"/>
    <w:semiHidden/>
    <w:unhideWhenUsed/>
  </w:style>
  <w:style w:type="paragraph" w:styleId="1">
    <w:name w:val="heading 1"/>
    <w:qFormat/>
    <w:basedOn w:val="0"/>
    <w:next w:val="0"/>
    <w:link w:val="c1"/>
    <w:pPr>
      <w:outlineLvl w:val="0"/>
      <w:keepNext/>
      <w:spacing w:before="240" w:after="60"/>
    </w:pPr>
    <w:rPr>
      <w:b/>
      <w:sz w:val="32"/>
    </w:rPr>
  </w:style>
  <w:style w:type="character" w:styleId="c1">
    <w:name w:val="heading 1 Text"/>
    <w:qFormat/>
    <w:basedOn w:val="def"/>
    <w:link w:val="1"/>
    <w:rPr>
      <w:b/>
      <w:sz w:val="32"/>
    </w:rPr>
  </w:style>
  <w:style w:type="paragraph" w:styleId="2">
    <w:name w:val="heading 2"/>
    <w:qFormat/>
    <w:basedOn w:val="0"/>
    <w:next w:val="0"/>
    <w:link w:val="c2"/>
    <w:pPr>
      <w:outlineLvl w:val="1"/>
      <w:keepNext/>
      <w:spacing w:before="240" w:after="60"/>
    </w:pPr>
    <w:rPr>
      <w:b/>
      <w:i/>
      <w:sz w:val="28"/>
    </w:rPr>
  </w:style>
  <w:style w:type="character" w:styleId="c2">
    <w:name w:val="heading 2 Text"/>
    <w:qFormat/>
    <w:basedOn w:val="def"/>
    <w:link w:val="2"/>
    <w:rPr>
      <w:b/>
      <w:i/>
      <w:sz w:val="28"/>
    </w:rPr>
  </w:style>
  <w:style w:type="paragraph" w:styleId="3">
    <w:name w:val="heading 3"/>
    <w:qFormat/>
    <w:basedOn w:val="0"/>
    <w:next w:val="0"/>
    <w:link w:val="c3"/>
    <w:pPr>
      <w:outlineLvl w:val="2"/>
      <w:keepNext/>
      <w:spacing w:before="240" w:after="60"/>
    </w:pPr>
    <w:rPr>
      <w:b/>
      <w:sz w:val="26"/>
    </w:rPr>
  </w:style>
  <w:style w:type="character" w:styleId="c3">
    <w:name w:val="heading 3 Text"/>
    <w:qFormat/>
    <w:basedOn w:val="def"/>
    <w:link w:val="3"/>
    <w:rPr>
      <w:b/>
      <w:sz w:val="26"/>
    </w:rPr>
  </w:style>
  <w:style w:type="character" w:styleId="c4">
    <w:name w:val="Hyperlink"/>
    <w:basedOn w:val="def"/>
    <w:rPr>
      <w:u w:val="single"/>
      <w:color w:val="0000FF"/>
    </w:rPr>
  </w:style>
  <w:style w:type="paragraph" w:styleId="5">
    <w:name w:val="header"/>
    <w:basedOn w:val="0"/>
    <w:link w:val="c5"/>
  </w:style>
  <w:style w:type="character" w:styleId="c5">
    <w:name w:val="header Text"/>
    <w:basedOn w:val="def"/>
    <w:link w:val="5"/>
  </w:style>
  <w:style w:type="paragraph" w:styleId="6">
    <w:name w:val="footer"/>
    <w:basedOn w:val="0"/>
    <w:link w:val="c6"/>
  </w:style>
  <w:style w:type="character" w:styleId="c6">
    <w:name w:val="footer Text"/>
    <w:basedOn w:val="def"/>
    <w:link w:val="6"/>
  </w:style>
  <w:style w:type="character" w:styleId="c7">
    <w:name w:val="footnote reference"/>
    <w:basedOn w:val="def"/>
    <w:rPr>
      <w:vertAlign w:val="superscript"/>
    </w:rPr>
  </w:style>
  <w:style w:type="character" w:styleId="c8">
    <w:name w:val="endnote reference"/>
    <w:basedOn w:val="def"/>
    <w:rPr>
      <w:vertAlign w:val="superscript"/>
    </w:rPr>
  </w:style>
  <w:style w:type="paragraph" w:styleId="9">
    <w:name w:val="footnote text"/>
    <w:basedOn w:val="0"/>
    <w:link w:val="c9"/>
  </w:style>
  <w:style w:type="character" w:styleId="c9">
    <w:name w:val="footnote text Text"/>
    <w:basedOn w:val="def"/>
    <w:link w:val="9"/>
  </w:style>
  <w:style w:type="paragraph" w:styleId="10">
    <w:name w:val="endnote text"/>
    <w:basedOn w:val="0"/>
    <w:link w:val="c10"/>
  </w:style>
  <w:style w:type="character" w:styleId="c10">
    <w:name w:val="endnote text Text"/>
    <w:basedOn w:val="def"/>
    <w:link w:val="10"/>
  </w:style>
  <w:style w:type="paragraph" w:styleId="11">
    <w:name w:val="caption"/>
    <w:basedOn w:val="0"/>
    <w:next w:val="0"/>
    <w:rPr>
      <w:b/>
      <w:sz w:val="18"/>
    </w:rPr>
  </w:style>
  <w:style w:type="paragraph" w:styleId="12">
    <w:name w:val="Защищенный текст"/>
    <w:qFormat/>
    <w:basedOn w:val="0"/>
    <w:next w:val="0"/>
    <w:link w:val="c12"/>
    <w:rPr>
      <w:rFonts w:ascii="Arial" w:hAnsi="Arial" w:cs="Arial" w:eastAsia="Arial"/>
      <w:sz w:val="20"/>
    </w:rPr>
  </w:style>
  <w:style w:type="character" w:styleId="c12">
    <w:name w:val="Защищенный текст Text"/>
    <w:qFormat/>
    <w:basedOn w:val="def"/>
    <w:link w:val="12"/>
    <w:rPr>
      <w:rFonts w:ascii="Arial" w:hAnsi="Arial" w:cs="Arial" w:eastAsia="Arial"/>
      <w:sz w:val="20"/>
    </w:rPr>
  </w:style>
  <w:style w:type="paragraph" w:styleId="13">
    <w:name w:val="Основной текст (2)"/>
    <w:basedOn w:val="0"/>
    <w:link w:val="c13"/>
    <w:pPr>
      <w:widowControl w:val="0"/>
      <w:spacing w:before="60" w:after="300"/>
      <w:shd w:val="clear" w:color="auto" w:fill="FFFFFF"/>
    </w:pPr>
    <w:rPr>
      <w:rFonts w:ascii="Arial" w:hAnsi="Arial" w:cs="Arial" w:eastAsia="Arial"/>
      <w:sz w:val="20"/>
    </w:rPr>
  </w:style>
  <w:style w:type="character" w:styleId="c13">
    <w:name w:val="Основной текст (2) Text"/>
    <w:basedOn w:val="def"/>
    <w:link w:val="13"/>
    <w:rPr>
      <w:rFonts w:ascii="Arial" w:hAnsi="Arial" w:cs="Arial" w:eastAsia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FT" Type="http://schemas.openxmlformats.org/officeDocument/2006/relationships/fontTable" Target="fontTable.xml"/><Relationship Id="rIdSt" Type="http://schemas.openxmlformats.org/officeDocument/2006/relationships/styles" Target="styles.xml"/><Relationship Id="rIdHF0" Type="http://schemas.openxmlformats.org/officeDocument/2006/relationships/header" Target="header.xml"/><Relationship Id="rIdHF1" Type="http://schemas.openxmlformats.org/officeDocument/2006/relationships/footer" Target="footer.xml"/><Relationship Id="rIdHF2" Type="http://schemas.openxmlformats.org/officeDocument/2006/relationships/header" Target="headerFirstPage.xml"/><Relationship Id="rIdHF3" Type="http://schemas.openxmlformats.org/officeDocument/2006/relationships/footer" Target="footerFirstPage.xml"/><Relationship Id="rIdHF4" Type="http://schemas.openxmlformats.org/officeDocument/2006/relationships/header" Target="headerEvenPages.xml"/><Relationship Id="rIdHF5" Type="http://schemas.openxmlformats.org/officeDocument/2006/relationships/footer" Target="footerEvenPages.xml"/><Relationship Id="rIdSet" Type="http://schemas.openxmlformats.org/officeDocument/2006/relationships/settings" Target="settings.xml"/></Relationships>
</file>