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741AC9" w:rsidRDefault="004537B9" w:rsidP="00B3314E">
      <w:pPr>
        <w:spacing w:line="252" w:lineRule="auto"/>
        <w:jc w:val="center"/>
        <w:rPr>
          <w:sz w:val="28"/>
          <w:szCs w:val="22"/>
        </w:rPr>
      </w:pPr>
      <w:bookmarkStart w:id="0" w:name="_GoBack"/>
      <w:bookmarkEnd w:id="0"/>
      <w:r w:rsidRPr="00741AC9">
        <w:rPr>
          <w:sz w:val="28"/>
          <w:szCs w:val="22"/>
        </w:rPr>
        <w:t xml:space="preserve">Договор </w:t>
      </w:r>
      <w:r w:rsidR="00F92AFA" w:rsidRPr="00741AC9">
        <w:rPr>
          <w:sz w:val="28"/>
          <w:szCs w:val="22"/>
        </w:rPr>
        <w:t xml:space="preserve">№  </w:t>
      </w:r>
      <w:r w:rsidR="007B4CDB">
        <w:rPr>
          <w:sz w:val="28"/>
          <w:szCs w:val="22"/>
        </w:rPr>
        <w:t>___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4E0DF9" w:rsidRPr="004537B9">
        <w:rPr>
          <w:color w:val="000000"/>
          <w:sz w:val="22"/>
          <w:szCs w:val="22"/>
          <w:highlight w:val="yellow"/>
        </w:rPr>
        <w:t>___________________</w:t>
      </w:r>
      <w:hyperlink w:anchor="P599" w:history="1"/>
      <w:r w:rsidR="000700BF" w:rsidRPr="004537B9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</w:t>
      </w:r>
      <w:r w:rsidR="003701AA" w:rsidRPr="004537B9">
        <w:rPr>
          <w:sz w:val="22"/>
          <w:szCs w:val="22"/>
          <w:highlight w:val="yellow"/>
        </w:rPr>
        <w:t>____________________</w:t>
      </w:r>
      <w:r w:rsidR="003701AA" w:rsidRPr="00F92E84">
        <w:rPr>
          <w:sz w:val="22"/>
          <w:szCs w:val="22"/>
        </w:rPr>
        <w:t>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4E0DF9" w:rsidRPr="004537B9">
        <w:rPr>
          <w:sz w:val="22"/>
          <w:szCs w:val="22"/>
          <w:highlight w:val="yellow"/>
        </w:rPr>
        <w:t>__________________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F92E84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69458A" w:rsidRPr="00F92E84">
        <w:rPr>
          <w:color w:val="000000"/>
          <w:sz w:val="22"/>
          <w:szCs w:val="22"/>
        </w:rPr>
        <w:t xml:space="preserve"> </w:t>
      </w:r>
      <w:r w:rsidR="00DA68AA" w:rsidRPr="004537B9">
        <w:rPr>
          <w:b/>
          <w:color w:val="000000"/>
          <w:sz w:val="22"/>
          <w:szCs w:val="22"/>
          <w:highlight w:val="yellow"/>
        </w:rPr>
        <w:t>лекар</w:t>
      </w:r>
      <w:r w:rsidR="00E94BD6">
        <w:rPr>
          <w:b/>
          <w:color w:val="000000"/>
          <w:sz w:val="22"/>
          <w:szCs w:val="22"/>
          <w:highlight w:val="yellow"/>
        </w:rPr>
        <w:t>ственный препарат</w:t>
      </w:r>
      <w:r w:rsidR="004537B9" w:rsidRPr="004537B9">
        <w:rPr>
          <w:b/>
          <w:color w:val="000000"/>
          <w:sz w:val="22"/>
          <w:szCs w:val="22"/>
          <w:highlight w:val="yellow"/>
        </w:rPr>
        <w:t xml:space="preserve"> </w:t>
      </w:r>
      <w:r w:rsidR="00DD05D9" w:rsidRPr="00F92E84">
        <w:rPr>
          <w:color w:val="000000"/>
          <w:sz w:val="22"/>
          <w:szCs w:val="22"/>
        </w:rPr>
        <w:t xml:space="preserve">(далее – </w:t>
      </w:r>
      <w:r w:rsidR="00772F2B" w:rsidRPr="00F92E84">
        <w:rPr>
          <w:bCs/>
          <w:sz w:val="22"/>
          <w:szCs w:val="22"/>
        </w:rPr>
        <w:t>товар</w:t>
      </w:r>
      <w:r w:rsidR="00DD05D9" w:rsidRPr="00F92E84">
        <w:rPr>
          <w:bCs/>
          <w:sz w:val="22"/>
          <w:szCs w:val="22"/>
        </w:rPr>
        <w:t>)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537B9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F92E84">
        <w:rPr>
          <w:color w:val="000000"/>
          <w:sz w:val="22"/>
          <w:szCs w:val="22"/>
        </w:rPr>
        <w:t xml:space="preserve">в </w:t>
      </w:r>
      <w:r w:rsidR="009D0569" w:rsidRPr="0074343E">
        <w:rPr>
          <w:color w:val="000000"/>
          <w:sz w:val="22"/>
          <w:szCs w:val="22"/>
          <w:highlight w:val="yellow"/>
        </w:rPr>
        <w:t xml:space="preserve">течение </w:t>
      </w:r>
      <w:r w:rsidR="00E94BD6">
        <w:rPr>
          <w:color w:val="000000"/>
          <w:sz w:val="22"/>
          <w:szCs w:val="22"/>
          <w:highlight w:val="yellow"/>
        </w:rPr>
        <w:t>5</w:t>
      </w:r>
      <w:r w:rsidR="009D0569" w:rsidRPr="0074343E">
        <w:rPr>
          <w:color w:val="000000"/>
          <w:sz w:val="22"/>
          <w:szCs w:val="22"/>
          <w:highlight w:val="yellow"/>
        </w:rPr>
        <w:t xml:space="preserve"> календарных</w:t>
      </w:r>
      <w:r w:rsidR="009D0569" w:rsidRPr="00F92E84">
        <w:rPr>
          <w:color w:val="000000"/>
          <w:sz w:val="22"/>
          <w:szCs w:val="22"/>
        </w:rPr>
        <w:t xml:space="preserve"> дней с даты подписания</w:t>
      </w:r>
      <w:r w:rsidR="004537B9">
        <w:rPr>
          <w:color w:val="000000"/>
          <w:sz w:val="22"/>
          <w:szCs w:val="22"/>
        </w:rPr>
        <w:t xml:space="preserve"> Договора</w:t>
      </w:r>
      <w:r w:rsidR="009D0569" w:rsidRPr="00F92E84">
        <w:rPr>
          <w:color w:val="000000"/>
          <w:sz w:val="22"/>
          <w:szCs w:val="22"/>
        </w:rPr>
        <w:t>.</w:t>
      </w:r>
    </w:p>
    <w:p w:rsidR="00B3314E" w:rsidRPr="00F92E84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2.2</w:t>
      </w:r>
      <w:r w:rsidR="00E844ED" w:rsidRPr="00F92E84">
        <w:rPr>
          <w:color w:val="000000"/>
          <w:sz w:val="22"/>
          <w:szCs w:val="22"/>
        </w:rPr>
        <w:t>.</w:t>
      </w:r>
      <w:r w:rsidRPr="00F92E84">
        <w:rPr>
          <w:color w:val="000000"/>
          <w:sz w:val="22"/>
          <w:szCs w:val="22"/>
        </w:rPr>
        <w:t xml:space="preserve"> Настоящий</w:t>
      </w:r>
      <w:r w:rsidR="00B3314E" w:rsidRPr="00F92E84">
        <w:rPr>
          <w:sz w:val="22"/>
          <w:szCs w:val="22"/>
        </w:rPr>
        <w:t xml:space="preserve"> </w:t>
      </w:r>
      <w:r w:rsidR="004537B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действует</w:t>
      </w:r>
      <w:r w:rsidR="00E94BD6">
        <w:rPr>
          <w:sz w:val="22"/>
          <w:szCs w:val="22"/>
        </w:rPr>
        <w:t xml:space="preserve"> с момента подписания Сторонами до 01.09.2026 г.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2.3. Поставщик</w:t>
      </w:r>
      <w:r w:rsidR="00E844ED" w:rsidRPr="00F92E84">
        <w:rPr>
          <w:sz w:val="22"/>
          <w:szCs w:val="22"/>
        </w:rPr>
        <w:t xml:space="preserve"> самостоятельно доставляет товар З</w:t>
      </w:r>
      <w:r w:rsidRPr="00F92E84">
        <w:rPr>
          <w:sz w:val="22"/>
          <w:szCs w:val="22"/>
        </w:rPr>
        <w:t>аказчик</w:t>
      </w:r>
      <w:r w:rsidR="00E844ED" w:rsidRPr="00F92E84">
        <w:rPr>
          <w:sz w:val="22"/>
          <w:szCs w:val="22"/>
        </w:rPr>
        <w:t>у</w:t>
      </w:r>
      <w:r w:rsidRPr="00F92E84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>
        <w:rPr>
          <w:bCs/>
          <w:sz w:val="22"/>
          <w:szCs w:val="22"/>
          <w:highlight w:val="yellow"/>
        </w:rPr>
        <w:t>товаросопроводительных документов</w:t>
      </w:r>
      <w:r w:rsidR="0024195E" w:rsidRPr="00F92E84">
        <w:rPr>
          <w:bCs/>
          <w:sz w:val="22"/>
          <w:szCs w:val="22"/>
          <w:highlight w:val="yellow"/>
        </w:rPr>
        <w:t xml:space="preserve"> (товарная накладная, универсальный передаточный документ)</w:t>
      </w:r>
      <w:r w:rsidRPr="00F92E84">
        <w:rPr>
          <w:sz w:val="22"/>
          <w:szCs w:val="22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6C2FE4" w:rsidRPr="004537B9">
        <w:rPr>
          <w:sz w:val="22"/>
          <w:szCs w:val="22"/>
          <w:highlight w:val="yellow"/>
        </w:rPr>
        <w:t>____________(                  ) рублей ______коп. В т.ч. НДС ___%</w:t>
      </w:r>
      <w:r w:rsidRPr="004537B9">
        <w:rPr>
          <w:b/>
          <w:sz w:val="22"/>
          <w:szCs w:val="22"/>
          <w:highlight w:val="yellow"/>
        </w:rPr>
        <w:t>.</w:t>
      </w:r>
      <w:r w:rsidR="003977C1" w:rsidRPr="00F92E84">
        <w:rPr>
          <w:sz w:val="22"/>
          <w:szCs w:val="22"/>
        </w:rPr>
        <w:t xml:space="preserve"> 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>
        <w:rPr>
          <w:sz w:val="22"/>
          <w:szCs w:val="22"/>
        </w:rPr>
        <w:t>Договора</w:t>
      </w:r>
    </w:p>
    <w:p w:rsidR="006C2FE4" w:rsidRPr="00F92E84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3.3.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>является твердой и определена на весь срок исполнения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.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  <w:highlight w:val="yellow"/>
        </w:rPr>
        <w:t>3.4. Расчет</w:t>
      </w:r>
      <w:r w:rsidR="0024195E">
        <w:rPr>
          <w:sz w:val="22"/>
          <w:szCs w:val="22"/>
          <w:highlight w:val="yellow"/>
        </w:rPr>
        <w:t>ы</w:t>
      </w:r>
      <w:r w:rsidRPr="00F92E84">
        <w:rPr>
          <w:sz w:val="22"/>
          <w:szCs w:val="22"/>
          <w:highlight w:val="yellow"/>
        </w:rPr>
        <w:t xml:space="preserve"> между Заказчиком и Поставщиком за поставленный товар производится не позднее </w:t>
      </w:r>
      <w:r w:rsidR="0024195E">
        <w:rPr>
          <w:sz w:val="22"/>
          <w:szCs w:val="22"/>
          <w:highlight w:val="yellow"/>
        </w:rPr>
        <w:t>5</w:t>
      </w:r>
      <w:r w:rsidRPr="00F92E84">
        <w:rPr>
          <w:sz w:val="22"/>
          <w:szCs w:val="22"/>
          <w:highlight w:val="yellow"/>
        </w:rPr>
        <w:t xml:space="preserve"> (</w:t>
      </w:r>
      <w:r w:rsidR="0024195E">
        <w:rPr>
          <w:sz w:val="22"/>
          <w:szCs w:val="22"/>
          <w:highlight w:val="yellow"/>
        </w:rPr>
        <w:t>пяти</w:t>
      </w:r>
      <w:r w:rsidRPr="00F92E84">
        <w:rPr>
          <w:sz w:val="22"/>
          <w:szCs w:val="22"/>
          <w:highlight w:val="yellow"/>
        </w:rPr>
        <w:t xml:space="preserve">) рабочих дней с даты подписания </w:t>
      </w:r>
      <w:r w:rsidR="00F92E84" w:rsidRPr="00F92E84">
        <w:rPr>
          <w:sz w:val="22"/>
          <w:szCs w:val="22"/>
          <w:highlight w:val="yellow"/>
        </w:rPr>
        <w:t xml:space="preserve">сторонами </w:t>
      </w:r>
      <w:r w:rsidRPr="00F92E84">
        <w:rPr>
          <w:sz w:val="22"/>
          <w:szCs w:val="22"/>
          <w:highlight w:val="yellow"/>
        </w:rPr>
        <w:t>акт</w:t>
      </w:r>
      <w:r w:rsidR="00F92E84" w:rsidRPr="00F92E84">
        <w:rPr>
          <w:sz w:val="22"/>
          <w:szCs w:val="22"/>
          <w:highlight w:val="yellow"/>
        </w:rPr>
        <w:t>а</w:t>
      </w:r>
      <w:r w:rsidRPr="00F92E84">
        <w:rPr>
          <w:sz w:val="22"/>
          <w:szCs w:val="22"/>
          <w:highlight w:val="yellow"/>
        </w:rPr>
        <w:t xml:space="preserve"> приемки товаров</w:t>
      </w:r>
      <w:r w:rsidR="00236C40" w:rsidRPr="00F92E84">
        <w:rPr>
          <w:sz w:val="22"/>
          <w:szCs w:val="22"/>
          <w:highlight w:val="yellow"/>
        </w:rPr>
        <w:t>,</w:t>
      </w:r>
      <w:r w:rsidRPr="00F92E84">
        <w:rPr>
          <w:sz w:val="22"/>
          <w:szCs w:val="22"/>
          <w:highlight w:val="yellow"/>
        </w:rPr>
        <w:t xml:space="preserve"> работ</w:t>
      </w:r>
      <w:r w:rsidR="00236C40" w:rsidRPr="00F92E84">
        <w:rPr>
          <w:sz w:val="22"/>
          <w:szCs w:val="22"/>
          <w:highlight w:val="yellow"/>
        </w:rPr>
        <w:t>,</w:t>
      </w:r>
      <w:r w:rsidRPr="00F92E84">
        <w:rPr>
          <w:sz w:val="22"/>
          <w:szCs w:val="22"/>
          <w:highlight w:val="yellow"/>
        </w:rPr>
        <w:t xml:space="preserve"> услуг</w:t>
      </w:r>
      <w:r w:rsidR="00236C40" w:rsidRPr="00F92E84">
        <w:rPr>
          <w:sz w:val="22"/>
          <w:szCs w:val="22"/>
          <w:highlight w:val="yellow"/>
        </w:rPr>
        <w:t xml:space="preserve"> (ф. 0510452</w:t>
      </w:r>
      <w:r w:rsidR="00F92E84">
        <w:rPr>
          <w:sz w:val="22"/>
          <w:szCs w:val="22"/>
          <w:highlight w:val="yellow"/>
        </w:rPr>
        <w:t xml:space="preserve">, </w:t>
      </w:r>
      <w:r w:rsidR="00F92E84" w:rsidRPr="00F92E84">
        <w:rPr>
          <w:sz w:val="22"/>
          <w:szCs w:val="22"/>
          <w:highlight w:val="yellow"/>
        </w:rPr>
        <w:t>утверждена приказом Минфина России от 15.04.2021 N 61н)</w:t>
      </w:r>
      <w:r w:rsidR="00F92E84" w:rsidRPr="00F92E84">
        <w:rPr>
          <w:sz w:val="22"/>
          <w:szCs w:val="22"/>
        </w:rPr>
        <w:t>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24195E">
        <w:rPr>
          <w:sz w:val="22"/>
          <w:szCs w:val="22"/>
        </w:rPr>
        <w:t xml:space="preserve">       </w:t>
      </w:r>
      <w:r w:rsidR="00011356" w:rsidRPr="0024195E">
        <w:rPr>
          <w:sz w:val="22"/>
          <w:szCs w:val="22"/>
        </w:rPr>
        <w:t>3.</w:t>
      </w:r>
      <w:r w:rsidR="0024195E">
        <w:rPr>
          <w:sz w:val="22"/>
          <w:szCs w:val="22"/>
        </w:rPr>
        <w:t>5</w:t>
      </w:r>
      <w:r w:rsidR="00011356" w:rsidRPr="0024195E">
        <w:rPr>
          <w:sz w:val="22"/>
          <w:szCs w:val="22"/>
        </w:rPr>
        <w:t xml:space="preserve">. </w:t>
      </w:r>
      <w:r w:rsidRPr="0024195E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>
        <w:rPr>
          <w:color w:val="000000"/>
          <w:sz w:val="22"/>
          <w:szCs w:val="22"/>
        </w:rPr>
        <w:t xml:space="preserve"> Договором</w:t>
      </w:r>
      <w:r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F92E84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F92E84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>
        <w:rPr>
          <w:rFonts w:ascii="Times New Roman" w:hAnsi="Times New Roman" w:cs="Times New Roman"/>
          <w:sz w:val="22"/>
          <w:szCs w:val="22"/>
          <w:highlight w:val="yellow"/>
        </w:rPr>
        <w:t>- в течение 20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>
        <w:rPr>
          <w:rFonts w:ascii="Times New Roman" w:hAnsi="Times New Roman" w:cs="Times New Roman"/>
          <w:sz w:val="22"/>
          <w:szCs w:val="22"/>
          <w:highlight w:val="yellow"/>
        </w:rPr>
        <w:t>ы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или системы электронного документооборота акт приемки товаров, работ, услуг (ф. 0510452).</w:t>
      </w:r>
      <w:r w:rsidR="00B3314E" w:rsidRPr="00F92E8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         - </w:t>
      </w:r>
      <w:r w:rsidRPr="00F92E84">
        <w:rPr>
          <w:color w:val="000000"/>
          <w:sz w:val="22"/>
          <w:szCs w:val="22"/>
        </w:rPr>
        <w:t>принять от Поставщика Товар в соотве</w:t>
      </w:r>
      <w:r w:rsidR="004537B9">
        <w:rPr>
          <w:color w:val="000000"/>
          <w:sz w:val="22"/>
          <w:szCs w:val="22"/>
        </w:rPr>
        <w:t>тствии с разделом 5 настоящего Договора</w:t>
      </w:r>
      <w:r w:rsidRPr="00F92E84">
        <w:rPr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5. ПОРЯДОК ПРИЕМКИ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F92E84">
        <w:rPr>
          <w:bCs/>
          <w:sz w:val="22"/>
          <w:szCs w:val="22"/>
        </w:rPr>
        <w:t xml:space="preserve">5.1. </w:t>
      </w:r>
      <w:r w:rsidRPr="00CD1878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CD1878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CD1878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а)</w:t>
      </w:r>
      <w:r w:rsidRPr="00CD1878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CD1878">
        <w:rPr>
          <w:bCs/>
          <w:i/>
          <w:sz w:val="22"/>
          <w:szCs w:val="22"/>
        </w:rPr>
        <w:t>условиям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б)</w:t>
      </w:r>
      <w:r w:rsidRPr="00CD1878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в)</w:t>
      </w:r>
      <w:r w:rsidRPr="00CD1878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CD1878">
        <w:rPr>
          <w:bCs/>
          <w:i/>
          <w:sz w:val="22"/>
          <w:szCs w:val="22"/>
        </w:rPr>
        <w:t>г)</w:t>
      </w:r>
      <w:r w:rsidRPr="00CD1878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F92E84">
        <w:rPr>
          <w:bCs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F92E8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F92E8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CD1878" w:rsidRDefault="00B3314E" w:rsidP="00B3314E">
      <w:pPr>
        <w:ind w:firstLine="708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>
        <w:rPr>
          <w:i/>
          <w:sz w:val="22"/>
          <w:szCs w:val="22"/>
        </w:rPr>
        <w:t xml:space="preserve"> складе получателя не позднее 20 рабочих</w:t>
      </w:r>
      <w:r w:rsidRPr="00CD1878">
        <w:rPr>
          <w:i/>
          <w:sz w:val="22"/>
          <w:szCs w:val="22"/>
        </w:rPr>
        <w:t xml:space="preserve"> дн</w:t>
      </w:r>
      <w:r w:rsidR="0074343E">
        <w:rPr>
          <w:i/>
          <w:sz w:val="22"/>
          <w:szCs w:val="22"/>
        </w:rPr>
        <w:t>ей с даты передачи товара , либо не позднее истечения 50</w:t>
      </w:r>
      <w:r w:rsidRPr="00CD1878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F92E84" w:rsidRDefault="00B3314E" w:rsidP="00B3314E">
      <w:pPr>
        <w:ind w:firstLine="709"/>
        <w:rPr>
          <w:sz w:val="22"/>
          <w:szCs w:val="22"/>
        </w:rPr>
      </w:pPr>
      <w:r w:rsidRPr="00F92E8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11324A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F92E84">
        <w:rPr>
          <w:sz w:val="22"/>
          <w:szCs w:val="22"/>
        </w:rPr>
        <w:t xml:space="preserve">, приемка продукции по количеству и составление акта </w:t>
      </w:r>
      <w:r w:rsidRPr="00F92E84">
        <w:rPr>
          <w:sz w:val="22"/>
          <w:szCs w:val="22"/>
          <w:highlight w:val="yellow"/>
        </w:rPr>
        <w:t>приемки товаров, работ, услуг (ф. 0510452</w:t>
      </w:r>
      <w:r>
        <w:rPr>
          <w:sz w:val="22"/>
          <w:szCs w:val="22"/>
        </w:rPr>
        <w:t>)</w:t>
      </w:r>
      <w:r w:rsidRPr="00F92E84">
        <w:rPr>
          <w:sz w:val="22"/>
          <w:szCs w:val="22"/>
        </w:rPr>
        <w:t xml:space="preserve"> производится Заказчиком в одностороннем порядке.</w:t>
      </w:r>
    </w:p>
    <w:p w:rsidR="003D27FE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 xml:space="preserve">5.2. </w:t>
      </w:r>
      <w:r w:rsidRPr="00F92E84">
        <w:rPr>
          <w:bCs/>
          <w:sz w:val="22"/>
          <w:szCs w:val="22"/>
          <w:highlight w:val="yellow"/>
        </w:rPr>
        <w:t xml:space="preserve">По факту приемки Товара Заказчик на </w:t>
      </w:r>
      <w:r w:rsidR="00F92E84" w:rsidRPr="00F92E84">
        <w:rPr>
          <w:bCs/>
          <w:sz w:val="22"/>
          <w:szCs w:val="22"/>
          <w:highlight w:val="yellow"/>
        </w:rPr>
        <w:t>товаросопроводительных документах</w:t>
      </w:r>
      <w:r w:rsidRPr="00F92E84">
        <w:rPr>
          <w:bCs/>
          <w:sz w:val="22"/>
          <w:szCs w:val="22"/>
          <w:highlight w:val="yellow"/>
        </w:rPr>
        <w:t xml:space="preserve"> </w:t>
      </w:r>
      <w:r w:rsidR="00F92E84" w:rsidRPr="00F92E84">
        <w:rPr>
          <w:bCs/>
          <w:sz w:val="22"/>
          <w:szCs w:val="22"/>
          <w:highlight w:val="yellow"/>
        </w:rPr>
        <w:t xml:space="preserve">(товарная накладная, универсальный передаточный документ) </w:t>
      </w:r>
      <w:r w:rsidRPr="00F92E84">
        <w:rPr>
          <w:bCs/>
          <w:sz w:val="22"/>
          <w:szCs w:val="22"/>
          <w:highlight w:val="yellow"/>
        </w:rPr>
        <w:t>делает отметку о получении, с указанием Ф.И.О. ответственного лица и даты приемки.</w:t>
      </w:r>
    </w:p>
    <w:p w:rsidR="00B3314E" w:rsidRPr="00F92E84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5.3. </w:t>
      </w:r>
      <w:r w:rsidR="00B3314E" w:rsidRPr="00F92E84">
        <w:rPr>
          <w:bCs/>
          <w:sz w:val="22"/>
          <w:szCs w:val="22"/>
        </w:rPr>
        <w:t xml:space="preserve"> </w:t>
      </w:r>
      <w:r w:rsidRPr="009B42DA">
        <w:rPr>
          <w:b/>
          <w:bCs/>
          <w:sz w:val="22"/>
          <w:szCs w:val="22"/>
        </w:rPr>
        <w:t>Ответственное лицо за приемку Товара от Заказчика – (аптека), тел.: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F92E84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F92E84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F92E84">
        <w:rPr>
          <w:b/>
          <w:bCs/>
          <w:sz w:val="22"/>
          <w:szCs w:val="22"/>
        </w:rPr>
        <w:t>6</w:t>
      </w:r>
      <w:r w:rsidR="00B3314E" w:rsidRPr="00F92E84">
        <w:rPr>
          <w:b/>
          <w:bCs/>
          <w:sz w:val="22"/>
          <w:szCs w:val="22"/>
        </w:rPr>
        <w:t>. КАЧЕСТВО</w:t>
      </w:r>
    </w:p>
    <w:p w:rsidR="00C26A6E" w:rsidRPr="00F92E84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B3314E" w:rsidRPr="00F92E84">
        <w:rPr>
          <w:sz w:val="22"/>
          <w:szCs w:val="22"/>
        </w:rPr>
        <w:t xml:space="preserve">.1. </w:t>
      </w:r>
      <w:r w:rsidR="00C26A6E" w:rsidRPr="00F92E84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F92E84">
        <w:rPr>
          <w:sz w:val="22"/>
          <w:szCs w:val="22"/>
        </w:rPr>
        <w:t>настоящего</w:t>
      </w:r>
      <w:r w:rsidR="00881E22">
        <w:rPr>
          <w:sz w:val="22"/>
          <w:szCs w:val="22"/>
        </w:rPr>
        <w:t xml:space="preserve"> Договора</w:t>
      </w:r>
      <w:r w:rsidR="00037511" w:rsidRPr="00F92E84">
        <w:rPr>
          <w:sz w:val="22"/>
          <w:szCs w:val="22"/>
        </w:rPr>
        <w:t xml:space="preserve">, требованиям </w:t>
      </w:r>
      <w:r w:rsidR="00C26A6E" w:rsidRPr="00F92E84">
        <w:rPr>
          <w:sz w:val="22"/>
          <w:szCs w:val="22"/>
        </w:rPr>
        <w:t>технически</w:t>
      </w:r>
      <w:r w:rsidR="00037511" w:rsidRPr="00F92E84">
        <w:rPr>
          <w:sz w:val="22"/>
          <w:szCs w:val="22"/>
        </w:rPr>
        <w:t>х</w:t>
      </w:r>
      <w:r w:rsidR="00C26A6E" w:rsidRPr="00F92E84">
        <w:rPr>
          <w:sz w:val="22"/>
          <w:szCs w:val="22"/>
        </w:rPr>
        <w:t xml:space="preserve"> регламент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>, стандарт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 xml:space="preserve"> и ины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требовани</w:t>
      </w:r>
      <w:r w:rsidR="00173085" w:rsidRPr="00F92E84">
        <w:rPr>
          <w:sz w:val="22"/>
          <w:szCs w:val="22"/>
        </w:rPr>
        <w:t>ям</w:t>
      </w:r>
      <w:r w:rsidR="00C26A6E" w:rsidRPr="00F92E84">
        <w:rPr>
          <w:sz w:val="22"/>
          <w:szCs w:val="22"/>
        </w:rPr>
        <w:t>, предусмотренны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законодательством Российской Федерации. </w:t>
      </w:r>
    </w:p>
    <w:p w:rsidR="00B3314E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C26A6E" w:rsidRPr="00F92E84">
        <w:rPr>
          <w:sz w:val="22"/>
          <w:szCs w:val="22"/>
        </w:rPr>
        <w:t xml:space="preserve">.2. </w:t>
      </w:r>
      <w:r w:rsidR="00B3314E" w:rsidRPr="00F92E84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>
        <w:rPr>
          <w:sz w:val="22"/>
          <w:szCs w:val="22"/>
        </w:rPr>
        <w:t xml:space="preserve"> годгости/стерильности</w:t>
      </w:r>
      <w:r w:rsidR="00B3314E" w:rsidRPr="00F92E84">
        <w:rPr>
          <w:sz w:val="22"/>
          <w:szCs w:val="22"/>
        </w:rPr>
        <w:t>.</w:t>
      </w:r>
    </w:p>
    <w:p w:rsidR="009D30D3" w:rsidRPr="00E94BD6" w:rsidRDefault="00496E0B" w:rsidP="00E94BD6">
      <w:pPr>
        <w:spacing w:line="216" w:lineRule="auto"/>
        <w:ind w:firstLine="360"/>
      </w:pPr>
      <w:r>
        <w:rPr>
          <w:b/>
          <w:bCs/>
          <w:color w:val="000000"/>
          <w:spacing w:val="-1"/>
          <w:sz w:val="22"/>
          <w:szCs w:val="22"/>
        </w:rPr>
        <w:t>6.3</w:t>
      </w:r>
      <w:r w:rsidRPr="00E94BD6">
        <w:rPr>
          <w:b/>
          <w:bCs/>
          <w:color w:val="000000"/>
          <w:spacing w:val="-1"/>
          <w:sz w:val="22"/>
          <w:szCs w:val="22"/>
        </w:rPr>
        <w:t xml:space="preserve">. </w:t>
      </w:r>
      <w:r w:rsidR="009D30D3" w:rsidRPr="00E94BD6">
        <w:rPr>
          <w:sz w:val="22"/>
          <w:szCs w:val="22"/>
        </w:rPr>
        <w:t>Остаточный срок годности Товара на момент поставки должен составлять: если   установленный срок годности поставляемого Товара составляет 1 год – не менее 6 (шести) месяцев; 2 года – не менее 14 (четырнадцати) месяцев; 3 года и более – не менее 21 (двадцати одного) месяца</w:t>
      </w:r>
    </w:p>
    <w:p w:rsidR="009D30D3" w:rsidRDefault="009D30D3" w:rsidP="00CE3AE4">
      <w:pPr>
        <w:spacing w:line="216" w:lineRule="auto"/>
        <w:rPr>
          <w:b/>
          <w:bCs/>
          <w:color w:val="000000"/>
          <w:spacing w:val="-1"/>
          <w:sz w:val="22"/>
          <w:szCs w:val="22"/>
        </w:rPr>
      </w:pPr>
    </w:p>
    <w:p w:rsidR="00496E0B" w:rsidRPr="00F92E84" w:rsidRDefault="00496E0B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496E0B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537B9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7A40C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.3</w:t>
      </w:r>
      <w:r w:rsidR="007A40C4" w:rsidRPr="007A40C4">
        <w:t xml:space="preserve"> </w:t>
      </w:r>
      <w:r w:rsidR="007A40C4" w:rsidRPr="007A40C4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</w:t>
      </w:r>
      <w:r w:rsidR="007A40C4" w:rsidRPr="007A40C4">
        <w:rPr>
          <w:sz w:val="22"/>
          <w:szCs w:val="22"/>
        </w:rPr>
        <w:lastRenderedPageBreak/>
        <w:t xml:space="preserve">трехсотой 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F92E8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 В случае просрочки исполнения заказчиком</w:t>
      </w:r>
      <w:r w:rsidR="004537B9">
        <w:rPr>
          <w:sz w:val="22"/>
          <w:szCs w:val="22"/>
        </w:rPr>
        <w:t xml:space="preserve"> обязательств, предусмотренных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>
        <w:rPr>
          <w:sz w:val="22"/>
          <w:szCs w:val="22"/>
        </w:rPr>
        <w:t xml:space="preserve"> от не уплаченной в срок суммы.</w:t>
      </w:r>
      <w:r w:rsidR="007A40C4" w:rsidRPr="007A40C4">
        <w:rPr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FA2DF9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1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1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>.1. Все споры между Сторон</w:t>
      </w:r>
      <w:r w:rsidR="00FA2DF9">
        <w:rPr>
          <w:sz w:val="22"/>
          <w:szCs w:val="22"/>
        </w:rPr>
        <w:t>ами, возникающие из настоящего Договора</w:t>
      </w:r>
      <w:r w:rsidR="00B3314E" w:rsidRPr="00F92E84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881E22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FA2DF9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FA2DF9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FA2DF9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FA2DF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Pr="00F92E84" w:rsidRDefault="002F2D48" w:rsidP="00FA2DF9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A2DF9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Заказчик:</w:t>
            </w:r>
          </w:p>
          <w:p w:rsidR="00B3314E" w:rsidRPr="00FA2DF9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FA2DF9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FA2DF9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skmmc@mail.ru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ОГРН 1081511000581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ОКАТО 90235501000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ОКТМО 90635101001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(г.Беслан) л/с</w:t>
            </w:r>
            <w:r w:rsidR="00236C40" w:rsidRPr="00FA2DF9">
              <w:rPr>
                <w:sz w:val="20"/>
                <w:szCs w:val="20"/>
              </w:rPr>
              <w:t xml:space="preserve"> </w:t>
            </w:r>
            <w:r w:rsidR="007D558D" w:rsidRPr="00FA2DF9">
              <w:rPr>
                <w:sz w:val="20"/>
                <w:szCs w:val="20"/>
              </w:rPr>
              <w:t>(20106Ц38250; 22106Ц38250</w:t>
            </w:r>
            <w:r w:rsidRPr="00FA2DF9">
              <w:rPr>
                <w:sz w:val="20"/>
                <w:szCs w:val="20"/>
              </w:rPr>
              <w:t>)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Р/с 03214643000000011000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ЕКС 40102810945370000077</w:t>
            </w:r>
          </w:p>
          <w:p w:rsidR="008643B5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БИК 019033100</w:t>
            </w:r>
          </w:p>
          <w:p w:rsidR="00FA2DF9" w:rsidRPr="00FA2DF9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Pr="00FA2DF9" w:rsidRDefault="008379D0" w:rsidP="0032416E">
            <w:pPr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Поставщик:</w:t>
            </w:r>
          </w:p>
        </w:tc>
      </w:tr>
      <w:tr w:rsidR="00B3314E" w:rsidRPr="00F92E84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От Заказчика: </w:t>
            </w:r>
          </w:p>
          <w:p w:rsidR="00E844ED" w:rsidRPr="00FA2DF9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Главный врач</w:t>
            </w:r>
            <w:r w:rsidR="0006264E" w:rsidRPr="00FA2DF9">
              <w:rPr>
                <w:sz w:val="20"/>
                <w:szCs w:val="20"/>
              </w:rPr>
              <w:t xml:space="preserve"> </w:t>
            </w:r>
            <w:r w:rsidR="00B3314E" w:rsidRPr="00FA2DF9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bCs/>
                <w:sz w:val="20"/>
                <w:szCs w:val="20"/>
              </w:rPr>
              <w:t>Минздрава России (г. Беслан)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FA2DF9" w:rsidRDefault="00B3314E" w:rsidP="00534E15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________________</w:t>
            </w:r>
            <w:r w:rsidR="00284D3D" w:rsidRPr="00FA2DF9">
              <w:rPr>
                <w:sz w:val="20"/>
                <w:szCs w:val="20"/>
              </w:rPr>
              <w:t xml:space="preserve">__ /   </w:t>
            </w:r>
            <w:r w:rsidR="007B4CDB">
              <w:rPr>
                <w:sz w:val="20"/>
                <w:szCs w:val="20"/>
              </w:rPr>
              <w:t xml:space="preserve">М.С. Суханов </w:t>
            </w:r>
            <w:r w:rsidR="00C61D52" w:rsidRPr="00FA2DF9">
              <w:rPr>
                <w:sz w:val="20"/>
                <w:szCs w:val="20"/>
              </w:rPr>
              <w:t>/</w:t>
            </w:r>
            <w:r w:rsidRPr="00FA2DF9">
              <w:rPr>
                <w:sz w:val="20"/>
                <w:szCs w:val="20"/>
              </w:rPr>
              <w:t xml:space="preserve">        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 Поставщика:</w:t>
            </w:r>
          </w:p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</w:p>
          <w:p w:rsidR="00FA2DF9" w:rsidRDefault="00FA2DF9" w:rsidP="00FA2DF9">
            <w:pPr>
              <w:rPr>
                <w:sz w:val="20"/>
                <w:szCs w:val="20"/>
              </w:rPr>
            </w:pPr>
          </w:p>
          <w:p w:rsidR="00FA2DF9" w:rsidRPr="00FA2DF9" w:rsidRDefault="00FA2DF9" w:rsidP="00FA2DF9">
            <w:pPr>
              <w:rPr>
                <w:sz w:val="20"/>
                <w:szCs w:val="20"/>
              </w:rPr>
            </w:pPr>
          </w:p>
          <w:p w:rsidR="00141346" w:rsidRPr="00FA2DF9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__________________ /</w:t>
            </w:r>
            <w:r w:rsidR="008379D0" w:rsidRPr="00FA2DF9">
              <w:rPr>
                <w:sz w:val="20"/>
                <w:szCs w:val="20"/>
              </w:rPr>
              <w:t xml:space="preserve"> </w:t>
            </w:r>
            <w:r w:rsidRPr="00FA2DF9">
              <w:rPr>
                <w:sz w:val="20"/>
                <w:szCs w:val="20"/>
              </w:rPr>
              <w:t>/</w:t>
            </w:r>
          </w:p>
          <w:p w:rsidR="00B3314E" w:rsidRPr="00FA2DF9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>Приложение № 1</w:t>
      </w: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 xml:space="preserve"> к </w:t>
      </w:r>
      <w:r w:rsidR="00FA2DF9">
        <w:rPr>
          <w:sz w:val="22"/>
          <w:szCs w:val="22"/>
        </w:rPr>
        <w:t xml:space="preserve">Договору </w:t>
      </w:r>
      <w:r w:rsidRPr="00F92E84">
        <w:rPr>
          <w:sz w:val="22"/>
          <w:szCs w:val="22"/>
        </w:rPr>
        <w:t xml:space="preserve">№ </w:t>
      </w:r>
    </w:p>
    <w:p w:rsidR="00CA3A0D" w:rsidRPr="00F92E84" w:rsidRDefault="00FA2DF9" w:rsidP="00FA2DF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</w:t>
      </w:r>
      <w:r w:rsidR="00CA3A0D" w:rsidRPr="00F92E84">
        <w:rPr>
          <w:sz w:val="22"/>
          <w:szCs w:val="22"/>
        </w:rPr>
        <w:t>20</w:t>
      </w:r>
      <w:r w:rsidR="007B4CDB">
        <w:rPr>
          <w:sz w:val="22"/>
          <w:szCs w:val="22"/>
        </w:rPr>
        <w:t>26</w:t>
      </w:r>
    </w:p>
    <w:p w:rsidR="00CA3A0D" w:rsidRPr="00F92E84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10"/>
        <w:gridCol w:w="1872"/>
        <w:gridCol w:w="1547"/>
        <w:gridCol w:w="1202"/>
        <w:gridCol w:w="1317"/>
        <w:gridCol w:w="1007"/>
        <w:gridCol w:w="1230"/>
      </w:tblGrid>
      <w:tr w:rsidR="004E0DF9" w:rsidRPr="00F92E84" w:rsidTr="004E0DF9">
        <w:tc>
          <w:tcPr>
            <w:tcW w:w="603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3359" w:type="dxa"/>
            <w:gridSpan w:val="2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  <w:t>Товара в соответствии с единым справочником-каталогом лекарственных препаратов (ЕСКЛП)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Форма выпуска и дозировка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Единица измерения товара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Количество товара</w:t>
            </w:r>
          </w:p>
        </w:tc>
        <w:tc>
          <w:tcPr>
            <w:tcW w:w="1146" w:type="dxa"/>
            <w:vMerge w:val="restart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 товара, руб.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 товара, руб.</w:t>
            </w:r>
          </w:p>
        </w:tc>
      </w:tr>
      <w:tr w:rsidR="004E0DF9" w:rsidRPr="00F92E84" w:rsidTr="004E0DF9">
        <w:tc>
          <w:tcPr>
            <w:tcW w:w="603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международное непатентованное наименование</w:t>
            </w:r>
          </w:p>
        </w:tc>
        <w:tc>
          <w:tcPr>
            <w:tcW w:w="1549" w:type="dxa"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торговое наименование</w:t>
            </w:r>
          </w:p>
        </w:tc>
        <w:tc>
          <w:tcPr>
            <w:tcW w:w="1402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4E0DF9" w:rsidRPr="00F92E84" w:rsidRDefault="004E0DF9" w:rsidP="004E0DF9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4E0DF9" w:rsidRPr="00F92E84" w:rsidTr="004E0DF9">
        <w:tc>
          <w:tcPr>
            <w:tcW w:w="603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4E0DF9" w:rsidRPr="00F92E84" w:rsidRDefault="00E94BD6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ГЕНТАМИЦИН</w:t>
            </w:r>
          </w:p>
        </w:tc>
        <w:tc>
          <w:tcPr>
            <w:tcW w:w="1402" w:type="dxa"/>
            <w:shd w:val="clear" w:color="auto" w:fill="auto"/>
          </w:tcPr>
          <w:p w:rsidR="004E0DF9" w:rsidRPr="00F92E84" w:rsidRDefault="00E94BD6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E94BD6">
              <w:rPr>
                <w:bCs/>
                <w:sz w:val="22"/>
                <w:szCs w:val="22"/>
              </w:rPr>
              <w:t>РАСТВОР ДЛЯ ИНЪЕКЦИЙ</w:t>
            </w:r>
            <w:r>
              <w:rPr>
                <w:bCs/>
                <w:sz w:val="22"/>
                <w:szCs w:val="22"/>
              </w:rPr>
              <w:t xml:space="preserve"> 40 мг/мл</w:t>
            </w:r>
          </w:p>
        </w:tc>
        <w:tc>
          <w:tcPr>
            <w:tcW w:w="1212" w:type="dxa"/>
            <w:shd w:val="clear" w:color="auto" w:fill="auto"/>
          </w:tcPr>
          <w:p w:rsidR="004E0DF9" w:rsidRPr="00F92E84" w:rsidRDefault="00E94BD6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мл</w:t>
            </w:r>
          </w:p>
        </w:tc>
        <w:tc>
          <w:tcPr>
            <w:tcW w:w="1317" w:type="dxa"/>
          </w:tcPr>
          <w:p w:rsidR="004E0DF9" w:rsidRPr="00F92E84" w:rsidRDefault="00E94BD6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1146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4E0DF9" w:rsidRPr="00F92E84" w:rsidTr="004E0DF9">
        <w:tc>
          <w:tcPr>
            <w:tcW w:w="603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4E0DF9" w:rsidRPr="00F92E84" w:rsidTr="004E0DF9">
        <w:tc>
          <w:tcPr>
            <w:tcW w:w="603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:rsidR="004E0DF9" w:rsidRPr="00F92E84" w:rsidRDefault="004E0DF9" w:rsidP="004E0DF9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7B4CDB">
              <w:rPr>
                <w:sz w:val="22"/>
                <w:szCs w:val="22"/>
              </w:rPr>
              <w:t xml:space="preserve">/  </w:t>
            </w:r>
            <w:r w:rsidR="007B4CDB"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D0F" w:rsidRDefault="00E43D0F">
      <w:r>
        <w:separator/>
      </w:r>
    </w:p>
  </w:endnote>
  <w:endnote w:type="continuationSeparator" w:id="0">
    <w:p w:rsidR="00E43D0F" w:rsidRDefault="00E4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D0F" w:rsidRDefault="00E43D0F">
      <w:r>
        <w:separator/>
      </w:r>
    </w:p>
  </w:footnote>
  <w:footnote w:type="continuationSeparator" w:id="0">
    <w:p w:rsidR="00E43D0F" w:rsidRDefault="00E4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A0C0B"/>
    <w:rsid w:val="001E72BC"/>
    <w:rsid w:val="001E757E"/>
    <w:rsid w:val="001F0544"/>
    <w:rsid w:val="001F604C"/>
    <w:rsid w:val="00203971"/>
    <w:rsid w:val="00210B45"/>
    <w:rsid w:val="00227BC0"/>
    <w:rsid w:val="002309F0"/>
    <w:rsid w:val="00236C40"/>
    <w:rsid w:val="0024195E"/>
    <w:rsid w:val="00244101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1F8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35B8C"/>
    <w:rsid w:val="004537B9"/>
    <w:rsid w:val="004732F0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54C6D"/>
    <w:rsid w:val="0068135B"/>
    <w:rsid w:val="006835A7"/>
    <w:rsid w:val="0069458A"/>
    <w:rsid w:val="00694DA9"/>
    <w:rsid w:val="006B1238"/>
    <w:rsid w:val="006B2839"/>
    <w:rsid w:val="006C1AC4"/>
    <w:rsid w:val="006C2FE4"/>
    <w:rsid w:val="006F35EF"/>
    <w:rsid w:val="006F7FCF"/>
    <w:rsid w:val="00722A7C"/>
    <w:rsid w:val="00732B2A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D24A8"/>
    <w:rsid w:val="008D3D40"/>
    <w:rsid w:val="008F0042"/>
    <w:rsid w:val="008F2401"/>
    <w:rsid w:val="008F4053"/>
    <w:rsid w:val="00900073"/>
    <w:rsid w:val="0090157B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E5D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3A0D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46223"/>
    <w:rsid w:val="00D56983"/>
    <w:rsid w:val="00D66057"/>
    <w:rsid w:val="00D74DA8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43D0F"/>
    <w:rsid w:val="00E50805"/>
    <w:rsid w:val="00E53E2E"/>
    <w:rsid w:val="00E844ED"/>
    <w:rsid w:val="00E94BD6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3013BC-0B17-4487-95D2-614B0D81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1578</Words>
  <Characters>11688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13240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Моргоева Залина Албеговна</cp:lastModifiedBy>
  <cp:revision>2</cp:revision>
  <cp:lastPrinted>2026-05-19T12:54:00Z</cp:lastPrinted>
  <dcterms:created xsi:type="dcterms:W3CDTF">2026-06-24T15:01:00Z</dcterms:created>
  <dcterms:modified xsi:type="dcterms:W3CDTF">2026-06-24T15:01:00Z</dcterms:modified>
</cp:coreProperties>
</file>