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553" w:rsidRDefault="00793AAB">
      <w:pPr>
        <w:keepNext/>
        <w:widowControl w:val="0"/>
        <w:autoSpaceDE w:val="0"/>
        <w:autoSpaceDN w:val="0"/>
        <w:adjustRightInd w:val="0"/>
        <w:spacing w:before="240" w:after="0" w:line="24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</w:rPr>
        <w:t>Приложения к ЭлектронноЙ ВЕРСИИ контракта</w:t>
      </w:r>
    </w:p>
    <w:p w:rsidR="004E0553" w:rsidRDefault="004E055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E0553" w:rsidRDefault="00793AAB">
      <w:pPr>
        <w:keepNext/>
        <w:widowControl w:val="0"/>
        <w:autoSpaceDE w:val="0"/>
        <w:autoSpaceDN w:val="0"/>
        <w:adjustRightInd w:val="0"/>
        <w:spacing w:after="240" w:line="240" w:lineRule="atLeast"/>
        <w:contextualSpacing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Неотъемлемой частью Электронной версии контракта (далее по тексту приложений - Контракт) являются следующие приложения:</w:t>
      </w:r>
    </w:p>
    <w:p w:rsidR="004E0553" w:rsidRDefault="00793AAB">
      <w:pPr>
        <w:keepNext/>
        <w:widowControl w:val="0"/>
        <w:autoSpaceDE w:val="0"/>
        <w:autoSpaceDN w:val="0"/>
        <w:adjustRightInd w:val="0"/>
        <w:spacing w:after="240" w:line="240" w:lineRule="atLeast"/>
        <w:contextualSpacing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1) приложение № 1 – Условия Контракта;</w:t>
      </w:r>
    </w:p>
    <w:p w:rsidR="004E0553" w:rsidRDefault="00793AAB">
      <w:pPr>
        <w:keepNext/>
        <w:widowControl w:val="0"/>
        <w:tabs>
          <w:tab w:val="left" w:pos="4207"/>
        </w:tabs>
        <w:autoSpaceDE w:val="0"/>
        <w:autoSpaceDN w:val="0"/>
        <w:adjustRightInd w:val="0"/>
        <w:spacing w:after="240" w:line="240" w:lineRule="atLeast"/>
        <w:contextualSpacing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2) приложение № 2 – Спецификация (Техническое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задание).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</w:p>
    <w:p w:rsidR="004E0553" w:rsidRDefault="00793AAB">
      <w:pPr>
        <w:keepNext/>
        <w:widowControl w:val="0"/>
        <w:autoSpaceDE w:val="0"/>
        <w:autoSpaceDN w:val="0"/>
        <w:adjustRightInd w:val="0"/>
        <w:spacing w:after="240" w:line="240" w:lineRule="atLeast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Приложение № 1</w:t>
      </w:r>
    </w:p>
    <w:p w:rsidR="004E0553" w:rsidRDefault="00793AAB">
      <w:pPr>
        <w:keepNext/>
        <w:widowControl w:val="0"/>
        <w:autoSpaceDE w:val="0"/>
        <w:autoSpaceDN w:val="0"/>
        <w:adjustRightInd w:val="0"/>
        <w:spacing w:after="240" w:line="240" w:lineRule="atLeast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к Контракту</w:t>
      </w:r>
    </w:p>
    <w:p w:rsidR="004E0553" w:rsidRDefault="004E0553">
      <w:pPr>
        <w:keepNext/>
        <w:widowControl w:val="0"/>
        <w:autoSpaceDE w:val="0"/>
        <w:autoSpaceDN w:val="0"/>
        <w:adjustRightInd w:val="0"/>
        <w:spacing w:after="240" w:line="240" w:lineRule="atLeast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4E0553" w:rsidRDefault="004E0553">
      <w:pPr>
        <w:keepNext/>
        <w:widowControl w:val="0"/>
        <w:autoSpaceDE w:val="0"/>
        <w:autoSpaceDN w:val="0"/>
        <w:adjustRightInd w:val="0"/>
        <w:spacing w:after="240" w:line="240" w:lineRule="atLeast"/>
        <w:contextualSpacing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4E0553" w:rsidRDefault="00793A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КОНТРАКТА</w:t>
      </w:r>
    </w:p>
    <w:p w:rsidR="004E0553" w:rsidRDefault="004E05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553" w:rsidRDefault="00793AAB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bookmarkStart w:id="0" w:name="_Toc132610828"/>
      <w:bookmarkStart w:id="1" w:name="_Toc133992348"/>
      <w:bookmarkStart w:id="2" w:name="_Toc133922851"/>
      <w:bookmarkStart w:id="3" w:name="_Toc47082313"/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Настоящее Приложение является неотъемлемой частью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версии контракта. В случае несоответствия каких-либо условий или положений, содержащихся в тексте настоящего Приложения, условиям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 Контракта, приоритет будут иметь условия и положения, содержащиеся в Контракте.</w:t>
      </w:r>
    </w:p>
    <w:bookmarkEnd w:id="0"/>
    <w:bookmarkEnd w:id="1"/>
    <w:bookmarkEnd w:id="2"/>
    <w:p w:rsidR="004E0553" w:rsidRDefault="00793AAB">
      <w:pPr>
        <w:widowControl w:val="0"/>
        <w:autoSpaceDE w:val="0"/>
        <w:autoSpaceDN w:val="0"/>
        <w:spacing w:before="240" w:after="240" w:line="252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Предмет Контракта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Поставщик обязуется поставить товар, указанный в спецификации Контракта (далее – Товар), а Заказчик обязуется принять и оплатить Товар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и на условиях, предусмотренных Контрактом и настоящим Приложением.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Наименование, количество и иные характеристики поставляемого Товара указаны в спецификации Контракта (далее – Спецификация).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ИКЗ: 26 1 7710247083 771001001 0052 000 0000 244.</w:t>
      </w:r>
    </w:p>
    <w:p w:rsidR="004E0553" w:rsidRDefault="00793AAB">
      <w:pPr>
        <w:widowControl w:val="0"/>
        <w:autoSpaceDE w:val="0"/>
        <w:autoSpaceDN w:val="0"/>
        <w:spacing w:before="240" w:after="240" w:line="252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Цена Контракта и порядок расчетов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440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Общая стоимость Товара (далее – Цена Контракта) указана в Контракте.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Цена Контракта включает в себя: стоимость Товара, расходы, связанные с доставкой, разгрузкой - погрузкой, размещением в местах хранения Зака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зчика, стоимость упаковки (тары), маркировки, страхование, таможенные платежи (пошлины), установленные налоги, сборы и иные расходы, связанные с исполнением Контракта.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459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Цена Контракта является твердой и определяется на весь срок исполнения Контракта,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Контрактом и прил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ожениями к нему.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1460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bookmarkStart w:id="7" w:name="P1462"/>
      <w:bookmarkEnd w:id="7"/>
      <w:r>
        <w:rPr>
          <w:rFonts w:ascii="Times New Roman" w:eastAsia="Times New Roman" w:hAnsi="Times New Roman" w:cs="Calibri"/>
          <w:sz w:val="24"/>
          <w:szCs w:val="24"/>
          <w:lang w:eastAsia="ru-RU"/>
        </w:rPr>
        <w:t>Источник финансирования – средства бюджетных учреждений, поступившие на лицевой счет 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Расчеты между Заказчиком и Поставщиком производятся по факту поставки Товара в течение 7 (семи) рабочих дней с даты утверждения Заказчиком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окумента о приемке, в порядке, установленном разделом III настоящего Приложения.</w:t>
      </w:r>
    </w:p>
    <w:p w:rsidR="004E0553" w:rsidRDefault="00793A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Оплата производится при условии предоставления Заказчику правильно оформленных документов, предусмотренных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разделом III настоящего Приложения. </w:t>
      </w:r>
    </w:p>
    <w:p w:rsidR="004E0553" w:rsidRDefault="00793A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Авансирование не предусматривае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тся.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Поставщика.</w:t>
      </w:r>
    </w:p>
    <w:p w:rsidR="004E0553" w:rsidRDefault="00793A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В случае начисления Заказчиком Поставщику неустойки (штрафов и/или пеней) и (или)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предъявления требования о возмещении убытков, Заказчик направляет Поставщику по электронной почте требование оплатить неустойку (штрафы, пени) и (или) понесенные Заказчиком убытки, с </w:t>
      </w:r>
      <w:r>
        <w:rPr>
          <w:rFonts w:ascii="Times New Roman" w:eastAsia="Malgun Gothic" w:hAnsi="Times New Roman" w:cs="Times New Roman"/>
          <w:sz w:val="24"/>
          <w:szCs w:val="24"/>
        </w:rPr>
        <w:lastRenderedPageBreak/>
        <w:t>указанием порядка и сроков соответствующей оплаты. В случае, если Поставщ</w:t>
      </w:r>
      <w:r>
        <w:rPr>
          <w:rFonts w:ascii="Times New Roman" w:eastAsia="Malgun Gothic" w:hAnsi="Times New Roman" w:cs="Times New Roman"/>
          <w:sz w:val="24"/>
          <w:szCs w:val="24"/>
        </w:rPr>
        <w:t>ик в добровольном порядке в установленный Заказчиком срок не оплатил неустойку (штрафы, пени) и (или) убытки, Заказчик вправе уменьшить размер любого платежа, подлежащего оплате по Контракту на сумму начисленной неустойки (штрафов, пеней) и (или) убытков.</w:t>
      </w:r>
    </w:p>
    <w:p w:rsidR="004E0553" w:rsidRDefault="004E0553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553" w:rsidRDefault="00793AAB">
      <w:pPr>
        <w:widowControl w:val="0"/>
        <w:autoSpaceDE w:val="0"/>
        <w:autoSpaceDN w:val="0"/>
        <w:spacing w:before="240" w:after="0" w:line="252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Порядок, сроки и условия поставки</w:t>
      </w:r>
    </w:p>
    <w:p w:rsidR="004E0553" w:rsidRDefault="00793AAB">
      <w:pPr>
        <w:widowControl w:val="0"/>
        <w:autoSpaceDE w:val="0"/>
        <w:autoSpaceDN w:val="0"/>
        <w:spacing w:after="24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приемки Товара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1480"/>
      <w:bookmarkEnd w:id="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Поставщик самостоятельно доставляет Товар Заказчику по адресу(ам) указанному(ым) в Контракте (далее – место поставки), в срок, указанный в Спецификации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 w:bidi="ru-RU"/>
        </w:rPr>
        <w:t>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Поставщик не менее чем за 1 (один)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рабочий день до осуществления поставки Товара, направляет в адрес Заказчика уведомление о времени и дате доставки Товара в место поставки товара.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В день доставки Товара в место поставки Поставщик одновременно с Товаром должен передать Заказчику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передачу Товара (товарную накладную или универсальный передаточный документ), а также относящиеся к Товару документы (технический паспорт, сертификат качества, инструкцию по эксплуатации и т.п.), предусмотренные законом и/или иными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правовыми актами, в том числе предусмотренные правом Евразийского экономического союза, если эти документы обязательны для данного вида Товара. При этом передача Товара и документов должна быть полностью завершена в день доставки.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документах на Товар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лжны быть указаны реквизиты в соответствии с реквизитами, указанными в Контракте.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Приемка поставленного Товара осуществляется Заказчиком в одностороннем порядке, без участия представителя Поставщика. Заказчик проводит проверку соответствия наименовани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количества и иных характеристик поставляемого Товара, сведениям, содержащимся в сопроводительных документах Поставщика.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Заказчик в срок не более 15 (пятнадцати) рабочих дней с даты поставки Товара и момента получения от Поставщика документов, указа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в пункте 3.2 настоящего раздела, проводит экспертизу поставленного Товара, для проверки его соответствия условиям Контракта, и при отсутствии претензий по количеству и качеству поставленного Товара Заказчик, формирует документ о приемке (отдельной пар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тии Товара), составленный по форме акта приемки товаров, работ, услуг (форма по ОКУД 0510452) Приложения № 2 Приказа Минфина России от 15.04.2021 № 61н «Об утверждении унифицированных форм электронных документов бухгалтерского учета, применяемых при ведени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бюджетного учета, бухгалтерского учета государственных (муниципальных) учреждений, и Методических указаний по их формированию и применению», и подписывает в одностороннем порядке.</w:t>
      </w:r>
    </w:p>
    <w:p w:rsidR="004E0553" w:rsidRDefault="00793AAB">
      <w:pPr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При выявлении несоответствий в поставленном Товаре (наименования, 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иных нарушений условий Контракта, препятствующ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приемке Товара, Заказчик в срок, установленный в пункте 3.4 настоящего раздела, отказывает в приемке Товара и направляет Поставщику мотивированный отказ от подписания Акта приемки с указанием расхождений.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Поставщик в срок не более 3 (трех) рабочих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дней, если иной срок не согласован Сторонами отдельно, обязан устранить выявленные недостатки либо заменить Товар, не соответствующий требованиям Контракта и приложений к нему, и не принятый Заказчиком, на Товар отвечающий требованиям Контракта и приложени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к нему, и повторно сдать Товар Заказчику в порядке, установленном настоящим разделом (повторная приемка), либо направить Заказчику мотивированный отказ от устранения выявленных недостатков. </w:t>
      </w:r>
    </w:p>
    <w:p w:rsidR="004E0553" w:rsidRDefault="00793AAB">
      <w:pPr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Повторное рассмотрение документов осуществляется в порядке, опр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еделенном настоящим разделом.</w:t>
      </w:r>
    </w:p>
    <w:p w:rsidR="004E0553" w:rsidRDefault="00793AAB">
      <w:pPr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3.7. Фактической датой приемки Товара считается дата, указанная в документе о приемке, составленный по форме акта приемки товаров, работ, услуг (форма по ОКУД 0510452).</w:t>
      </w:r>
    </w:p>
    <w:p w:rsidR="004E0553" w:rsidRDefault="00793AAB">
      <w:pPr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3.8. Во всех случаях, влекущих возврат Товара Поставщику,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и) его возвратом (заменой), подлежат возмещению Поставщиком.</w:t>
      </w:r>
    </w:p>
    <w:p w:rsidR="004E0553" w:rsidRDefault="00793AAB">
      <w:pPr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Право собственности и риск случайной гибели или порчи Товара переходит от Поставщика к Заказчику с момента приемки Товара Заказчиком.</w:t>
      </w:r>
    </w:p>
    <w:p w:rsidR="004E0553" w:rsidRDefault="00793AAB">
      <w:pPr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Заказчик вправе не отказывать в приемке поставленн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Товара в случае выявления несоответствия Товара условиям Контракта и приложений к нему, если выявленное несоответствие не препятствует приемке этого Товара и устранено Поставщиком.</w:t>
      </w:r>
    </w:p>
    <w:p w:rsidR="004E0553" w:rsidRDefault="00793AAB">
      <w:pPr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случае, если условиями Контракта предусмотрена поставка Товара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 производства, на момент его передачи Заказчику, Товар полностью и надлежащим образом должен пройти таможенное оформление, таможенные процедуры - выпуск для внутреннего потребления. Все налоги, сборы и платежи, связанные с таможенным оформление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Товара полностью должны быть уплачены в соответствии с таможенным законодательством Российской Федерации. </w:t>
      </w:r>
    </w:p>
    <w:p w:rsidR="004E0553" w:rsidRDefault="00793AAB">
      <w:pPr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Стороны допускают использование электронных подписей при исполнении Контракта и совершении иных юридически значимых действий по Контракту 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ризнают электронные документы, подписанные электронной подписью установленного настоящим Соглашением вида, равнозначными документам на бумажном носителе, подписанным собственноручной подписью.</w:t>
      </w:r>
    </w:p>
    <w:p w:rsidR="004E0553" w:rsidRDefault="00793AAB">
      <w:pPr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исполнения Контракта и совершения иных юридически значи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мых действий по Контракту Стороны установили, что электронные документы Сторон признаются равнозначными документам на бумажном носителе, подписанным собственноручной подписью, только в случае их подписания усиленной квалифицированной электронной подписью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смысле, в котором она определена Федеральным законом от 06.04.2011 № 63-ФЗ «Об электронной подписи»). </w:t>
      </w:r>
    </w:p>
    <w:p w:rsidR="004E0553" w:rsidRDefault="00793AAB">
      <w:pPr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документами в электронном виде осуществляется по телекоммуникационным каналам связи, Заказчик использует систему электронного документооборот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СБИС оператора ООО «Компания Тензор» с соблюдением требований Российского законодательства, действующих на дату отправки документа.</w:t>
      </w:r>
    </w:p>
    <w:p w:rsidR="004E0553" w:rsidRDefault="00793AAB">
      <w:pPr>
        <w:widowControl w:val="0"/>
        <w:autoSpaceDE w:val="0"/>
        <w:autoSpaceDN w:val="0"/>
        <w:spacing w:before="240" w:after="240" w:line="252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Взаимодействие Сторон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P1497"/>
      <w:bookmarkEnd w:id="9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4.1. Поставщик обязан: 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Поставить Товар в порядке, количестве, в срок и на условиях,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усмотренных Контрактом и приложениями к нему;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1499"/>
      <w:bookmarkEnd w:id="1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кации, лицензирования, установленным законодательством Российской Федерации, Контрактом и приложениями к нему;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смотренных настоящим Приложением;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1502"/>
      <w:bookmarkStart w:id="12" w:name="P1503"/>
      <w:bookmarkStart w:id="13" w:name="P1504"/>
      <w:bookmarkEnd w:id="11"/>
      <w:bookmarkEnd w:id="12"/>
      <w:bookmarkEnd w:id="1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ях, возникающих при исполнении Контракта.</w:t>
      </w:r>
    </w:p>
    <w:p w:rsidR="004E0553" w:rsidRDefault="00793AAB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При поставке Товара в место поставки соблюдать требования пункта 1 статьи 11 Федерального закона от 25.07.2002 № 115-ФЗ «О правовом положении иностранных граждан в Российской Федерации» и пункта 10 Перечня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территорий, организаций и объектов, для въезда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которые иностранным гражданам требуется специальное разрешение, утвержденного постановлением Правительства Российской Федерации от 11.10.2002 № 754.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4.1.6. В случае, если Контрактом предусмотрена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поставка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Товара иностранного производства, Поставщик обязан предоставить Заказчику копии документов, подтверждающих прохождение таможенных процедур в отношении такого товара.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magenta"/>
          <w:lang w:eastAsia="ru-RU"/>
        </w:rPr>
        <w:t xml:space="preserve"> 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4.1.7.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уполномоченными контрольными органами фактов поставки Товара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 полном объеме и/или завышения его стоимости, Поставщик осуществляет возврат Заказчику излишне уплаченных денежных средств.</w:t>
      </w:r>
    </w:p>
    <w:p w:rsidR="004E0553" w:rsidRDefault="00793AAB">
      <w:pPr>
        <w:widowControl w:val="0"/>
        <w:autoSpaceDE w:val="0"/>
        <w:autoSpaceDN w:val="0"/>
        <w:spacing w:before="120" w:after="0" w:line="252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4" w:name="P1505"/>
      <w:bookmarkStart w:id="15" w:name="P1508"/>
      <w:bookmarkStart w:id="16" w:name="P1511"/>
      <w:bookmarkEnd w:id="14"/>
      <w:bookmarkEnd w:id="15"/>
      <w:bookmarkEnd w:id="1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Поставщик вправе: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Требовать от Заказчика произвести приемку Товара в порядке и в сроки, предусмотренные Контрактом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приложениями к нему;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1518"/>
      <w:bookmarkEnd w:id="1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Требовать своевременной оплаты на условиях, установленных Контрактом и приложениями к нему, надлежащим образом поставленного и принятого Заказчиком Товара;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P1519"/>
      <w:bookmarkEnd w:id="1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Принять решение об одностороннем отказе от исполнения Контракта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гражданским законодательством;</w:t>
      </w:r>
    </w:p>
    <w:p w:rsidR="004E0553" w:rsidRDefault="00793AAB">
      <w:pPr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Требовать возмещения убытков, уплаты неустоек (штрафов, пеней) в соответствии с разделом VI настоящего Приложения.</w:t>
      </w:r>
    </w:p>
    <w:p w:rsidR="004E0553" w:rsidRDefault="00793AAB">
      <w:pPr>
        <w:widowControl w:val="0"/>
        <w:autoSpaceDE w:val="0"/>
        <w:autoSpaceDN w:val="0"/>
        <w:spacing w:before="120" w:after="0" w:line="252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9" w:name="P1521"/>
      <w:bookmarkEnd w:id="19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Заказчик обязан: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Обеспечить своевременную приемку и оплату поставленного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надлежащего качества в порядке и сроки, предусмотренные Контрактом и приложениями к нему; 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1525"/>
      <w:bookmarkEnd w:id="2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Требовать уплаты неустоек (штрафов, пеней) в соответствии с разделом VI настоящего Приложения.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P1529"/>
      <w:bookmarkEnd w:id="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Провести экспертизу поставленного Товара для пров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ерки его соответствия условиям Контракта в соответствии с Законом о контрактной системе.</w:t>
      </w:r>
    </w:p>
    <w:p w:rsidR="004E0553" w:rsidRDefault="00793AAB">
      <w:pPr>
        <w:widowControl w:val="0"/>
        <w:autoSpaceDE w:val="0"/>
        <w:autoSpaceDN w:val="0"/>
        <w:spacing w:before="120" w:after="0" w:line="252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 Заказчик вправе: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4.4.1. Требовать от Поставщика надлежащего исполнения обязательств по Контракту;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Требовать от Поставщика своевременного устранения недоста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тков, выявленных как в ходе приемки, так и в течение гарантийного периода (если установлен); 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Проверять ход и качество исполнения Поставщиком Контракта без вмешательства в оперативно-хозяйственную деятельность Поставщика;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4.4.4. Требовать возмещения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убытков в соответствии с разделом VI настоящего Приложения, причиненных по вине Поставщика;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4.4.5. В случае неисполнения или ненадлежащего исполнения Поставщиком обязательств(а), предусмотренных(ого) Контрактом и приложениями к нему, произвести оплату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 за вычетом соответствующего размера неустойки (штрафа, пени), рассчитанного в соответствии с разделом VI настоящего Приложения;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P1534"/>
      <w:bookmarkEnd w:id="2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4.4.6. Отказаться от приемки и оплаты Товара, не соответствующего условиям Контракта;</w:t>
      </w:r>
    </w:p>
    <w:p w:rsidR="004E0553" w:rsidRDefault="00793AAB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P1536"/>
      <w:bookmarkEnd w:id="2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4.4.7. Принять решение об одност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обязательств; 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P1537"/>
      <w:bookmarkEnd w:id="2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4.4.8. До принятия решения об одностороннем отказе от исполнения Контракт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провести экспертизу поставленного Товара с привлечением экспертов, экспертных организаций;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4.4.9. Удержать суммы неисполненных Поставщиком требований об уплате неустоек (штрафов, пеней), предъявленных Заказчиком в соответствии с Законом о контрактной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 и Контрактом, из суммы, подлежащей оплате Поставщику.</w:t>
      </w:r>
    </w:p>
    <w:p w:rsidR="004E0553" w:rsidRDefault="00793AAB">
      <w:pPr>
        <w:widowControl w:val="0"/>
        <w:autoSpaceDE w:val="0"/>
        <w:autoSpaceDN w:val="0"/>
        <w:spacing w:before="240" w:after="240" w:line="252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Качество Товара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Поставщик гарантирует, что поставляемый Товар соответствует требованиям,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установленным Контрактом и приложениями к нему.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Поставщик гарантирует безопасность Товара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Поставляемый Товар должен соответствовать действующим в Российской Федерации стандартам, техническим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регламентам, санитарным и фитосанитарным нормам (если установлены).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Товар должен быть упакован и замаркирован в соответствии с действующими стандартами (если установлены).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поставляет Товар в упаковке завода-изготовителя (если предусмотрено),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P1546"/>
      <w:bookmarkEnd w:id="2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Требования к гарантии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могут быть указаны в Контракте и Спецификации.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P1547"/>
      <w:bookmarkEnd w:id="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 Требования к предоставлению гарантии произв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одителя и (или) Поставщика Товара и к сроку действия такой гарантии указаны в Спецификации.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Calibri" w:eastAsia="Times New Roman" w:hAnsi="Calibri" w:cs="Calibri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Исключительные права.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5.6.1. Поставщик гарантирует отсутствие нарушения исключительных прав третьих лиц, связанных с поставкой и использованием Товара.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ьзования, включая судебные расходы и возмещение материального ущерба, возмещаются Поставщиком в полном объеме.</w:t>
      </w:r>
    </w:p>
    <w:p w:rsidR="004E0553" w:rsidRDefault="00793AAB">
      <w:pPr>
        <w:widowControl w:val="0"/>
        <w:autoSpaceDE w:val="0"/>
        <w:autoSpaceDN w:val="0"/>
        <w:spacing w:before="240" w:after="240" w:line="252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Ответственность Сторон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Контракта Стороны несут ответственность в соответствии с законодатель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Российской Федерации и условиями настоящего раздела.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случае полного (частичного) неисполнения Контракта одной из Сторон эта Сторона обязана возместить другой Стороне причиненные убытки в части, непокрытой неустойкой.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P1554"/>
      <w:bookmarkEnd w:id="2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случае просрочки 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полнения Поставщиком обязательств (в том числе гарантийного обязательства), предусмотренных Контрактом и приложениями к нему, Поставщик уплачивает Заказчику пени. Пеня начисляется за каждый день просрочки исполнения Поставщиком обязательства, предусмотренн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Контрактом и приложениями к нему, начиная со дня, следующего после дня истечения установленного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Поставщиком.</w:t>
      </w:r>
    </w:p>
    <w:p w:rsidR="004E0553" w:rsidRDefault="00793AAB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 За каждый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неисполнения или ненадлежащего исполнения Поставщиком обязательств, предусмотренных Контрактом и приложениями к нему, за исключением просрочки исполнения Поставщиком обязательств (в том числе гарантийного обязательства) Поставщик уплачивает Заказчику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 в размере 10% (десяти процентов) цены Контракта (этапа).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P1556"/>
      <w:bookmarkEnd w:id="2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6.5. За каждый факт неисполнения или ненадлежащего исполнения Поставщиком обязательства, предусмотренного Контрактом и приложениями к нему, которое не имеет стоимостного выражения, Поставщик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плачивает Заказчику штраф в размере 1 000 (Одна тысяча) рублей.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P1557"/>
      <w:bookmarkStart w:id="30" w:name="P1558"/>
      <w:bookmarkEnd w:id="29"/>
      <w:bookmarkEnd w:id="3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6.6. В случае просрочки исполнения Заказчиком обязательств, предусмотренных Контрактом и приложениями к нему, Поставщик вправе потребовать уплату пени в размере одной трехсотой действующей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Контрактом и приложениями к нему, начиная со дня, следующего после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истечения установленного срока исполнения обязательства.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6.7. За каждый факт неисполнения Заказчиком обязательств, предусмотренных Контрактом и приложениями к нему, за исключением просрочки исполнения обязательств, предусмотренных Контрактом и приложе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ниями к нему, Поставщик вправе потребовать уплату штрафа в размере 1 000 (Одна тысяча) рублей. 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P1561"/>
      <w:bookmarkEnd w:id="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6.8. Применение неустойки (штрафа, пени) не освобождает Стороны от исполнения обязательств по Контракту.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6.9. Общая сумма начисленных штрафов за неисполнение 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ненадлежащее исполнение Поставщиком обязательств, предусмотренных Контрактом, не может превышать цену Контракта.</w:t>
      </w:r>
    </w:p>
    <w:p w:rsidR="004E0553" w:rsidRDefault="00793AAB">
      <w:pPr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Общая сумма начисленных штрафов за ненадлежащее исполнение Заказчиком обязательств, предусмотренных Контрактом, не может превышать цену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Контракта.</w:t>
      </w:r>
    </w:p>
    <w:p w:rsidR="004E0553" w:rsidRDefault="00793AAB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6.11. Нарушение Поставщиком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поставки Товаров по Контракту является существенным нарушением условий Контракта независимо от количества поставленного Поставщиком Товара на день окончания срока исполнения Поставщиком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обязательств по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ставке Товара. 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6.12. В случае причинения ущерба одной Стороне действиями или бездействиями другой Стороны, а равно её имуществу и/или правам, расторжения Контракта в связи с односторонним отказом Стороны от исполнения Контракта или в иных обстоятельствах,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другая Сторона вправе потребовать возмещения убытков в размере фактически понесенного ущерба.</w:t>
      </w:r>
    </w:p>
    <w:p w:rsidR="004E0553" w:rsidRDefault="00793AAB">
      <w:pPr>
        <w:widowControl w:val="0"/>
        <w:tabs>
          <w:tab w:val="left" w:pos="1500"/>
        </w:tabs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6.13. Заказчик вправе удержать сумму причитающейся в его пользу неустойки из подлежащей уплате Поставщику суммы по настоящему Контракту.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E0553" w:rsidRDefault="00793AAB">
      <w:pPr>
        <w:widowControl w:val="0"/>
        <w:autoSpaceDE w:val="0"/>
        <w:autoSpaceDN w:val="0"/>
        <w:spacing w:before="240" w:after="240" w:line="252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Обстоятельства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непреодолимой силы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Стороны не несут ответственность за полное или частичное неисполнение предусмотренных Контрактом и приложениями к нему обязательств, если такое неисполнение связано с обстоятельствами непреодолимой силы.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 случае если надлежаще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исполнение Стороной предусмотренных Контрактом и приложениями к нему обязательств оказалось невозможным вследствие обстоятельств непреодолимой силы, такая Сторона не позднее 3 (трех) дней с момента их наступления в письменной форме извещает другую Сторон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с приложением документов, удостоверяющих факт наступления указанных обстоятельств.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4E0553" w:rsidRDefault="00793AAB">
      <w:pPr>
        <w:widowControl w:val="0"/>
        <w:autoSpaceDE w:val="0"/>
        <w:autoSpaceDN w:val="0"/>
        <w:spacing w:before="24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VIII. Обеспечение исполнения Контракта и гарантийных обязательств</w:t>
      </w:r>
    </w:p>
    <w:p w:rsidR="004E0553" w:rsidRDefault="00793AAB">
      <w:pPr>
        <w:widowControl w:val="0"/>
        <w:autoSpaceDE w:val="0"/>
        <w:autoSpaceDN w:val="0"/>
        <w:spacing w:before="240" w:after="240" w:line="252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P1570"/>
      <w:bookmarkEnd w:id="3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Обеспечение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Контракта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гарантийных обязательств для Поставщика не устанавливается.</w:t>
      </w:r>
    </w:p>
    <w:p w:rsidR="004E0553" w:rsidRDefault="00793AAB">
      <w:pPr>
        <w:widowControl w:val="0"/>
        <w:autoSpaceDE w:val="0"/>
        <w:autoSpaceDN w:val="0"/>
        <w:spacing w:before="240" w:after="240" w:line="252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IX. Рассмотрение и разрешение споров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Все споры и разногласия, которые могут возникнуть из Контракта между Сторонами, будут разрешаться путем переговоров, в том числе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претензионном порядке.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Претензия оформляется в письменной форме. В претензии перечисляются допущенные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исполнении Контракта нарушения со ссылкой на соответствующие положения Контракта или его приложений, отражаются стоимостная оценка ответственнос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 (неустойки), а также действия, которые должны быть произведены Стороной для устранения нарушений.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9.3. Срок рассмотрения претензии не может превышать 10 (десять) рабочих дней.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При неурегулировании Сторонами спора в досудебном порядке, спор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разрешается в судебном порядке в Арбитражном суде г. Москвы.</w:t>
      </w:r>
    </w:p>
    <w:p w:rsidR="004E0553" w:rsidRDefault="00793AAB">
      <w:pPr>
        <w:widowControl w:val="0"/>
        <w:autoSpaceDE w:val="0"/>
        <w:autoSpaceDN w:val="0"/>
        <w:spacing w:before="240" w:after="240" w:line="252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X. Срок действия и порядок расторжения Контракта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Контракт вступает в силу с момента его подписания обеими Сторонами и действует по «30» декабря 2026 года включительно. 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срока дейс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4E0553" w:rsidRDefault="00793AAB">
      <w:pPr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Расторжение Контракта допускается по соглашению Сторон, по решению суда или в связи с односторонним отказом Стороны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исполнения Контракта в соответствии с гражданским законодательством Российской Федерации в порядке, предусмотренном Законом о контрактной системе.</w:t>
      </w:r>
    </w:p>
    <w:p w:rsidR="004E0553" w:rsidRDefault="00793AAB">
      <w:pPr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Окончание срока действия Контракта не освобождает Стороны от ответственности за неисполнение и/или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енадлежащее исполнение обязательств Сторон, в том числе гарантийных обязательств (если установлены).</w:t>
      </w:r>
    </w:p>
    <w:p w:rsidR="004E0553" w:rsidRDefault="00793AAB">
      <w:pPr>
        <w:widowControl w:val="0"/>
        <w:autoSpaceDE w:val="0"/>
        <w:autoSpaceDN w:val="0"/>
        <w:spacing w:before="240" w:after="240" w:line="252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XI. Уведомления</w:t>
      </w:r>
    </w:p>
    <w:p w:rsidR="004E0553" w:rsidRDefault="00793A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Любое уведомление, которое одна Сторона направляет другой Стороне в соответствии с Контрактом, высылается по почте заказным письмом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уведомлением о вручении по адресу, указанному в Контракте,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подтверждения о его вручении.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адресу, указанному в Контракте.</w:t>
      </w:r>
    </w:p>
    <w:p w:rsidR="004E0553" w:rsidRDefault="00793AAB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При рассмотре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и урегулировании споров переписка Сторон по электронной почте может использоваться в качестве доказательств.</w:t>
      </w:r>
    </w:p>
    <w:p w:rsidR="004E0553" w:rsidRDefault="00793AAB">
      <w:pPr>
        <w:autoSpaceDE w:val="0"/>
        <w:autoSpaceDN w:val="0"/>
        <w:spacing w:before="240" w:after="240" w:line="252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положения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Во всем, что не предусмотрено Контрактом и приложениями к нему, Стороны руководствуются законодательством Российск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Федерации.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В случае изменения у какой-либо из Сторон местонахождения, названия, а также в случае реорганизации она обязана в течение 3 (трех) рабочих дней письменно известить об этом другую Сторону.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В случае изменения расчетного счета Постав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щика, Поставщик обязан в течение 3 (трех) рабочих дней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на указанный в Контракте счет Поставщика, несет Поставщик.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12.4. Внесение изменений и дополнений, не противоречащих законодательству Российской Федерации, в условия Контракта и приложения к нему осуществляется путем заключения Сторонами в письменно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форме дополнительных соглашений к Контракту, которые являются его неотъемлемой частью.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12.5. Изменение существенных условий Контракта при его исполнении не допускается, за исключением случаев, предусмотренных Законом о контрактной системе.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12.6. 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прав и обязаннос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12.7. В случае если поставка Товара осуществляется Поставщиком поэтапно в соответствии с периодами, установленными в Специфи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кации, порядок и сроки расчетов, установленные разделом II настоящего Приложения, а также порядок, сроки и условия поставки и приемки Товара, установленные разделом III настоящего Приложения, применяются в отношении каждой партии Товара (отдельного этапа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сполнения Контракта), если иное не установлено Контрактом и приложениями к нему.</w:t>
      </w:r>
    </w:p>
    <w:p w:rsidR="004E0553" w:rsidRDefault="00793AAB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4E0553" w:rsidRDefault="00793AAB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12.9.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Спецификация к Кон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тракту может быть изложена в виде технического задания. В этом случае термины «Спецификация» и «Техническое задание» являются тождественными.</w:t>
      </w:r>
    </w:p>
    <w:p w:rsidR="004E0553" w:rsidRDefault="00793AAB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12.10. Контактные данные Заказчика</w:t>
      </w:r>
    </w:p>
    <w:p w:rsidR="004E0553" w:rsidRDefault="00793AAB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-  по вопросам заключения контракта:</w:t>
      </w:r>
    </w:p>
    <w:p w:rsidR="004E0553" w:rsidRDefault="00793AAB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Телефон: 8 (495) </w:t>
      </w:r>
      <w:r w:rsidR="00866E6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180 00 00 доб. 5060, 5066</w:t>
      </w:r>
    </w:p>
    <w:p w:rsidR="004E0553" w:rsidRPr="00866E65" w:rsidRDefault="00793AAB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E</w:t>
      </w:r>
      <w:r w:rsidRPr="00866E65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mail</w:t>
      </w:r>
      <w:r w:rsidRPr="00866E65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usz</w:t>
      </w:r>
      <w:r w:rsidRPr="00866E65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_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zakupki</w:t>
      </w:r>
      <w:r w:rsidRPr="00866E65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@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mintrud</w:t>
      </w:r>
      <w:r w:rsidRPr="00866E65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gov</w:t>
      </w:r>
      <w:r w:rsidRPr="00866E65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ru</w:t>
      </w:r>
      <w:r w:rsidRPr="00866E65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ru-RU"/>
        </w:rPr>
        <w:t>;</w:t>
      </w:r>
    </w:p>
    <w:p w:rsidR="004E0553" w:rsidRDefault="00793AAB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- по вопросам формирования отчетных документов </w:t>
      </w:r>
    </w:p>
    <w:p w:rsidR="004E0553" w:rsidRDefault="00793AAB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телефон: </w:t>
      </w:r>
    </w:p>
    <w:p w:rsidR="004E0553" w:rsidRDefault="00793AAB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8 (495) 587 88 89 доб. 2969</w:t>
      </w:r>
    </w:p>
    <w:p w:rsidR="004E0553" w:rsidRDefault="00793AAB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Филиппова Татьяна Викторовна</w:t>
      </w:r>
    </w:p>
    <w:p w:rsidR="004E0553" w:rsidRDefault="00793AAB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hyperlink r:id="rId7" w:history="1">
        <w:r>
          <w:rPr>
            <w:rStyle w:val="a6"/>
            <w:rFonts w:ascii="Times New Roman" w:eastAsia="Times New Roman" w:hAnsi="Times New Roman" w:cs="Times New Roman"/>
            <w:spacing w:val="-3"/>
            <w:sz w:val="24"/>
            <w:szCs w:val="24"/>
            <w:lang w:eastAsia="ru-RU"/>
          </w:rPr>
          <w:t>mts.fgbu@yandex.ru</w:t>
        </w:r>
      </w:hyperlink>
    </w:p>
    <w:p w:rsidR="004E0553" w:rsidRDefault="004E0553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4E0553" w:rsidRDefault="004E0553">
      <w:pPr>
        <w:widowControl w:val="0"/>
        <w:autoSpaceDE w:val="0"/>
        <w:autoSpaceDN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8"/>
      </w:tblGrid>
      <w:tr w:rsidR="004E0553">
        <w:trPr>
          <w:trHeight w:val="562"/>
        </w:trPr>
        <w:tc>
          <w:tcPr>
            <w:tcW w:w="10198" w:type="dxa"/>
            <w:shd w:val="clear" w:color="auto" w:fill="auto"/>
            <w:vAlign w:val="center"/>
          </w:tcPr>
          <w:p w:rsidR="004E0553" w:rsidRDefault="00793AAB">
            <w:pPr>
              <w:spacing w:after="0" w:line="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ПОДПИСИ СТОРОН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0553">
        <w:tc>
          <w:tcPr>
            <w:tcW w:w="10198" w:type="dxa"/>
            <w:shd w:val="clear" w:color="auto" w:fill="auto"/>
            <w:vAlign w:val="center"/>
          </w:tcPr>
          <w:p w:rsidR="004E0553" w:rsidRDefault="00793AAB">
            <w:pPr>
              <w:spacing w:before="120" w:after="120" w:line="0" w:lineRule="atLeast"/>
              <w:ind w:firstLine="567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От Заказчика: </w:t>
            </w:r>
            <w:r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подписано усиленной квалифицированной электронной подписью лица,  имеющего право действовать от имени Заказчика</w:t>
            </w:r>
          </w:p>
        </w:tc>
      </w:tr>
      <w:tr w:rsidR="004E0553">
        <w:tc>
          <w:tcPr>
            <w:tcW w:w="10198" w:type="dxa"/>
            <w:shd w:val="clear" w:color="auto" w:fill="auto"/>
            <w:vAlign w:val="center"/>
          </w:tcPr>
          <w:p w:rsidR="004E0553" w:rsidRDefault="00793AAB">
            <w:pPr>
              <w:spacing w:before="120" w:after="120" w:line="0" w:lineRule="atLeast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От Поставщика: </w:t>
            </w:r>
            <w:r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подписано усиленной квалифицированной электронной подписью лица,  имеющего право действовать от имени Поставщика</w:t>
            </w:r>
          </w:p>
        </w:tc>
      </w:tr>
      <w:bookmarkEnd w:id="3"/>
    </w:tbl>
    <w:p w:rsidR="004E0553" w:rsidRDefault="004E0553"/>
    <w:p w:rsidR="004E0553" w:rsidRDefault="004E0553"/>
    <w:p w:rsidR="004E0553" w:rsidRDefault="004E0553"/>
    <w:p w:rsidR="004E0553" w:rsidRDefault="004E0553"/>
    <w:p w:rsidR="004E0553" w:rsidRDefault="004E0553"/>
    <w:p w:rsidR="004E0553" w:rsidRDefault="004E055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  <w:sectPr w:rsidR="004E0553">
          <w:type w:val="continuous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4E0553" w:rsidRDefault="004E055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4E0553" w:rsidRDefault="004E055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4E0553" w:rsidRDefault="004E055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4E0553" w:rsidRDefault="004E055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4E0553" w:rsidRDefault="004E055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4E0553" w:rsidRDefault="004E055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4E0553" w:rsidRDefault="004E055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4E0553" w:rsidRDefault="00793AAB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lastRenderedPageBreak/>
        <w:t>Приложение № 2</w:t>
      </w:r>
    </w:p>
    <w:p w:rsidR="004E0553" w:rsidRDefault="00793AAB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к Контракту</w:t>
      </w:r>
    </w:p>
    <w:p w:rsidR="004E0553" w:rsidRDefault="004E055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4E0553" w:rsidRDefault="00793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4E0553" w:rsidRDefault="00793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поставку компьютеров персональных настольных (моноблоков)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телевизора и коммутаторов для нужд ФГБУ «УСЗ и МТО» Минтруда России</w:t>
      </w:r>
    </w:p>
    <w:p w:rsidR="004E0553" w:rsidRDefault="004E0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553" w:rsidRDefault="00793AAB">
      <w:pPr>
        <w:numPr>
          <w:ilvl w:val="0"/>
          <w:numId w:val="1"/>
        </w:numPr>
        <w:suppressAutoHyphens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закупки: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Поставка компьютеров персональных настольных (моноблоков), телевизора и коммутаторов для нужд ФГБУ «УСЗ и МТО» Минтруда России.</w:t>
      </w:r>
    </w:p>
    <w:p w:rsidR="004E0553" w:rsidRDefault="00793A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 закупки: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 персональный настольный (моноблок), телевизор и коммутатор (далее – Товар).</w:t>
      </w:r>
    </w:p>
    <w:p w:rsidR="004E0553" w:rsidRDefault="00793A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субсидии – 08-18 (ИТ)</w:t>
      </w:r>
    </w:p>
    <w:p w:rsidR="004E0553" w:rsidRDefault="00793A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КОСГУ 310</w:t>
      </w:r>
    </w:p>
    <w:p w:rsidR="004E0553" w:rsidRDefault="00793AAB">
      <w:pPr>
        <w:numPr>
          <w:ilvl w:val="0"/>
          <w:numId w:val="1"/>
        </w:numPr>
        <w:suppressAutoHyphens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поставки Товара: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Москва, вн.тер.г. муниципальный округ Тверской, ул. Ильинка, дом 21.</w:t>
      </w:r>
    </w:p>
    <w:p w:rsidR="004E0553" w:rsidRDefault="00793AAB">
      <w:pPr>
        <w:numPr>
          <w:ilvl w:val="0"/>
          <w:numId w:val="1"/>
        </w:numPr>
        <w:suppressAutoHyphens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поставки Товара: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10 (десяти) рабочих дней с даты заключения Контракта.</w:t>
      </w:r>
    </w:p>
    <w:p w:rsidR="004E0553" w:rsidRDefault="00793AAB">
      <w:pPr>
        <w:numPr>
          <w:ilvl w:val="0"/>
          <w:numId w:val="1"/>
        </w:numPr>
        <w:suppressAutoHyphens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количеству (объему), функциональным и техническим 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арактеристикам Товара:</w:t>
      </w:r>
    </w:p>
    <w:p w:rsidR="004E0553" w:rsidRDefault="004E0553">
      <w:pPr>
        <w:suppressAutoHyphens/>
        <w:ind w:left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61"/>
        <w:gridCol w:w="2126"/>
        <w:gridCol w:w="1318"/>
        <w:gridCol w:w="666"/>
        <w:gridCol w:w="851"/>
        <w:gridCol w:w="1505"/>
        <w:gridCol w:w="2239"/>
      </w:tblGrid>
      <w:tr w:rsidR="004E0553">
        <w:trPr>
          <w:trHeight w:val="1033"/>
          <w:jc w:val="center"/>
        </w:trPr>
        <w:tc>
          <w:tcPr>
            <w:tcW w:w="426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161" w:type="dxa"/>
          </w:tcPr>
          <w:p w:rsidR="004E0553" w:rsidRDefault="00793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 по ОКПД2</w:t>
            </w:r>
          </w:p>
        </w:tc>
        <w:tc>
          <w:tcPr>
            <w:tcW w:w="2126" w:type="dxa"/>
          </w:tcPr>
          <w:p w:rsidR="004E0553" w:rsidRDefault="00793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товара, входящего в объект закупки</w:t>
            </w:r>
          </w:p>
        </w:tc>
        <w:tc>
          <w:tcPr>
            <w:tcW w:w="1318" w:type="dxa"/>
          </w:tcPr>
          <w:p w:rsidR="004E0553" w:rsidRDefault="00793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Товарный знак, модель, марка, бренд, страна происхождения товара</w:t>
            </w:r>
          </w:p>
        </w:tc>
        <w:tc>
          <w:tcPr>
            <w:tcW w:w="666" w:type="dxa"/>
          </w:tcPr>
          <w:p w:rsidR="004E0553" w:rsidRDefault="00793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Ед. измерения</w:t>
            </w:r>
          </w:p>
        </w:tc>
        <w:tc>
          <w:tcPr>
            <w:tcW w:w="851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показателя, ед. изм. показателя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Описание, значение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 w:val="restart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61" w:type="dxa"/>
            <w:vMerge w:val="restart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26.20.15.140</w:t>
            </w:r>
          </w:p>
        </w:tc>
        <w:tc>
          <w:tcPr>
            <w:tcW w:w="2126" w:type="dxa"/>
            <w:vMerge w:val="restart"/>
          </w:tcPr>
          <w:p w:rsidR="004E0553" w:rsidRDefault="00793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Компьютер персональный настольный (моноблок)</w:t>
            </w:r>
          </w:p>
        </w:tc>
        <w:tc>
          <w:tcPr>
            <w:tcW w:w="1318" w:type="dxa"/>
            <w:vMerge w:val="restart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«ASUS PM670KA-BPE024W [90PT0453-M00820]»</w:t>
            </w:r>
          </w:p>
        </w:tc>
        <w:tc>
          <w:tcPr>
            <w:tcW w:w="666" w:type="dxa"/>
            <w:vMerge w:val="restart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Шт</w:t>
            </w:r>
          </w:p>
        </w:tc>
        <w:tc>
          <w:tcPr>
            <w:tcW w:w="851" w:type="dxa"/>
            <w:vMerge w:val="restart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744" w:type="dxa"/>
            <w:gridSpan w:val="2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Характеристика установлена в соответствии с КТРУ, код позиции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26.20.15.000-00000038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Диагональ экрана,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ab/>
              <w:t>Дюйм (25,4 мм)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27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Возможность наклона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встроенной камеры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Нет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Возможность поворота экрана в портретный режим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Нет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Беспроводная связь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Wi-Fi, Bluetooth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Интерфейс накопителя SSD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PCIe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Количество встроенных в корпус портов USB 2.0, Штука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1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Количество встроенных в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корпус портов USB 3.2 Gen 1 Type-A, Штука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3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Количество встроенных в корпус портов USB 3.2 Gen 1 Type-C, Штука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1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Количество накопителей типа SSD, установленных внутри корпуса, Штука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1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Количество потоков процессора, Штука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16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Количество ядер процессора, Штука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8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Максимальный объем оперативной памяти, Гигабайт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32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Наличие в корпусе разъемов подключения для наушников и микрофона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Да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Наличие встроенного входного разъема HDMI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Да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Наличие в корпусе порта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Gigabit Ethernet 8P8C (RJ-45)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Да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Наличие встроенных выходных видео разъемов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HDMI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Наличие встроенного микрофона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Да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Наличие клавиатуры с раскладкой QWERTY/ЙЦУКЕН в комплекте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Да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Наличие манипулятора мышь в комплекте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Да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Объем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 накопителя SSD, Гигабайт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1024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Объем установленной оперативной памяти, Гигабайт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32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Разрешение вэб-камеры, Мпиксель, 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5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Разрешение экрана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1920 x 1080</w:t>
            </w:r>
          </w:p>
        </w:tc>
      </w:tr>
      <w:tr w:rsidR="004E0553" w:rsidRPr="00866E65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Технология изготовления матрицы дисплея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 xml:space="preserve">IPS (PLS, ADS, AAS, FFS, SFT, New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Mode2, Vistarich)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Тип оперативной памяти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DDR5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Частота обновления экрана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, Герц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100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Частота процессора базовая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, Гигагерц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2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 w:val="restart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61" w:type="dxa"/>
            <w:vMerge w:val="restart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26.30.11.110</w:t>
            </w:r>
          </w:p>
        </w:tc>
        <w:tc>
          <w:tcPr>
            <w:tcW w:w="2126" w:type="dxa"/>
            <w:vMerge w:val="restart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Коммутатор</w:t>
            </w:r>
          </w:p>
        </w:tc>
        <w:tc>
          <w:tcPr>
            <w:tcW w:w="1318" w:type="dxa"/>
            <w:vMerge w:val="restart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«ZyXEL GS1200-8HPV3-EU0101F»</w:t>
            </w:r>
          </w:p>
        </w:tc>
        <w:tc>
          <w:tcPr>
            <w:tcW w:w="666" w:type="dxa"/>
            <w:vMerge w:val="restart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Шт</w:t>
            </w:r>
          </w:p>
        </w:tc>
        <w:tc>
          <w:tcPr>
            <w:tcW w:w="851" w:type="dxa"/>
            <w:vMerge w:val="restart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744" w:type="dxa"/>
            <w:gridSpan w:val="2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Характеристика установлена в соответствии с КТРУ, код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позиции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26.30.11.110-00000041: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Уровень управляемого коммутатора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2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Блок питания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Внешний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Внутренняя пропускная способность, Гигабит в секунду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16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Количество блоков питания, Штука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1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Количество портов PoE+, Штука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4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Количество портов Ethernet 10/100/1000 Base-T (8P8C), Штука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8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Материал корпуса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Металл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Наличие интерфейсов управления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WEB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Тип электропитания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DC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Тип размещения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Настольное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Тип передачи данных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Ethernet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Тип коммутатора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Управляемый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 w:val="restart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61" w:type="dxa"/>
            <w:vMerge w:val="restart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26.40.20.122</w:t>
            </w:r>
          </w:p>
        </w:tc>
        <w:tc>
          <w:tcPr>
            <w:tcW w:w="2126" w:type="dxa"/>
            <w:vMerge w:val="restart"/>
          </w:tcPr>
          <w:p w:rsidR="004E0553" w:rsidRDefault="00793AAB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Телевизор </w:t>
            </w:r>
          </w:p>
        </w:tc>
        <w:tc>
          <w:tcPr>
            <w:tcW w:w="1318" w:type="dxa"/>
            <w:vMerge w:val="restart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«Hisense 65E8Q»</w:t>
            </w:r>
          </w:p>
        </w:tc>
        <w:tc>
          <w:tcPr>
            <w:tcW w:w="666" w:type="dxa"/>
            <w:vMerge w:val="restart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Шт</w:t>
            </w:r>
          </w:p>
        </w:tc>
        <w:tc>
          <w:tcPr>
            <w:tcW w:w="851" w:type="dxa"/>
            <w:vMerge w:val="restart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Диагональ экрана, Дюйм (25,4 мм)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65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Тип подсветки экрана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Mini LED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Наличие технологии затемнении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Да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Тип экрана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QLED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Разрешение экрана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4059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Roboto" w:eastAsia="Times New Roman" w:hAnsi="Roboto" w:cs="Times New Roman"/>
                <w:color w:val="334059"/>
                <w:sz w:val="21"/>
                <w:szCs w:val="21"/>
                <w:shd w:val="clear" w:color="auto" w:fill="FFFFFF"/>
                <w:lang w:eastAsia="ru-RU"/>
              </w:rPr>
              <w:t>4K UHD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Поддержка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HDR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Да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Частота обновления экрана, Герц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Тип матрицы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VA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Яркость экрана, кд/м2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450-600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Угол обзора, град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178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Изогнутый экран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Нет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Наличие Smart TV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Да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Операционная система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VIDAA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Наличие Wi-Fi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</w:t>
            </w:r>
          </w:p>
        </w:tc>
      </w:tr>
      <w:tr w:rsidR="004E0553" w:rsidRPr="00866E65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Цифровые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тюнеры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DVB-T2, DVB-C, DVB-S2, DVB-T, DVB-S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Мощность звука, Ватт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30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Дополнительно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Сабвуфер, Dolby-Atmos, Пульт мультимедийный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Функции и возможности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Bluetooth, Голосовой ассистент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Разъемы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HDMI, LAN, USB, Композитный, Выход на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наушники, Оптический</w:t>
            </w:r>
          </w:p>
        </w:tc>
      </w:tr>
      <w:tr w:rsidR="004E0553">
        <w:trPr>
          <w:trHeight w:val="26"/>
          <w:jc w:val="center"/>
        </w:trPr>
        <w:tc>
          <w:tcPr>
            <w:tcW w:w="4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8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6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</w:tcPr>
          <w:p w:rsidR="004E0553" w:rsidRDefault="004E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5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Толщина телевизора без подставки, Миллиметр</w:t>
            </w:r>
          </w:p>
        </w:tc>
        <w:tc>
          <w:tcPr>
            <w:tcW w:w="2239" w:type="dxa"/>
          </w:tcPr>
          <w:p w:rsidR="004E0553" w:rsidRDefault="0079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160</w:t>
            </w:r>
          </w:p>
        </w:tc>
      </w:tr>
    </w:tbl>
    <w:p w:rsidR="004E0553" w:rsidRDefault="00793AAB">
      <w:pPr>
        <w:numPr>
          <w:ilvl w:val="0"/>
          <w:numId w:val="1"/>
        </w:numPr>
        <w:suppressAutoHyphens/>
        <w:ind w:firstLine="13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к отгрузке и поставки Товара:</w:t>
      </w:r>
    </w:p>
    <w:p w:rsidR="004E0553" w:rsidRDefault="00793A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Время поставки Товара: с 9-30 до 11-30 и с 12-30 до 15-00 часов, с понедельника по пятницу. Поставщик уведомляет Заказчика о точном времени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дате поставки Товара по электронной почте. Въезд машин на территорию Заказчика осуществляется по заранее оформленному пропуску.</w:t>
      </w:r>
    </w:p>
    <w:p w:rsidR="004E0553" w:rsidRDefault="00793AAB">
      <w:pPr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Доставка, погрузка и разгрузка, в места, указанные ответственным представителем Заказчика, осуществляется силами и средствами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оставщика или с привлечением третьих лиц за счет средств Поставщика. Ответственность за действия третьих лиц несет Поставщик. Поставщик несет ответственность за разглашение своими сотрудниками любой служебной информации, принадлежащей Заказчику, и осуществ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 контроль дисциплины своих сотрудников в процессе</w:t>
      </w:r>
      <w:r>
        <w:rPr>
          <w:rFonts w:ascii="Times New Roman" w:eastAsia="Times New Roman" w:hAnsi="Times New Roman" w:cs="Times New Roman"/>
          <w:lang w:eastAsia="ru-RU"/>
        </w:rPr>
        <w:t xml:space="preserve"> поставки Товаров.</w:t>
      </w:r>
    </w:p>
    <w:p w:rsidR="004E0553" w:rsidRDefault="00793AAB">
      <w:pPr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несет риски, связанные с поставкой Товара до момента его передачи Заказчику.</w:t>
      </w:r>
    </w:p>
    <w:p w:rsidR="004E0553" w:rsidRDefault="00793AAB">
      <w:pPr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взаимодействия с Заказчиком Поставщик обязан в течение 1 (Одного) рабочего дня с даты заключе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Контракта назначить ответственное контактное лицо, выделить адрес электронной почты для приема данных (заявок, запросов, уведомлений) в электронной форме, номер телефона и уведомить об этом Заказчика посредством электронной почты, указанной в реквизита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Заказчика.</w:t>
      </w:r>
    </w:p>
    <w:p w:rsidR="004E0553" w:rsidRDefault="00793AAB">
      <w:pPr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передачи Заказчику Товар должен принадлежать Поставщику на праве собственности и не должен быть обременен правами и притязаниями третьих лиц.</w:t>
      </w:r>
    </w:p>
    <w:p w:rsidR="004E0553" w:rsidRDefault="00793A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какого-либо повреждения имущества, принадлежащего Заказчику или третьим лицам,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 поставки Товара, Поставщик должен произвести восстановительные (ремонтные) работы за свой счет с применением сертифицированных, качественных материалов и оборудования. В случае порчи имущества Поставщик устраняет и/или компенсирует порчу имущества Зак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азчика или третьих лиц в полном объеме в течение 3 (Трех) календарных дней.</w:t>
      </w:r>
    </w:p>
    <w:p w:rsidR="004E0553" w:rsidRDefault="00793A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Погрузка и разгрузка Товара не должна препятствовать или создавать неудобства в работе сотрудников Заказчика или представлять угрозу жизни и здоровью людей, угрозу возникновения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 или чрезвычайных ситуаций. Поставщик обязан неукоснительно соблюдать требования правил внутреннего распорядка, установленных в организации Заказчика.</w:t>
      </w:r>
    </w:p>
    <w:p w:rsidR="004E0553" w:rsidRDefault="00793AAB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 и безопасности поставляемого Товара:</w:t>
      </w:r>
    </w:p>
    <w:p w:rsidR="004E0553" w:rsidRDefault="00793A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поставляемый Товар должен соответство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характеристикам, указанным в разделе 4 настоящего Технического задания, а также требованиям и нормам действующего законодательства Российской Федерации. </w:t>
      </w:r>
    </w:p>
    <w:p w:rsidR="004E0553" w:rsidRDefault="00793AA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должен соответствовать требованиям следующих документов:</w:t>
      </w:r>
    </w:p>
    <w:p w:rsidR="004E0553" w:rsidRDefault="00793AA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12.1.004-91. Меж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стандарт. Система стандартов безопасности труда. Пожарная безопасность. Общие требования;</w:t>
      </w:r>
    </w:p>
    <w:p w:rsidR="004E0553" w:rsidRDefault="00793AA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Р 50839-2000. Государственный стандарт Российской Федерации. Совместимость технических средств электромагнитная. Устойчивость средств вычислитель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техники и информатики к электромагнитным помехам. Требования и методы испытаний;</w:t>
      </w:r>
    </w:p>
    <w:p w:rsidR="004E0553" w:rsidRDefault="00793AA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12.1.019-2017. Межгосударственный стандарт. Система стандартов безопасности труда. Электробезопасность. Общие требования и номенклатура видов защиты.</w:t>
      </w:r>
    </w:p>
    <w:p w:rsidR="004E0553" w:rsidRDefault="00793A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Поставляемые 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ары должны быть новыми, не восстановленными, не бывшими в эксплуатации и не иметь дефектов, связанных с конструкцией, материалами или работой по их изготовлению в результате действия или упущения производителя и/или Поставщика и на Товар должна распростран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яться полная гарантия производителя.</w:t>
      </w:r>
    </w:p>
    <w:p w:rsidR="004E0553" w:rsidRDefault="00793A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Товаром Заказчику должны быть предоставлены сертификаты соответствия и/или иные документы подтверждения соответствия Товара, подлежащего обязательной сертификации, либо иные формы подтверждения качества и соотв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етствия Товара требованиям, установленным следующими документами:</w:t>
      </w:r>
    </w:p>
    <w:p w:rsidR="004E0553" w:rsidRDefault="00793AA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 ТС 004/2011 «Технический регламент Таможенного Союза. О безопасности низковольтного оборудования»; </w:t>
      </w:r>
    </w:p>
    <w:p w:rsidR="004E0553" w:rsidRDefault="00793AA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 ТС 020/2011 «Технический регламент Таможенного союза. Электромагнитная совместимость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технических средств».</w:t>
      </w:r>
    </w:p>
    <w:p w:rsidR="004E0553" w:rsidRDefault="00793A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Поставляемая продукция по своему качеству должна соответствовать требованиям нормативно-технической документации, принятой для данного вида продукции, иметь документацию подтверждающую класс энергоэффективности не ниже класса А, либо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иные показатели энергоэффективности в зависимости от категории и применяемых к нему параметров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энергоэффективности, согласно требованиям Постановления Правительства РФ № 1221 от 31.12.2009 г. «Об утверждении Правил установления требований энергетиче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эффективности товаров, работ, услуг при осуществлении закупок для обеспечения государственных или муниципальных нужд».</w:t>
      </w:r>
    </w:p>
    <w:p w:rsidR="004E0553" w:rsidRDefault="00793A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 быть безопасным в процессе использования, хранения, транспортировки и утилизации, в соответствии с законодательством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ссийской Федерации.</w:t>
      </w:r>
    </w:p>
    <w:p w:rsidR="004E0553" w:rsidRDefault="00793A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несоответствия характеристик поставляемого Товара требованиям настоящего Технического задания, такой Товар не будет принят Заказчиком и подлежит возврату Поставщику за его счет.</w:t>
      </w:r>
    </w:p>
    <w:p w:rsidR="004E0553" w:rsidRDefault="00793A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за свой счёт произвести замену некачественного Товара на качественный в течение 2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(двух)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с момента получения уведомления Заказчика о скрытых недостатках поставленного Товара.</w:t>
      </w:r>
    </w:p>
    <w:p w:rsidR="004E0553" w:rsidRDefault="00793A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Вместе с Товаром передаются все необходимые докумен</w:t>
      </w:r>
      <w:r>
        <w:rPr>
          <w:rFonts w:ascii="Times New Roman" w:eastAsia="Times New Roman" w:hAnsi="Times New Roman" w:cs="Times New Roman"/>
          <w:sz w:val="24"/>
          <w:szCs w:val="24"/>
        </w:rPr>
        <w:t>ты, в том числе документы, подтверждающие качество поставленного Товара, сертификаты, для того Товара, на который Российским законодательством предусмотрена обязательная сертификация, иные документы, предусмотренные требованиями законодательства Российской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Федерации, а также товарную накладную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 передаточный документ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указанием перечня поставляемого Товара согласно настоящему Техническому заданию. При поставке Товара без надлежащей документации или с ненадлежащим образом оформленной докумен</w:t>
      </w:r>
      <w:r>
        <w:rPr>
          <w:rFonts w:ascii="Times New Roman" w:eastAsia="Times New Roman" w:hAnsi="Times New Roman" w:cs="Times New Roman"/>
          <w:sz w:val="24"/>
          <w:szCs w:val="24"/>
        </w:rPr>
        <w:t>тацией, Товар принятию и оплате не подлежит.</w:t>
      </w:r>
    </w:p>
    <w:p w:rsidR="004E0553" w:rsidRDefault="00793AAB">
      <w:pPr>
        <w:numPr>
          <w:ilvl w:val="0"/>
          <w:numId w:val="1"/>
        </w:numPr>
        <w:suppressAutoHyphens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упаковке Товара</w:t>
      </w:r>
    </w:p>
    <w:p w:rsidR="004E0553" w:rsidRDefault="00793A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поставляет Товар в упаковке, содержащей сопроводительную надпись о виде и количестве Товара, находящегося в ней (упаковочный лист). Каждая упаковка должна иметь следующую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аркировку: наименование и местонахождение изготовителя Товара; товарный знак Изготовителя (при его наличии). На каждой единице Товара маркировка должна быть четкой, упаковка без повреждений.</w:t>
      </w:r>
    </w:p>
    <w:p w:rsidR="004E0553" w:rsidRDefault="00793AA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Упаковка Товара должна обеспечивать сохранность товара 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транспортировке и хранении.</w:t>
      </w:r>
    </w:p>
    <w:p w:rsidR="004E0553" w:rsidRDefault="00793A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Упаковочные материалы, потребительская и транспортная упаковка, используемые для упаковывания Товара, должны соответствовать требованиям Технического регламента Таможенного союза «О безопасности упаковки» (ТР ТС 005/2011),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 не установлено в настоящем Техническом задании.</w:t>
      </w:r>
    </w:p>
    <w:p w:rsidR="004E0553" w:rsidRDefault="00793AAB">
      <w:pPr>
        <w:numPr>
          <w:ilvl w:val="0"/>
          <w:numId w:val="1"/>
        </w:numPr>
        <w:suppressAutoHyphens/>
        <w:ind w:left="0" w:firstLine="85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сроку и объему предоставления гарантий качества товара:</w:t>
      </w:r>
    </w:p>
    <w:p w:rsidR="004E0553" w:rsidRDefault="00793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предоставляет гарантии на Товар, в соответствии с гарантийным сроком и условиями, определенными фирмой производителем с даты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bookmarkStart w:id="33" w:name="_GoBack"/>
      <w:bookmarkEnd w:id="3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одписания Заказчиком документа о приемке. </w:t>
      </w:r>
    </w:p>
    <w:sectPr w:rsidR="004E0553">
      <w:type w:val="continuous"/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AAB" w:rsidRDefault="00793AAB">
      <w:pPr>
        <w:spacing w:line="240" w:lineRule="auto"/>
      </w:pPr>
      <w:r>
        <w:separator/>
      </w:r>
    </w:p>
  </w:endnote>
  <w:endnote w:type="continuationSeparator" w:id="0">
    <w:p w:rsidR="00793AAB" w:rsidRDefault="00793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AAB" w:rsidRDefault="00793AAB">
      <w:pPr>
        <w:spacing w:after="0"/>
      </w:pPr>
      <w:r>
        <w:separator/>
      </w:r>
    </w:p>
  </w:footnote>
  <w:footnote w:type="continuationSeparator" w:id="0">
    <w:p w:rsidR="00793AAB" w:rsidRDefault="00793A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15295"/>
    <w:multiLevelType w:val="multilevel"/>
    <w:tmpl w:val="12A15295"/>
    <w:lvl w:ilvl="0">
      <w:start w:val="1"/>
      <w:numFmt w:val="bullet"/>
      <w:suff w:val="space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19D5A5C"/>
    <w:multiLevelType w:val="multilevel"/>
    <w:tmpl w:val="719D5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73"/>
    <w:rsid w:val="00001BD6"/>
    <w:rsid w:val="00095214"/>
    <w:rsid w:val="000A7C73"/>
    <w:rsid w:val="000D7FC3"/>
    <w:rsid w:val="0014651D"/>
    <w:rsid w:val="001918D9"/>
    <w:rsid w:val="00213B32"/>
    <w:rsid w:val="002F22E6"/>
    <w:rsid w:val="00311DE1"/>
    <w:rsid w:val="003150A3"/>
    <w:rsid w:val="003E3E47"/>
    <w:rsid w:val="00414E04"/>
    <w:rsid w:val="004275DF"/>
    <w:rsid w:val="004B7B9D"/>
    <w:rsid w:val="004C2835"/>
    <w:rsid w:val="004E0553"/>
    <w:rsid w:val="00516826"/>
    <w:rsid w:val="0056544B"/>
    <w:rsid w:val="00580089"/>
    <w:rsid w:val="005C0CD1"/>
    <w:rsid w:val="00632930"/>
    <w:rsid w:val="00647628"/>
    <w:rsid w:val="00690083"/>
    <w:rsid w:val="00752C86"/>
    <w:rsid w:val="00793AAB"/>
    <w:rsid w:val="007B141D"/>
    <w:rsid w:val="008457AA"/>
    <w:rsid w:val="00866E65"/>
    <w:rsid w:val="008C6761"/>
    <w:rsid w:val="008E55A2"/>
    <w:rsid w:val="00921B05"/>
    <w:rsid w:val="0092354E"/>
    <w:rsid w:val="00963DA7"/>
    <w:rsid w:val="009800F2"/>
    <w:rsid w:val="00993859"/>
    <w:rsid w:val="00A70760"/>
    <w:rsid w:val="00A721B4"/>
    <w:rsid w:val="00AB0ECB"/>
    <w:rsid w:val="00AF1B7A"/>
    <w:rsid w:val="00B61C38"/>
    <w:rsid w:val="00BD769A"/>
    <w:rsid w:val="00BE2A3E"/>
    <w:rsid w:val="00C51CC9"/>
    <w:rsid w:val="00C573E0"/>
    <w:rsid w:val="00C83FB0"/>
    <w:rsid w:val="00C94E9B"/>
    <w:rsid w:val="00D2732C"/>
    <w:rsid w:val="00DB79F4"/>
    <w:rsid w:val="00E165B2"/>
    <w:rsid w:val="00E8781F"/>
    <w:rsid w:val="00EC11E7"/>
    <w:rsid w:val="00EC3AED"/>
    <w:rsid w:val="00ED16B9"/>
    <w:rsid w:val="00F1628E"/>
    <w:rsid w:val="00F26CC4"/>
    <w:rsid w:val="00F44E63"/>
    <w:rsid w:val="00F66EF3"/>
    <w:rsid w:val="4D65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6270D-CB23-4266-A98C-946F8FC5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semiHidden/>
    <w:unhideWhenUsed/>
    <w:rPr>
      <w:vertAlign w:val="superscript"/>
    </w:rPr>
  </w:style>
  <w:style w:type="character" w:styleId="a5">
    <w:name w:val="annotation reference"/>
    <w:uiPriority w:val="99"/>
    <w:unhideWhenUsed/>
    <w:qFormat/>
    <w:rPr>
      <w:sz w:val="16"/>
      <w:szCs w:val="16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zh-CN" w:eastAsia="ru-RU"/>
    </w:rPr>
  </w:style>
  <w:style w:type="paragraph" w:styleId="a9">
    <w:name w:val="annotation text"/>
    <w:basedOn w:val="a"/>
    <w:link w:val="aa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zh-CN"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 w:eastAsia="ru-RU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 w:eastAsia="ru-RU"/>
    </w:rPr>
  </w:style>
  <w:style w:type="paragraph" w:styleId="af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val="zh-CN" w:eastAsia="zh-CN"/>
    </w:rPr>
  </w:style>
  <w:style w:type="character" w:customStyle="1" w:styleId="ae">
    <w:name w:val="Текст сноски Знак"/>
    <w:basedOn w:val="a0"/>
    <w:link w:val="ad"/>
    <w:uiPriority w:val="99"/>
    <w:semiHidden/>
    <w:rPr>
      <w:rFonts w:ascii="Times New Roman" w:eastAsia="Times New Roman" w:hAnsi="Times New Roman" w:cs="Times New Roman"/>
      <w:sz w:val="20"/>
      <w:szCs w:val="20"/>
      <w:lang w:val="zh-CN" w:eastAsia="ru-RU"/>
    </w:r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eastAsia="Times New Roman" w:hAnsi="Times New Roman" w:cs="Times New Roman"/>
      <w:sz w:val="24"/>
      <w:szCs w:val="24"/>
      <w:lang w:val="zh-CN" w:eastAsia="ru-RU"/>
    </w:rPr>
  </w:style>
  <w:style w:type="character" w:customStyle="1" w:styleId="af2">
    <w:name w:val="Нижний колонтитул Знак"/>
    <w:basedOn w:val="a0"/>
    <w:link w:val="af1"/>
    <w:uiPriority w:val="99"/>
    <w:qFormat/>
    <w:rPr>
      <w:rFonts w:ascii="Times New Roman" w:eastAsia="Times New Roman" w:hAnsi="Times New Roman" w:cs="Times New Roman"/>
      <w:sz w:val="24"/>
      <w:szCs w:val="24"/>
      <w:lang w:val="zh-CN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eastAsia="Times New Roman" w:hAnsi="Segoe UI" w:cs="Times New Roman"/>
      <w:sz w:val="18"/>
      <w:szCs w:val="18"/>
      <w:lang w:val="zh-CN" w:eastAsia="ru-RU"/>
    </w:rPr>
  </w:style>
  <w:style w:type="character" w:customStyle="1" w:styleId="rpc41">
    <w:name w:val="_rpc_41"/>
    <w:basedOn w:val="a0"/>
  </w:style>
  <w:style w:type="character" w:customStyle="1" w:styleId="apple-converted-space">
    <w:name w:val="apple-converted-space"/>
    <w:basedOn w:val="a0"/>
    <w:qFormat/>
  </w:style>
  <w:style w:type="character" w:customStyle="1" w:styleId="aa">
    <w:name w:val="Текст примечания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zh-CN" w:eastAsia="zh-CN"/>
    </w:rPr>
  </w:style>
  <w:style w:type="paragraph" w:styleId="af7">
    <w:name w:val="No Spacing"/>
    <w:link w:val="af8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8">
    <w:name w:val="Без интервала Знак"/>
    <w:link w:val="af7"/>
    <w:uiPriority w:val="1"/>
    <w:qFormat/>
    <w:locked/>
    <w:rPr>
      <w:rFonts w:ascii="Calibri" w:eastAsia="Calibri" w:hAnsi="Calibri" w:cs="Times New Roman"/>
    </w:rPr>
  </w:style>
  <w:style w:type="character" w:customStyle="1" w:styleId="af6">
    <w:name w:val="Абзац списка Знак"/>
    <w:link w:val="af5"/>
    <w:uiPriority w:val="34"/>
    <w:qFormat/>
    <w:locked/>
  </w:style>
  <w:style w:type="character" w:customStyle="1" w:styleId="af9">
    <w:name w:val="Неразрешенное упоминание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s.fgbu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5324</Words>
  <Characters>30350</Characters>
  <Application>Microsoft Office Word</Application>
  <DocSecurity>0</DocSecurity>
  <Lines>252</Lines>
  <Paragraphs>71</Paragraphs>
  <ScaleCrop>false</ScaleCrop>
  <Company/>
  <LinksUpToDate>false</LinksUpToDate>
  <CharactersWithSpaces>35603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ЕАТ поставка</dc:title>
  <dc:creator>Воевода Николай Иванович</dc:creator>
  <dc:description>для закупок с определенным объемом, без обеспечений</dc:description>
  <cp:lastModifiedBy>Мишурова Ксения Александровна</cp:lastModifiedBy>
  <cp:revision>26</cp:revision>
  <dcterms:created xsi:type="dcterms:W3CDTF">2026-02-03T09:10:00Z</dcterms:created>
  <dcterms:modified xsi:type="dcterms:W3CDTF">2026-05-25T06:48:00Z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eyJoZGlkIjoiMmVlM2I2ZTdlODZmM2IyNTAyOGJlYjk1OGM1MTZiNDAifQ==</vt:lpwstr>
  </property>
  <property fmtid="{D5CDD505-2E9C-101B-9397-08002B2CF9AE}" pid="3" name="KSOProductBuildVer">
    <vt:lpwstr>1049-12.1.0.26372</vt:lpwstr>
  </property>
  <property fmtid="{D5CDD505-2E9C-101B-9397-08002B2CF9AE}" pid="4" name="ICV">
    <vt:lpwstr>2841FD23518A429A96295B5DBA8654F1_12</vt:lpwstr>
  </property>
</Properties>
</file>