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9.xml" ContentType="application/vnd.openxmlformats-officedocument.wordprocessingml.footer+xml"/>
  <Override PartName="/word/_rels/document.xml.rels" ContentType="application/vnd.openxmlformats-package.relationships+xml"/>
  <Override PartName="/word/numbering.xml" ContentType="application/vnd.openxmlformats-officedocument.wordprocessingml.numbering+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word/footer3.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4.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rPr>
          <w:rFonts w:ascii="Times New Roman" w:hAnsi="Times New Roman"/>
          <w:b/>
          <w:bCs/>
          <w:sz w:val="24"/>
          <w:szCs w:val="24"/>
        </w:rPr>
      </w:pPr>
      <w:r>
        <w:rPr>
          <w:rFonts w:ascii="Times New Roman" w:hAnsi="Times New Roman"/>
          <w:b/>
          <w:bCs/>
          <w:sz w:val="24"/>
          <w:szCs w:val="24"/>
        </w:rPr>
      </w:r>
    </w:p>
    <w:p>
      <w:pPr>
        <w:pStyle w:val="NoSpacing"/>
        <w:ind w:firstLine="567"/>
        <w:jc w:val="center"/>
        <w:rPr>
          <w:rFonts w:ascii="Times New Roman" w:hAnsi="Times New Roman"/>
          <w:b/>
          <w:bCs/>
          <w:sz w:val="24"/>
          <w:szCs w:val="24"/>
        </w:rPr>
      </w:pPr>
      <w:r>
        <w:rPr>
          <w:rFonts w:ascii="Times New Roman" w:hAnsi="Times New Roman"/>
          <w:b/>
          <w:bCs/>
          <w:sz w:val="24"/>
          <w:szCs w:val="24"/>
        </w:rPr>
      </w:r>
    </w:p>
    <w:p>
      <w:pPr>
        <w:pStyle w:val="NoSpacing"/>
        <w:ind w:firstLine="567"/>
        <w:jc w:val="center"/>
        <w:rPr>
          <w:rFonts w:ascii="Times New Roman" w:hAnsi="Times New Roman"/>
          <w:b/>
          <w:bCs/>
          <w:sz w:val="24"/>
          <w:szCs w:val="24"/>
        </w:rPr>
      </w:pPr>
      <w:bookmarkStart w:id="0" w:name="_Toc381869926"/>
      <w:r>
        <w:rPr>
          <w:rFonts w:ascii="Times New Roman" w:hAnsi="Times New Roman"/>
          <w:b/>
          <w:bCs/>
          <w:sz w:val="24"/>
          <w:szCs w:val="24"/>
        </w:rPr>
        <w:t>ГОСУДАРСТВЕННЫЙ КОНТРАКТ</w:t>
      </w:r>
      <w:bookmarkEnd w:id="0"/>
      <w:r>
        <w:rPr>
          <w:rFonts w:ascii="Times New Roman" w:hAnsi="Times New Roman"/>
          <w:b/>
          <w:bCs/>
          <w:sz w:val="24"/>
          <w:szCs w:val="24"/>
        </w:rPr>
        <w:t xml:space="preserve"> № ___/МТННА-26/Ю</w:t>
      </w:r>
    </w:p>
    <w:p>
      <w:pPr>
        <w:pStyle w:val="NoSpacing"/>
        <w:ind w:firstLine="567"/>
        <w:jc w:val="center"/>
        <w:rPr>
          <w:highlight w:val="none"/>
          <w:shd w:fill="auto" w:val="clear"/>
        </w:rPr>
      </w:pPr>
      <w:r>
        <w:rPr>
          <w:rFonts w:ascii="Times New Roman" w:hAnsi="Times New Roman"/>
          <w:b/>
          <w:bCs/>
          <w:sz w:val="24"/>
          <w:szCs w:val="24"/>
          <w:shd w:fill="auto" w:val="clear"/>
        </w:rPr>
        <w:t xml:space="preserve">на оказание образовательных услуг по программе </w:t>
      </w:r>
    </w:p>
    <w:p>
      <w:pPr>
        <w:pStyle w:val="NoSpacing"/>
        <w:ind w:firstLine="567"/>
        <w:jc w:val="center"/>
        <w:rPr>
          <w:highlight w:val="none"/>
          <w:shd w:fill="auto" w:val="clear"/>
        </w:rPr>
      </w:pPr>
      <w:r>
        <w:rPr>
          <w:rFonts w:ascii="Times New Roman" w:hAnsi="Times New Roman"/>
          <w:b/>
          <w:bCs/>
          <w:sz w:val="24"/>
          <w:szCs w:val="24"/>
          <w:shd w:fill="auto" w:val="clear"/>
        </w:rPr>
        <w:t xml:space="preserve">повышения квалификации в Международной школе бизнеса </w:t>
      </w:r>
    </w:p>
    <w:p>
      <w:pPr>
        <w:pStyle w:val="NoSpacing"/>
        <w:ind w:firstLine="567"/>
        <w:jc w:val="center"/>
        <w:rPr>
          <w:highlight w:val="none"/>
          <w:shd w:fill="auto" w:val="clear"/>
        </w:rPr>
      </w:pPr>
      <w:r>
        <w:rPr>
          <w:rFonts w:ascii="Times New Roman" w:hAnsi="Times New Roman"/>
          <w:b/>
          <w:bCs/>
          <w:sz w:val="24"/>
          <w:szCs w:val="24"/>
          <w:shd w:fill="auto" w:val="clear"/>
        </w:rPr>
        <w:t>(Институте) Финансового университета</w:t>
      </w:r>
    </w:p>
    <w:p>
      <w:pPr>
        <w:pStyle w:val="NoSpacing"/>
        <w:ind w:firstLine="567"/>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ИКЗ: 261143506717914350100100230008542244</w:t>
      </w:r>
    </w:p>
    <w:p>
      <w:pPr>
        <w:pStyle w:val="NoSpacing"/>
        <w:ind w:firstLine="567"/>
        <w:jc w:val="both"/>
        <w:rPr>
          <w:rFonts w:ascii="Times New Roman" w:hAnsi="Times New Roman"/>
          <w:b/>
          <w:bCs/>
          <w:sz w:val="24"/>
          <w:szCs w:val="24"/>
        </w:rPr>
      </w:pPr>
      <w:r>
        <w:rPr>
          <w:rFonts w:ascii="Times New Roman" w:hAnsi="Times New Roman"/>
          <w:b/>
          <w:bCs/>
          <w:sz w:val="24"/>
          <w:szCs w:val="24"/>
        </w:rPr>
      </w:r>
    </w:p>
    <w:p>
      <w:pPr>
        <w:pStyle w:val="Normal"/>
        <w:rPr/>
      </w:pPr>
      <w:r>
        <w:rPr/>
        <w:t>г. Якутск                                                                                                   "___" _________ 2026 г.</w:t>
      </w:r>
    </w:p>
    <w:p>
      <w:pPr>
        <w:pStyle w:val="Normal"/>
        <w:ind w:firstLine="567"/>
        <w:rPr/>
      </w:pPr>
      <w:r>
        <w:rPr/>
      </w:r>
    </w:p>
    <w:p>
      <w:pPr>
        <w:pStyle w:val="Normal"/>
        <w:keepNext w:val="true"/>
        <w:numPr>
          <w:ilvl w:val="0"/>
          <w:numId w:val="0"/>
        </w:numPr>
        <w:ind w:firstLine="709" w:start="0"/>
        <w:jc w:val="both"/>
        <w:outlineLvl w:val="1"/>
        <w:rPr/>
      </w:pPr>
      <w:bookmarkStart w:id="1" w:name="OLE_LINK2"/>
      <w:r>
        <w:rPr/>
        <w:t xml:space="preserve">Федеральное казенное учреждение «Главное бюро медико-социальной экспертизы по Республике Саха (Якутия)» Министерства труда и социальной защиты Российской Федерации, именуемое в дальнейшем «Заказчик», в лице руководителя-главного эксперта по МСЭ Гоголевой Анастасии Ивановны, действующей на основании  Устава,  с одной стороны, </w:t>
      </w:r>
      <w:bookmarkEnd w:id="1"/>
      <w:r>
        <w:rPr/>
        <w:t>и 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 (Финансовый университет), имеющее лицензию на осуществление образовательной деятельности регистрационный № Л035-00115-77/00097462 от 21 декабря 2021 г. и свидетельство о государственной аккредитации регистрационный номер № 3729 серия 90А01 № 0003955 от 21 июня 2022 г., выданные Федеральной службой по надзору в сфере образования и науки,  именуемое в дальнейшем «Исполнитель», в лице директора Международной школы бизнеса (Института) Финансового университета Моисеенко Виктории Владимировны, действующей на основании Доверенности от 13 августа 2026 г. № 297-2026/48, с другой стороны, совместно именуемые «Стороны», на основании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 ____ МТННА-26/Ю (Далее – Контракт) о нижеследующем:</w:t>
      </w:r>
    </w:p>
    <w:p>
      <w:pPr>
        <w:pStyle w:val="Normal"/>
        <w:numPr>
          <w:ilvl w:val="0"/>
          <w:numId w:val="0"/>
        </w:numPr>
        <w:ind w:firstLine="709" w:start="0"/>
        <w:jc w:val="both"/>
        <w:outlineLvl w:val="1"/>
        <w:rPr/>
      </w:pPr>
      <w:r>
        <w:rPr/>
      </w:r>
    </w:p>
    <w:p>
      <w:pPr>
        <w:pStyle w:val="Normal"/>
        <w:numPr>
          <w:ilvl w:val="0"/>
          <w:numId w:val="0"/>
        </w:numPr>
        <w:ind w:firstLine="709" w:start="0"/>
        <w:jc w:val="center"/>
        <w:outlineLvl w:val="1"/>
        <w:rPr>
          <w:highlight w:val="none"/>
          <w:shd w:fill="auto" w:val="clear"/>
        </w:rPr>
      </w:pPr>
      <w:r>
        <w:rPr>
          <w:b/>
          <w:shd w:fill="auto" w:val="clear"/>
        </w:rPr>
        <w:t>1. Предмет Контракта</w:t>
      </w:r>
    </w:p>
    <w:p>
      <w:pPr>
        <w:pStyle w:val="Normal"/>
        <w:numPr>
          <w:ilvl w:val="0"/>
          <w:numId w:val="0"/>
        </w:numPr>
        <w:spacing w:before="0" w:after="0"/>
        <w:ind w:firstLine="709" w:start="0"/>
        <w:contextualSpacing/>
        <w:jc w:val="both"/>
        <w:outlineLvl w:val="1"/>
        <w:rPr/>
      </w:pPr>
      <w:r>
        <w:rPr>
          <w:shd w:fill="auto" w:val="clear"/>
          <w:lang w:eastAsia="en-US" w:bidi="en-US"/>
        </w:rPr>
        <w:t>1.1.</w:t>
      </w:r>
      <w:r>
        <w:rPr>
          <w:shd w:fill="auto" w:val="clear"/>
          <w:lang w:val="en-US" w:eastAsia="en-US" w:bidi="en-US"/>
        </w:rPr>
        <w:t> </w:t>
      </w:r>
      <w:r>
        <w:rPr>
          <w:shd w:fill="auto" w:val="clear"/>
          <w:lang w:eastAsia="en-US" w:bidi="en-US"/>
        </w:rPr>
        <w:t>Предметом Контракта является оказание платных образовательных услуг  по организации и проведению обучения 4 (четырех) работников Заказчика, именуемых в дальнейшем Слушатели, в Международной школе бизнеса (Институте) Финансового университета по программе повышения квалификации «Новые нормативные акты об особенностях исполнения бюджетов для казенных учреждений в 2026-2027»   трудоемкостью 26 академических часов на очно-заочной форме обучения с применением дистанционных образовательных технологий.</w:t>
      </w:r>
    </w:p>
    <w:p>
      <w:pPr>
        <w:pStyle w:val="Normal"/>
        <w:numPr>
          <w:ilvl w:val="0"/>
          <w:numId w:val="0"/>
        </w:numPr>
        <w:spacing w:before="0" w:after="0"/>
        <w:ind w:firstLine="709" w:start="0"/>
        <w:contextualSpacing/>
        <w:jc w:val="both"/>
        <w:outlineLvl w:val="1"/>
        <w:rPr>
          <w:highlight w:val="none"/>
          <w:shd w:fill="auto" w:val="clear"/>
        </w:rPr>
      </w:pPr>
      <w:r>
        <w:rPr>
          <w:rFonts w:eastAsia="Calibri"/>
          <w:shd w:fill="auto" w:val="clear"/>
          <w:lang w:eastAsia="en-US"/>
        </w:rPr>
        <w:t>1.2.  Период обучения в соответствии с учебным планом программы: с 01 октября 2026 г. по 02 октября 2026 г.</w:t>
      </w:r>
    </w:p>
    <w:p>
      <w:pPr>
        <w:pStyle w:val="Normal"/>
        <w:numPr>
          <w:ilvl w:val="0"/>
          <w:numId w:val="0"/>
        </w:numPr>
        <w:spacing w:before="0" w:after="0"/>
        <w:ind w:firstLine="709" w:start="0"/>
        <w:contextualSpacing/>
        <w:jc w:val="both"/>
        <w:outlineLvl w:val="1"/>
        <w:rPr>
          <w:highlight w:val="none"/>
          <w:shd w:fill="auto" w:val="clear"/>
        </w:rPr>
      </w:pPr>
      <w:r>
        <w:rPr>
          <w:rFonts w:eastAsia="Calibri"/>
          <w:shd w:fill="auto" w:val="clear"/>
          <w:lang w:eastAsia="en-US"/>
        </w:rPr>
        <w:t>1.3. Место оказания услуг: Территория исполнителя.</w:t>
      </w:r>
    </w:p>
    <w:p>
      <w:pPr>
        <w:pStyle w:val="Normal"/>
        <w:widowControl w:val="false"/>
        <w:numPr>
          <w:ilvl w:val="0"/>
          <w:numId w:val="0"/>
        </w:numPr>
        <w:ind w:firstLine="709" w:start="0"/>
        <w:jc w:val="both"/>
        <w:outlineLvl w:val="1"/>
        <w:rPr>
          <w:highlight w:val="none"/>
          <w:shd w:fill="auto" w:val="clear"/>
        </w:rPr>
      </w:pPr>
      <w:r>
        <w:rPr>
          <w:shd w:fill="auto" w:val="clear"/>
          <w:lang w:eastAsia="en-US" w:bidi="en-US"/>
        </w:rPr>
        <w:t>1.4. Срок исполнения контракта: 31 декабря 2026  г.</w:t>
      </w:r>
    </w:p>
    <w:p>
      <w:pPr>
        <w:pStyle w:val="Normal"/>
        <w:numPr>
          <w:ilvl w:val="0"/>
          <w:numId w:val="0"/>
        </w:numPr>
        <w:ind w:firstLine="709" w:start="0"/>
        <w:jc w:val="both"/>
        <w:outlineLvl w:val="1"/>
        <w:rPr>
          <w:highlight w:val="none"/>
          <w:shd w:fill="auto" w:val="clear"/>
        </w:rPr>
      </w:pPr>
      <w:r>
        <w:rPr>
          <w:shd w:fill="auto" w:val="clear"/>
        </w:rPr>
      </w:r>
    </w:p>
    <w:p>
      <w:pPr>
        <w:pStyle w:val="ListParagraph"/>
        <w:numPr>
          <w:ilvl w:val="0"/>
          <w:numId w:val="0"/>
        </w:numPr>
        <w:ind w:firstLine="709" w:start="0"/>
        <w:jc w:val="center"/>
        <w:outlineLvl w:val="1"/>
        <w:rPr>
          <w:highlight w:val="none"/>
          <w:shd w:fill="auto" w:val="clear"/>
        </w:rPr>
      </w:pPr>
      <w:r>
        <w:rPr>
          <w:b/>
          <w:sz w:val="24"/>
          <w:szCs w:val="24"/>
          <w:shd w:fill="auto" w:val="clear"/>
        </w:rPr>
        <w:t>2.Цена контракта и порядок расчетов</w:t>
      </w:r>
    </w:p>
    <w:p>
      <w:pPr>
        <w:pStyle w:val="ListParagraph"/>
        <w:numPr>
          <w:ilvl w:val="0"/>
          <w:numId w:val="0"/>
        </w:numPr>
        <w:ind w:firstLine="709" w:start="0"/>
        <w:outlineLvl w:val="1"/>
        <w:rPr>
          <w:highlight w:val="none"/>
          <w:shd w:fill="auto" w:val="clear"/>
        </w:rPr>
      </w:pPr>
      <w:r>
        <w:rPr>
          <w:sz w:val="24"/>
          <w:szCs w:val="24"/>
          <w:shd w:fill="auto" w:val="clear"/>
        </w:rPr>
        <w:t>2.1. Цена Контракта устанавливается в российских рублях.</w:t>
      </w:r>
    </w:p>
    <w:p>
      <w:pPr>
        <w:pStyle w:val="ListParagraph"/>
        <w:numPr>
          <w:ilvl w:val="0"/>
          <w:numId w:val="0"/>
        </w:numPr>
        <w:ind w:firstLine="709" w:start="0"/>
        <w:outlineLvl w:val="1"/>
        <w:rPr>
          <w:highlight w:val="none"/>
          <w:shd w:fill="auto" w:val="clear"/>
        </w:rPr>
      </w:pPr>
      <w:r>
        <w:rPr>
          <w:sz w:val="24"/>
          <w:szCs w:val="24"/>
          <w:shd w:fill="auto" w:val="clear"/>
        </w:rPr>
        <w:t>2.2. Источник финансирования – федеральный бюджет.</w:t>
      </w:r>
    </w:p>
    <w:p>
      <w:pPr>
        <w:pStyle w:val="Normal"/>
        <w:widowControl w:val="false"/>
        <w:numPr>
          <w:ilvl w:val="0"/>
          <w:numId w:val="0"/>
        </w:numPr>
        <w:ind w:firstLine="709" w:start="0"/>
        <w:jc w:val="both"/>
        <w:outlineLvl w:val="1"/>
        <w:rPr>
          <w:highlight w:val="none"/>
          <w:shd w:fill="auto" w:val="clear"/>
        </w:rPr>
      </w:pPr>
      <w:r>
        <w:rPr>
          <w:shd w:fill="auto" w:val="clear"/>
        </w:rPr>
        <w:t xml:space="preserve">2.3. </w:t>
      </w:r>
      <w:r>
        <w:rPr>
          <w:sz w:val="24"/>
          <w:szCs w:val="24"/>
          <w:shd w:fill="auto" w:val="clear"/>
        </w:rPr>
        <w:t>Цена услуги за 1 (одного) слушателя за весь период обучения составляет 45 000 (Сорок пять тысяч) рублей 00 копеек.</w:t>
      </w:r>
    </w:p>
    <w:p>
      <w:pPr>
        <w:pStyle w:val="Normal"/>
        <w:widowControl w:val="false"/>
        <w:numPr>
          <w:ilvl w:val="0"/>
          <w:numId w:val="0"/>
        </w:numPr>
        <w:ind w:firstLine="709" w:start="0"/>
        <w:jc w:val="both"/>
        <w:outlineLvl w:val="1"/>
        <w:rPr>
          <w:highlight w:val="none"/>
          <w:shd w:fill="auto" w:val="clear"/>
        </w:rPr>
      </w:pPr>
      <w:r>
        <w:rPr>
          <w:sz w:val="24"/>
          <w:szCs w:val="24"/>
          <w:shd w:fill="auto" w:val="clear"/>
        </w:rPr>
        <w:t>Цена Контракта составляет 180 000 (Сто восемьдесят тысяч) рублей 00 копеек. НДС не облагается на основании подпункта 14 пункта 2 статьи 149 Налогового кодекса Российской Федерации.</w:t>
      </w:r>
    </w:p>
    <w:p>
      <w:pPr>
        <w:pStyle w:val="ListParagraph"/>
        <w:numPr>
          <w:ilvl w:val="0"/>
          <w:numId w:val="0"/>
        </w:numPr>
        <w:ind w:firstLine="709" w:start="0"/>
        <w:outlineLvl w:val="1"/>
        <w:rPr>
          <w:sz w:val="24"/>
          <w:szCs w:val="24"/>
        </w:rPr>
      </w:pPr>
      <w:r>
        <w:rPr>
          <w:sz w:val="24"/>
          <w:szCs w:val="24"/>
          <w:shd w:fill="auto" w:val="clear"/>
        </w:rPr>
        <w:t>2.4. Цена Контракт</w:t>
      </w:r>
      <w:r>
        <w:rPr>
          <w:sz w:val="24"/>
          <w:szCs w:val="24"/>
        </w:rPr>
        <w:t>а является твердой и не подлежит изменению в течение срока действия Контракта, за исключением случаев, предусмотренных Федеральным законом от 5 апреля 2013 г. № 44-ФЗ:</w:t>
      </w:r>
    </w:p>
    <w:p>
      <w:pPr>
        <w:pStyle w:val="ListParagraph"/>
        <w:numPr>
          <w:ilvl w:val="0"/>
          <w:numId w:val="0"/>
        </w:numPr>
        <w:ind w:firstLine="709" w:start="0"/>
        <w:outlineLvl w:val="1"/>
        <w:rPr>
          <w:sz w:val="24"/>
          <w:szCs w:val="24"/>
        </w:rPr>
      </w:pPr>
      <w:r>
        <w:rPr>
          <w:sz w:val="24"/>
          <w:szCs w:val="24"/>
        </w:rPr>
        <w:t xml:space="preserve">- в случае снижения цены Контракта без изменения предусмотренных Контрактом объема, качества оказываемых услуг и иных условий Контракта; </w:t>
      </w:r>
    </w:p>
    <w:p>
      <w:pPr>
        <w:pStyle w:val="ListParagraph"/>
        <w:numPr>
          <w:ilvl w:val="0"/>
          <w:numId w:val="0"/>
        </w:numPr>
        <w:ind w:firstLine="709" w:start="0"/>
        <w:outlineLvl w:val="1"/>
        <w:rPr>
          <w:sz w:val="24"/>
          <w:szCs w:val="24"/>
        </w:rPr>
      </w:pPr>
      <w:r>
        <w:rPr>
          <w:sz w:val="24"/>
          <w:szCs w:val="24"/>
        </w:rPr>
        <w:t>-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 услуг, предусмотренный Контрактом.</w:t>
      </w:r>
    </w:p>
    <w:p>
      <w:pPr>
        <w:pStyle w:val="ListParagraph"/>
        <w:numPr>
          <w:ilvl w:val="0"/>
          <w:numId w:val="0"/>
        </w:numPr>
        <w:ind w:firstLine="709" w:start="0"/>
        <w:outlineLvl w:val="1"/>
        <w:rPr>
          <w:sz w:val="24"/>
          <w:szCs w:val="24"/>
        </w:rPr>
      </w:pPr>
      <w:r>
        <w:rPr>
          <w:sz w:val="24"/>
          <w:szCs w:val="24"/>
        </w:rPr>
        <w:t>2.5. В цену Контракта входят все расходы, связанные с выполнением Исполнителем обязательств по Контракту, включая расходы на уплату налогов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pPr>
        <w:pStyle w:val="ListParagraph"/>
        <w:numPr>
          <w:ilvl w:val="0"/>
          <w:numId w:val="0"/>
        </w:numPr>
        <w:ind w:firstLine="709" w:start="0"/>
        <w:outlineLvl w:val="1"/>
        <w:rPr>
          <w:sz w:val="24"/>
          <w:szCs w:val="24"/>
        </w:rPr>
      </w:pPr>
      <w:r>
        <w:rPr>
          <w:sz w:val="24"/>
          <w:szCs w:val="24"/>
        </w:rPr>
        <w:t>2.6.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ListParagraph"/>
        <w:numPr>
          <w:ilvl w:val="0"/>
          <w:numId w:val="0"/>
        </w:numPr>
        <w:tabs>
          <w:tab w:val="clear" w:pos="709"/>
          <w:tab w:val="left" w:pos="1134" w:leader="none"/>
          <w:tab w:val="left" w:pos="1276" w:leader="none"/>
        </w:tabs>
        <w:ind w:firstLine="709" w:start="0"/>
        <w:outlineLvl w:val="1"/>
        <w:rPr>
          <w:sz w:val="24"/>
          <w:szCs w:val="24"/>
        </w:rPr>
      </w:pPr>
      <w:r>
        <w:rPr>
          <w:sz w:val="24"/>
          <w:szCs w:val="24"/>
        </w:rPr>
        <w:t>2.7. Оплата производится в форме безналичных расчетов по КБК 14910020440290059244.</w:t>
      </w:r>
    </w:p>
    <w:p>
      <w:pPr>
        <w:pStyle w:val="ListParagraph"/>
        <w:numPr>
          <w:ilvl w:val="0"/>
          <w:numId w:val="0"/>
        </w:numPr>
        <w:ind w:firstLine="709" w:start="0"/>
        <w:outlineLvl w:val="1"/>
        <w:rPr>
          <w:highlight w:val="none"/>
          <w:shd w:fill="auto" w:val="clear"/>
        </w:rPr>
      </w:pPr>
      <w:r>
        <w:rPr>
          <w:sz w:val="24"/>
          <w:szCs w:val="24"/>
          <w:shd w:fill="auto" w:val="clear"/>
        </w:rPr>
        <w:t>2.8. Заказчик производит оплату образовательных услуг по настоящему Контракту на основании счета, выставленного Исполнителем, в размере 100% от цены настоящего Контракта.</w:t>
      </w:r>
    </w:p>
    <w:p>
      <w:pPr>
        <w:pStyle w:val="ListParagraph"/>
        <w:numPr>
          <w:ilvl w:val="0"/>
          <w:numId w:val="0"/>
        </w:numPr>
        <w:ind w:firstLine="709" w:start="0"/>
        <w:outlineLvl w:val="1"/>
        <w:rPr>
          <w:sz w:val="24"/>
          <w:szCs w:val="24"/>
        </w:rPr>
      </w:pPr>
      <w:r>
        <w:rPr>
          <w:sz w:val="24"/>
          <w:szCs w:val="24"/>
        </w:rPr>
        <w:t>2.9. Датой оплаты оказанных Услуг считается дата списания денежных средств со счета Заказчика.</w:t>
      </w:r>
    </w:p>
    <w:p>
      <w:pPr>
        <w:pStyle w:val="ListParagraph"/>
        <w:numPr>
          <w:ilvl w:val="0"/>
          <w:numId w:val="0"/>
        </w:numPr>
        <w:ind w:firstLine="709" w:start="0"/>
        <w:outlineLvl w:val="1"/>
        <w:rPr>
          <w:sz w:val="24"/>
          <w:szCs w:val="24"/>
        </w:rPr>
      </w:pPr>
      <w:r>
        <w:rPr>
          <w:sz w:val="24"/>
          <w:szCs w:val="24"/>
        </w:rPr>
        <w:t>2.10. В случае изменения расчетного счета Исполнитель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pPr>
        <w:pStyle w:val="Style24"/>
        <w:numPr>
          <w:ilvl w:val="0"/>
          <w:numId w:val="0"/>
        </w:numPr>
        <w:spacing w:lineRule="auto" w:line="240" w:before="0" w:after="0"/>
        <w:ind w:firstLine="709" w:start="0" w:end="0"/>
        <w:contextualSpacing/>
        <w:jc w:val="both"/>
        <w:outlineLvl w:val="1"/>
        <w:rPr>
          <w:rFonts w:ascii="Times New Roman" w:hAnsi="Times New Roman"/>
          <w:sz w:val="24"/>
          <w:szCs w:val="24"/>
        </w:rPr>
      </w:pPr>
      <w:r>
        <w:rPr>
          <w:rFonts w:ascii="Times New Roman" w:hAnsi="Times New Roman"/>
          <w:sz w:val="24"/>
          <w:szCs w:val="24"/>
        </w:rPr>
        <w:t>2.11. Заказчик не оплачивает расходы, непредусмотренные данным Контрактом.</w:t>
      </w:r>
    </w:p>
    <w:p>
      <w:pPr>
        <w:pStyle w:val="Style24"/>
        <w:numPr>
          <w:ilvl w:val="0"/>
          <w:numId w:val="0"/>
        </w:numPr>
        <w:spacing w:lineRule="auto" w:line="240" w:before="0" w:after="0"/>
        <w:ind w:firstLine="709" w:start="0" w:end="0"/>
        <w:contextualSpacing/>
        <w:jc w:val="both"/>
        <w:outlineLvl w:val="1"/>
        <w:rPr>
          <w:rFonts w:ascii="Times New Roman" w:hAnsi="Times New Roman"/>
          <w:sz w:val="24"/>
          <w:szCs w:val="24"/>
        </w:rPr>
      </w:pPr>
      <w:r>
        <w:rPr>
          <w:rFonts w:ascii="Times New Roman" w:hAnsi="Times New Roman"/>
          <w:sz w:val="24"/>
          <w:szCs w:val="24"/>
        </w:rPr>
        <w:t>2.12. В случае начисления Заказчиком неустойки (штрафов, пеней) Исполнителю за неисполнение или ненадлежащее исполнение условий Контракта, Заказчик вправе произвести оплату по Контракту с удержанием суммы начисленных и неисполненных Исполнителем требований об уплате неустоек (штрафов, пеней).</w:t>
      </w:r>
    </w:p>
    <w:p>
      <w:pPr>
        <w:pStyle w:val="Normal"/>
        <w:numPr>
          <w:ilvl w:val="0"/>
          <w:numId w:val="0"/>
        </w:numPr>
        <w:spacing w:before="0" w:after="0"/>
        <w:ind w:firstLine="709" w:start="0"/>
        <w:contextualSpacing/>
        <w:jc w:val="both"/>
        <w:outlineLvl w:val="1"/>
        <w:rPr>
          <w:sz w:val="20"/>
          <w:szCs w:val="20"/>
          <w:lang w:bidi="en-US"/>
        </w:rPr>
      </w:pPr>
      <w:r>
        <w:rPr>
          <w:sz w:val="20"/>
          <w:szCs w:val="20"/>
          <w:lang w:bidi="en-US"/>
        </w:rPr>
      </w:r>
    </w:p>
    <w:p>
      <w:pPr>
        <w:pStyle w:val="Normal"/>
        <w:numPr>
          <w:ilvl w:val="0"/>
          <w:numId w:val="0"/>
        </w:numPr>
        <w:ind w:firstLine="709" w:start="0"/>
        <w:jc w:val="center"/>
        <w:outlineLvl w:val="1"/>
        <w:rPr>
          <w:b/>
          <w:lang w:eastAsia="en-US" w:bidi="en-US"/>
        </w:rPr>
      </w:pPr>
      <w:r>
        <w:rPr>
          <w:b/>
          <w:lang w:eastAsia="en-US" w:bidi="en-US"/>
        </w:rPr>
        <w:t>3. Права и обязанности Сторон</w:t>
      </w:r>
      <w:bookmarkStart w:id="2" w:name="_Toc168910109"/>
      <w:bookmarkStart w:id="3" w:name="_Toc184532778"/>
      <w:bookmarkStart w:id="4" w:name="_Toc167614387"/>
      <w:bookmarkStart w:id="5" w:name="_Toc168470829"/>
      <w:bookmarkStart w:id="6" w:name="_Toc201395957"/>
      <w:bookmarkStart w:id="7" w:name="_Toc203558911"/>
      <w:bookmarkStart w:id="8" w:name="_Toc223871918"/>
      <w:bookmarkStart w:id="9" w:name="_Toc225073288"/>
      <w:bookmarkStart w:id="10" w:name="_Toc159150207"/>
      <w:bookmarkStart w:id="11" w:name="_Toc168980771"/>
      <w:bookmarkStart w:id="12" w:name="_Toc181676903"/>
      <w:bookmarkStart w:id="13" w:name="_Toc184532791"/>
      <w:bookmarkStart w:id="14" w:name="_Toc189043329"/>
      <w:bookmarkStart w:id="15" w:name="_Toc196292563"/>
      <w:bookmarkStart w:id="16" w:name="_Toc199144026"/>
      <w:bookmarkStart w:id="17" w:name="_Toc225076621"/>
      <w:bookmarkStart w:id="18" w:name="_Toc165278863"/>
      <w:bookmarkStart w:id="19" w:name="_Toc161572569"/>
      <w:bookmarkStart w:id="20" w:name="_Toc168910096"/>
      <w:bookmarkStart w:id="21" w:name="_Toc159150195"/>
      <w:bookmarkStart w:id="22" w:name="_Toc161572557"/>
      <w:bookmarkStart w:id="23" w:name="_Toc167614375"/>
      <w:bookmarkStart w:id="24" w:name="_Toc168470816"/>
      <w:bookmarkStart w:id="25" w:name="_Toc201395946"/>
      <w:bookmarkStart w:id="26" w:name="_Toc203558900"/>
      <w:bookmarkStart w:id="27" w:name="_Toc223871907"/>
      <w:bookmarkStart w:id="28" w:name="_Toc165278851"/>
      <w:bookmarkStart w:id="29" w:name="_Toc168980758"/>
      <w:bookmarkStart w:id="30" w:name="_Toc181676890"/>
      <w:bookmarkStart w:id="31" w:name="_Toc182129598"/>
      <w:bookmarkStart w:id="32" w:name="_Toc189043316"/>
      <w:bookmarkStart w:id="33" w:name="_Toc196292550"/>
      <w:bookmarkStart w:id="34" w:name="_Toc225076610"/>
      <w:bookmarkStart w:id="35" w:name="_Toc199144014"/>
      <w:bookmarkStart w:id="36" w:name="_Toc182129611"/>
      <w:bookmarkStart w:id="37" w:name="_Toc225073277"/>
    </w:p>
    <w:p>
      <w:pPr>
        <w:pStyle w:val="Normal"/>
        <w:numPr>
          <w:ilvl w:val="0"/>
          <w:numId w:val="0"/>
        </w:numPr>
        <w:ind w:firstLine="709" w:start="0"/>
        <w:jc w:val="both"/>
        <w:outlineLvl w:val="1"/>
        <w:rPr/>
      </w:pP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t>3.1. Исполнитель обязуется:</w:t>
      </w:r>
    </w:p>
    <w:p>
      <w:pPr>
        <w:pStyle w:val="Normal"/>
        <w:numPr>
          <w:ilvl w:val="0"/>
          <w:numId w:val="0"/>
        </w:numPr>
        <w:ind w:firstLine="709" w:start="0"/>
        <w:jc w:val="both"/>
        <w:outlineLvl w:val="1"/>
        <w:rPr/>
      </w:pPr>
      <w:r>
        <w:rPr/>
        <w:t>3.1.1. Зачислить Слушателей в Финансовый университет после подписания Сторонами настоящего Контракта, представления документов, указанных в п. 3.3., п. 3.4., и осуществления оплаты согласно п. 2.8.</w:t>
      </w:r>
    </w:p>
    <w:p>
      <w:pPr>
        <w:pStyle w:val="Normal"/>
        <w:numPr>
          <w:ilvl w:val="0"/>
          <w:numId w:val="0"/>
        </w:numPr>
        <w:ind w:firstLine="709" w:start="0"/>
        <w:jc w:val="both"/>
        <w:outlineLvl w:val="1"/>
        <w:rPr/>
      </w:pPr>
      <w:r>
        <w:rPr/>
        <w:t>3.1.2. Организовать и надлежащим образом обеспечить обучение Слушателей в соответствии с утвержденной Исполнителем программой, указанной в п. 1.1. настоящего Контракта.</w:t>
      </w:r>
    </w:p>
    <w:p>
      <w:pPr>
        <w:pStyle w:val="Normal"/>
        <w:numPr>
          <w:ilvl w:val="0"/>
          <w:numId w:val="0"/>
        </w:numPr>
        <w:ind w:firstLine="709" w:start="0"/>
        <w:jc w:val="both"/>
        <w:outlineLvl w:val="1"/>
        <w:rPr/>
      </w:pPr>
      <w:r>
        <w:rPr/>
        <w:t>3.1.3. Выдать Слушателю по окончании обучения при условии успешного освоения программы, указанной в п.1.1. настоящего Контракта, и прохождения итоговой аттестации документ установленного образца Финансового университета – удостоверение о повышении квалификации.</w:t>
      </w:r>
    </w:p>
    <w:p>
      <w:pPr>
        <w:pStyle w:val="Normal"/>
        <w:numPr>
          <w:ilvl w:val="0"/>
          <w:numId w:val="0"/>
        </w:numPr>
        <w:ind w:firstLine="709" w:start="0"/>
        <w:jc w:val="both"/>
        <w:outlineLvl w:val="1"/>
        <w:rPr/>
      </w:pPr>
      <w:r>
        <w:rPr/>
        <w:t>3.2. Исполнитель имеет право выбирать методы и средства обучения Слушателей, обеспечивающие высокое качество образовательного процесса.</w:t>
      </w:r>
    </w:p>
    <w:p>
      <w:pPr>
        <w:pStyle w:val="Normal"/>
        <w:numPr>
          <w:ilvl w:val="0"/>
          <w:numId w:val="0"/>
        </w:numPr>
        <w:ind w:firstLine="709" w:start="0"/>
        <w:jc w:val="both"/>
        <w:outlineLvl w:val="1"/>
        <w:rPr/>
      </w:pPr>
      <w:r>
        <w:rPr/>
        <w:t>3.3. Заказчик обязуется:</w:t>
      </w:r>
    </w:p>
    <w:p>
      <w:pPr>
        <w:pStyle w:val="Normal"/>
        <w:numPr>
          <w:ilvl w:val="0"/>
          <w:numId w:val="0"/>
        </w:numPr>
        <w:ind w:firstLine="709" w:start="0"/>
        <w:jc w:val="both"/>
        <w:outlineLvl w:val="1"/>
        <w:rPr/>
      </w:pPr>
      <w:r>
        <w:rPr/>
        <w:t>3.3.1. Направить на обучение Слушателей в соответствии с приложением к настоящему Контракту.</w:t>
      </w:r>
    </w:p>
    <w:p>
      <w:pPr>
        <w:pStyle w:val="Normal"/>
        <w:numPr>
          <w:ilvl w:val="0"/>
          <w:numId w:val="0"/>
        </w:numPr>
        <w:ind w:firstLine="709" w:start="0"/>
        <w:jc w:val="both"/>
        <w:outlineLvl w:val="1"/>
        <w:rPr/>
      </w:pPr>
      <w:r>
        <w:rPr/>
        <w:t>3.3.2. Своевременно осуществить оплату обучения Слушателей в соответствии с п. 2.8. настоящего Контракта и представить Исполнителю копию платежного документа по электронной почте, указ</w:t>
      </w:r>
      <w:r>
        <w:rPr>
          <w:color w:val="auto"/>
          <w:shd w:fill="auto" w:val="clear"/>
        </w:rPr>
        <w:t>анной в разделе 10 Исполнителя, в течение 2-х календарных дней с даты оплаты.</w:t>
      </w:r>
    </w:p>
    <w:p>
      <w:pPr>
        <w:pStyle w:val="Normal"/>
        <w:numPr>
          <w:ilvl w:val="0"/>
          <w:numId w:val="0"/>
        </w:numPr>
        <w:ind w:firstLine="709" w:start="0"/>
        <w:jc w:val="both"/>
        <w:outlineLvl w:val="1"/>
        <w:rPr/>
      </w:pPr>
      <w:r>
        <w:rPr/>
        <w:t>3.3.3. Обеспечить Слушателям условия для регулярного посещения занятий согласно расписанию занятий, выполнения в установленные сроки всех видов заданий, своевременной сдачи зачетов и экзаменов, предусмотренных программой, указанной в п. 1.1. настоящего Контракта.</w:t>
      </w:r>
    </w:p>
    <w:p>
      <w:pPr>
        <w:pStyle w:val="Normal"/>
        <w:numPr>
          <w:ilvl w:val="0"/>
          <w:numId w:val="0"/>
        </w:numPr>
        <w:ind w:firstLine="709" w:start="0"/>
        <w:jc w:val="both"/>
        <w:outlineLvl w:val="1"/>
        <w:rPr/>
      </w:pPr>
      <w:r>
        <w:rPr/>
        <w:t>3.4. Заказчик подтверждает, что с учебным планом программы, указанной в п.1.1. настоящего Контракта и Правилами внутреннего распорядка обучающихся, ознакомлен.</w:t>
      </w:r>
    </w:p>
    <w:p>
      <w:pPr>
        <w:pStyle w:val="Normal"/>
        <w:numPr>
          <w:ilvl w:val="0"/>
          <w:numId w:val="0"/>
        </w:numPr>
        <w:ind w:firstLine="709" w:start="0"/>
        <w:jc w:val="both"/>
        <w:outlineLvl w:val="1"/>
        <w:rPr/>
      </w:pPr>
      <w:r>
        <w:rPr/>
        <w:t>3.5. Слушатели обязуются:</w:t>
      </w:r>
    </w:p>
    <w:p>
      <w:pPr>
        <w:pStyle w:val="Normal"/>
        <w:numPr>
          <w:ilvl w:val="0"/>
          <w:numId w:val="0"/>
        </w:numPr>
        <w:ind w:firstLine="709" w:start="0"/>
        <w:jc w:val="both"/>
        <w:outlineLvl w:val="1"/>
        <w:rPr/>
      </w:pPr>
      <w:r>
        <w:rPr/>
        <w:t>3.5.1. Самостоятельно пройти регистрацию и подать заявление на обучение по программе повышения квалификации «Новые нормативные акты об особенностях исполнения бюджетов для казенных учреждений в 2026-2027» на специализированном портале Финансового университета по адресу: anketa.fa.ru</w:t>
      </w:r>
    </w:p>
    <w:p>
      <w:pPr>
        <w:pStyle w:val="Normal"/>
        <w:numPr>
          <w:ilvl w:val="0"/>
          <w:numId w:val="0"/>
        </w:numPr>
        <w:ind w:firstLine="709" w:start="0"/>
        <w:jc w:val="both"/>
        <w:outlineLvl w:val="1"/>
        <w:rPr/>
      </w:pPr>
      <w:r>
        <w:rPr/>
        <w:t>В случае технической невозможности прохождения электронной регистрации, Слушатель обязан предоставить в приемную комиссию Международной школы бизнеса Финансового университета при Правительстве РФ на электронный адрес isbpriem@fa.ru скан-копии следующих документов не позднее чем за 5 (пять) рабочих дней до даты начала обучения по программе:</w:t>
      </w:r>
    </w:p>
    <w:p>
      <w:pPr>
        <w:pStyle w:val="Normal"/>
        <w:numPr>
          <w:ilvl w:val="0"/>
          <w:numId w:val="0"/>
        </w:numPr>
        <w:ind w:firstLine="709" w:start="0"/>
        <w:jc w:val="both"/>
        <w:outlineLvl w:val="1"/>
        <w:rPr/>
      </w:pPr>
      <w:r>
        <w:rPr/>
        <w:t>- Паспорт гражданина РФ или иного документа, удостоверяющего личность (разворот с личными данными и разворот с отметкой о регистрации);</w:t>
      </w:r>
    </w:p>
    <w:p>
      <w:pPr>
        <w:pStyle w:val="Normal"/>
        <w:numPr>
          <w:ilvl w:val="0"/>
          <w:numId w:val="0"/>
        </w:numPr>
        <w:ind w:firstLine="709" w:start="0"/>
        <w:jc w:val="both"/>
        <w:outlineLvl w:val="1"/>
        <w:rPr/>
      </w:pPr>
      <w:r>
        <w:rPr/>
        <w:t>- Диплом о высшем или среднем профессиональном образовании;</w:t>
      </w:r>
    </w:p>
    <w:p>
      <w:pPr>
        <w:pStyle w:val="Normal"/>
        <w:numPr>
          <w:ilvl w:val="0"/>
          <w:numId w:val="0"/>
        </w:numPr>
        <w:ind w:firstLine="709" w:start="0"/>
        <w:jc w:val="both"/>
        <w:outlineLvl w:val="1"/>
        <w:rPr/>
      </w:pPr>
      <w:r>
        <w:rPr/>
        <w:t>- Страховой номер индивидуального лицевого счета (СНИЛС);</w:t>
      </w:r>
    </w:p>
    <w:p>
      <w:pPr>
        <w:pStyle w:val="Normal"/>
        <w:numPr>
          <w:ilvl w:val="0"/>
          <w:numId w:val="0"/>
        </w:numPr>
        <w:ind w:firstLine="709" w:start="0"/>
        <w:jc w:val="both"/>
        <w:outlineLvl w:val="1"/>
        <w:rPr/>
      </w:pPr>
      <w:r>
        <w:rPr/>
        <w:t>- Документ, подтверждающий смену фамилии, имени или отчества (предоставляется в случае несовпадения персональных данных в паспорте и дипломе);</w:t>
      </w:r>
    </w:p>
    <w:p>
      <w:pPr>
        <w:pStyle w:val="Normal"/>
        <w:numPr>
          <w:ilvl w:val="0"/>
          <w:numId w:val="0"/>
        </w:numPr>
        <w:ind w:firstLine="709" w:start="0"/>
        <w:jc w:val="both"/>
        <w:outlineLvl w:val="1"/>
        <w:rPr/>
      </w:pPr>
      <w:r>
        <w:rPr/>
        <w:t>- Заявление на поступление, подписанное Слушателем собственноручно;</w:t>
      </w:r>
    </w:p>
    <w:p>
      <w:pPr>
        <w:pStyle w:val="Normal"/>
        <w:numPr>
          <w:ilvl w:val="0"/>
          <w:numId w:val="0"/>
        </w:numPr>
        <w:ind w:firstLine="709" w:start="0"/>
        <w:jc w:val="both"/>
        <w:outlineLvl w:val="1"/>
        <w:rPr/>
      </w:pPr>
      <w:r>
        <w:rPr/>
        <w:t>- Согласие субъекта персональных данных на обработку его персональных данных, подписанное Слушателем собственноручно;</w:t>
      </w:r>
    </w:p>
    <w:p>
      <w:pPr>
        <w:pStyle w:val="Normal"/>
        <w:numPr>
          <w:ilvl w:val="0"/>
          <w:numId w:val="0"/>
        </w:numPr>
        <w:ind w:firstLine="709" w:start="0"/>
        <w:jc w:val="both"/>
        <w:outlineLvl w:val="1"/>
        <w:rPr/>
      </w:pPr>
      <w:r>
        <w:rPr/>
        <w:t>- другие документы (при необходимости).</w:t>
      </w:r>
    </w:p>
    <w:p>
      <w:pPr>
        <w:pStyle w:val="Normal"/>
        <w:numPr>
          <w:ilvl w:val="0"/>
          <w:numId w:val="0"/>
        </w:numPr>
        <w:ind w:firstLine="709" w:start="0"/>
        <w:jc w:val="both"/>
        <w:outlineLvl w:val="1"/>
        <w:rPr/>
      </w:pPr>
      <w:r>
        <w:rPr/>
        <w:t>Все направляемые скан-копии документов должны быть предоставлены в формате .jpeg, иметь надлежащее качество, обеспечивающее полное и четкое чтение всех текстовых данных, штампов, печатей и подписей.</w:t>
      </w:r>
    </w:p>
    <w:p>
      <w:pPr>
        <w:pStyle w:val="Normal"/>
        <w:numPr>
          <w:ilvl w:val="0"/>
          <w:numId w:val="0"/>
        </w:numPr>
        <w:ind w:firstLine="709" w:start="0"/>
        <w:jc w:val="both"/>
        <w:outlineLvl w:val="1"/>
        <w:rPr/>
      </w:pPr>
      <w:r>
        <w:rPr/>
        <w:t>Слушатель несет персональную ответственность за достоверность, полноту и актуальность предоставленных сведений и документов. В случае предоставления Слушателем недостоверных, нечитаемых или неполных данных, а также при нарушении установленного срока предоставления документов, Университет оставляет за собой право отказать в з</w:t>
      </w:r>
      <w:r>
        <w:rPr>
          <w:shd w:fill="auto" w:val="clear"/>
        </w:rPr>
        <w:t>ачислении на программу повышения квалификации или приостановить допуск Слушателя к обучению.</w:t>
      </w:r>
    </w:p>
    <w:p>
      <w:pPr>
        <w:pStyle w:val="Normal"/>
        <w:numPr>
          <w:ilvl w:val="0"/>
          <w:numId w:val="0"/>
        </w:numPr>
        <w:ind w:firstLine="709" w:start="0"/>
        <w:jc w:val="both"/>
        <w:outlineLvl w:val="1"/>
        <w:rPr>
          <w:highlight w:val="none"/>
          <w:shd w:fill="auto" w:val="clear"/>
        </w:rPr>
      </w:pPr>
      <w:r>
        <w:rPr>
          <w:shd w:fill="auto" w:val="clear"/>
        </w:rPr>
        <w:t>3.5.2. Регулярно посещать занятия согласно расписанию занятий, выполнять в установленные сроки все виды заданий, своевременно сдавать зачеты и экзамены, предусмотренные программой, указанной в п. 1.1. настоящего Контракта.</w:t>
      </w:r>
    </w:p>
    <w:p>
      <w:pPr>
        <w:pStyle w:val="Normal"/>
        <w:numPr>
          <w:ilvl w:val="0"/>
          <w:numId w:val="0"/>
        </w:numPr>
        <w:ind w:firstLine="709" w:start="0"/>
        <w:jc w:val="both"/>
        <w:outlineLvl w:val="1"/>
        <w:rPr/>
      </w:pPr>
      <w:r>
        <w:rPr>
          <w:shd w:fill="auto" w:val="clear"/>
        </w:rPr>
        <w:t>3.6. Заказчик имеет пр</w:t>
      </w:r>
      <w:r>
        <w:rPr/>
        <w:t>аво требовать от Исполнителя представления информации по вопросам организации и обеспечения надлежащего качества оказания образовательных услуг, успеваемости и отношения Слушателей к учебе.</w:t>
      </w:r>
    </w:p>
    <w:p>
      <w:pPr>
        <w:pStyle w:val="Normal"/>
        <w:numPr>
          <w:ilvl w:val="0"/>
          <w:numId w:val="0"/>
        </w:numPr>
        <w:ind w:firstLine="709" w:start="0"/>
        <w:jc w:val="both"/>
        <w:outlineLvl w:val="1"/>
        <w:rPr>
          <w:highlight w:val="none"/>
          <w:shd w:fill="auto" w:val="clear"/>
        </w:rPr>
      </w:pPr>
      <w:r>
        <w:rPr>
          <w:shd w:fill="auto" w:val="clear"/>
        </w:rPr>
        <w:t>3.7. Права и обязанности Исполнителя, Заказчика и Слушателей определяются законодательством Российской Федерации, уставом, локальными нормативными актами Исполнителя.</w:t>
      </w:r>
    </w:p>
    <w:p>
      <w:pPr>
        <w:pStyle w:val="Normal"/>
        <w:numPr>
          <w:ilvl w:val="0"/>
          <w:numId w:val="0"/>
        </w:numPr>
        <w:ind w:firstLine="709" w:start="0"/>
        <w:jc w:val="both"/>
        <w:outlineLvl w:val="1"/>
        <w:rPr>
          <w:highlight w:val="none"/>
          <w:shd w:fill="auto" w:val="clear"/>
        </w:rPr>
      </w:pPr>
      <w:r>
        <w:rPr>
          <w:shd w:fill="auto" w:val="clear"/>
        </w:rPr>
      </w:r>
    </w:p>
    <w:p>
      <w:pPr>
        <w:pStyle w:val="Normal"/>
        <w:numPr>
          <w:ilvl w:val="0"/>
          <w:numId w:val="0"/>
        </w:numPr>
        <w:ind w:hanging="0" w:start="0"/>
        <w:jc w:val="center"/>
        <w:outlineLvl w:val="1"/>
        <w:rPr>
          <w:b/>
          <w:bCs/>
          <w:highlight w:val="none"/>
          <w:shd w:fill="auto" w:val="clear"/>
        </w:rPr>
      </w:pPr>
      <w:r>
        <w:rPr>
          <w:b/>
          <w:bCs/>
          <w:shd w:fill="auto" w:val="clear"/>
        </w:rPr>
        <w:t>4. Порядок сдачи — приемки услуг по обучению</w:t>
      </w:r>
    </w:p>
    <w:p>
      <w:pPr>
        <w:pStyle w:val="Normal"/>
        <w:numPr>
          <w:ilvl w:val="0"/>
          <w:numId w:val="0"/>
        </w:numPr>
        <w:ind w:firstLine="709" w:start="0"/>
        <w:jc w:val="both"/>
        <w:outlineLvl w:val="1"/>
        <w:rPr>
          <w:highlight w:val="none"/>
          <w:shd w:fill="auto" w:val="clear"/>
        </w:rPr>
      </w:pPr>
      <w:r>
        <w:rPr>
          <w:shd w:fill="auto" w:val="clear"/>
        </w:rPr>
        <w:t>4.1. Исполнитель оформляет Акт сдачи-приемки образовательных услуг в 2 (двух) экземплярах по завершении обучения Слушателей (Приложение № 3 к Контракту).</w:t>
      </w:r>
    </w:p>
    <w:p>
      <w:pPr>
        <w:pStyle w:val="Normal"/>
        <w:numPr>
          <w:ilvl w:val="0"/>
          <w:numId w:val="0"/>
        </w:numPr>
        <w:ind w:firstLine="709" w:start="0"/>
        <w:jc w:val="both"/>
        <w:outlineLvl w:val="1"/>
        <w:rPr>
          <w:highlight w:val="none"/>
          <w:shd w:fill="auto" w:val="clear"/>
        </w:rPr>
      </w:pPr>
      <w:r>
        <w:rPr>
          <w:shd w:fill="auto" w:val="clear"/>
        </w:rPr>
        <w:t xml:space="preserve">4.2. Услуга считается оказанной с момента подписания Акта сдачи-приемки образовательных услуг. </w:t>
      </w:r>
    </w:p>
    <w:p>
      <w:pPr>
        <w:pStyle w:val="Normal"/>
        <w:numPr>
          <w:ilvl w:val="0"/>
          <w:numId w:val="0"/>
        </w:numPr>
        <w:ind w:firstLine="709" w:start="0"/>
        <w:jc w:val="both"/>
        <w:outlineLvl w:val="1"/>
        <w:rPr>
          <w:highlight w:val="none"/>
          <w:shd w:fill="auto" w:val="clear"/>
        </w:rPr>
      </w:pPr>
      <w:r>
        <w:rPr>
          <w:shd w:fill="auto" w:val="clear"/>
        </w:rPr>
        <w:t>4.3. Исполнитель передает 2 (два) экземпляра подписанного Акта сдачи-приемки образовательных услуг уполномоченному представителю Заказчика или направляет их по почте с уведомлением о вручении. Факт получения уполномоченным представителем Заказчика 2-х экземпляров Актов сдачи-приемки образовательных услуг удостоверяется его подписью на копии Акта сдачи-приемки образовательных услуг с указанием фамилии, имени, отчества и даты получения или реестром почтовых отправлений.</w:t>
      </w:r>
    </w:p>
    <w:p>
      <w:pPr>
        <w:pStyle w:val="Normal"/>
        <w:numPr>
          <w:ilvl w:val="0"/>
          <w:numId w:val="0"/>
        </w:numPr>
        <w:ind w:firstLine="709" w:start="0"/>
        <w:jc w:val="both"/>
        <w:outlineLvl w:val="1"/>
        <w:rPr>
          <w:highlight w:val="none"/>
          <w:shd w:fill="auto" w:val="clear"/>
        </w:rPr>
      </w:pPr>
      <w:r>
        <w:rPr>
          <w:shd w:fill="auto" w:val="clear"/>
        </w:rPr>
        <w:t>4.4. Заказчик не позднее 5 (пяти) календарных дней с даты получения Акта сдачи-приемки образовательных услуг подписывает его, направляет один экземпляр подписанного Акта сдачи-приемки образовательных услуг Исполнителю, либо направляет в письменном виде обоснованные возражения против подписания Акта сдачи-приемки образовательных услуг. Возражения не могут выходить за пределы обязательств, предусмотренных настоящим Контрактом для Исполнителя.</w:t>
      </w:r>
    </w:p>
    <w:p>
      <w:pPr>
        <w:pStyle w:val="Normal"/>
        <w:numPr>
          <w:ilvl w:val="0"/>
          <w:numId w:val="0"/>
        </w:numPr>
        <w:ind w:firstLine="709" w:start="0"/>
        <w:jc w:val="both"/>
        <w:outlineLvl w:val="1"/>
        <w:rPr>
          <w:highlight w:val="none"/>
          <w:shd w:fill="auto" w:val="clear"/>
        </w:rPr>
      </w:pPr>
      <w:r>
        <w:rPr>
          <w:shd w:fill="auto" w:val="clear"/>
        </w:rPr>
        <w:t>4.5. При неполучении Исполнителем от Заказчика подписанного Акта сдачи-приемки образовательных услуг в течение 10 (десяти) календарных дней после передачи подписанного Исполнителем Акта сдачи-приемки образовательных услуг Заказчику образовательные услуги, указанные в п.1.1. настоящего Контракта, считаются выполненными в полном объеме и в срок.</w:t>
      </w:r>
    </w:p>
    <w:p>
      <w:pPr>
        <w:pStyle w:val="Normal"/>
        <w:numPr>
          <w:ilvl w:val="0"/>
          <w:numId w:val="0"/>
        </w:numPr>
        <w:ind w:firstLine="709" w:start="0"/>
        <w:jc w:val="both"/>
        <w:outlineLvl w:val="1"/>
        <w:rPr>
          <w:highlight w:val="none"/>
          <w:shd w:fill="auto" w:val="clear"/>
        </w:rPr>
      </w:pPr>
      <w:r>
        <w:rPr>
          <w:shd w:fill="auto" w:val="clear"/>
        </w:rPr>
        <w:t>4.6. Документ о квалификации (Удостоверение о повышении квалификации) совместно с Ведомостью о выдаче удостоверения направляется в адрес Заказчика заказным почтовым отправлением через АО «Почта России» в срок не позднее 10 (десяти) рабочих дней с даты окончания обучения по программе. Расходы по первичной отправке документов несет Исполнитель.</w:t>
      </w:r>
    </w:p>
    <w:p>
      <w:pPr>
        <w:pStyle w:val="Normal"/>
        <w:numPr>
          <w:ilvl w:val="0"/>
          <w:numId w:val="0"/>
        </w:numPr>
        <w:ind w:firstLine="709" w:start="0"/>
        <w:jc w:val="both"/>
        <w:outlineLvl w:val="1"/>
        <w:rPr>
          <w:highlight w:val="none"/>
          <w:shd w:fill="auto" w:val="clear"/>
        </w:rPr>
      </w:pPr>
      <w:r>
        <w:rPr>
          <w:shd w:fill="auto" w:val="clear"/>
        </w:rPr>
        <w:t>Обязательными условиями для отправки указанных документов являются:</w:t>
      </w:r>
    </w:p>
    <w:p>
      <w:pPr>
        <w:pStyle w:val="Normal"/>
        <w:numPr>
          <w:ilvl w:val="0"/>
          <w:numId w:val="0"/>
        </w:numPr>
        <w:ind w:firstLine="709" w:start="0"/>
        <w:jc w:val="both"/>
        <w:outlineLvl w:val="1"/>
        <w:rPr>
          <w:highlight w:val="none"/>
          <w:shd w:fill="auto" w:val="clear"/>
        </w:rPr>
      </w:pPr>
      <w:r>
        <w:rPr>
          <w:shd w:fill="auto" w:val="clear"/>
        </w:rPr>
        <w:t>- Успешное освоение Слушателем (Слушателями) программы повышения квалификации и прохождение итоговой аттестации;</w:t>
      </w:r>
    </w:p>
    <w:p>
      <w:pPr>
        <w:pStyle w:val="Normal"/>
        <w:numPr>
          <w:ilvl w:val="0"/>
          <w:numId w:val="0"/>
        </w:numPr>
        <w:ind w:firstLine="709" w:start="0"/>
        <w:jc w:val="both"/>
        <w:outlineLvl w:val="1"/>
        <w:rPr>
          <w:highlight w:val="none"/>
          <w:shd w:fill="auto" w:val="clear"/>
        </w:rPr>
      </w:pPr>
      <w:r>
        <w:rPr>
          <w:shd w:fill="auto" w:val="clear"/>
        </w:rPr>
        <w:t>- Поступление денежных средств в размере 100% от цены настоящего Контракта на расчетный счет Исполнителя.</w:t>
      </w:r>
    </w:p>
    <w:p>
      <w:pPr>
        <w:pStyle w:val="Normal"/>
        <w:numPr>
          <w:ilvl w:val="0"/>
          <w:numId w:val="0"/>
        </w:numPr>
        <w:ind w:firstLine="709" w:start="0"/>
        <w:jc w:val="both"/>
        <w:outlineLvl w:val="1"/>
        <w:rPr>
          <w:highlight w:val="none"/>
          <w:shd w:fill="auto" w:val="clear"/>
        </w:rPr>
      </w:pPr>
      <w:r>
        <w:rPr>
          <w:shd w:fill="auto" w:val="clear"/>
        </w:rPr>
        <w:t>Исполнитель обязуется предоставить уполномоченному представителю Заказчика (или Слушателю) трек-номер почтового отправления для отслеживания доставки на адрес электронной почты не позднее 2 (двух) рабочих дней с момента передачи отправления в отделение почтовой связи.</w:t>
      </w:r>
    </w:p>
    <w:p>
      <w:pPr>
        <w:pStyle w:val="Normal"/>
        <w:numPr>
          <w:ilvl w:val="0"/>
          <w:numId w:val="0"/>
        </w:numPr>
        <w:ind w:firstLine="709" w:start="0"/>
        <w:jc w:val="both"/>
        <w:outlineLvl w:val="1"/>
        <w:rPr>
          <w:highlight w:val="none"/>
          <w:shd w:fill="auto" w:val="clear"/>
        </w:rPr>
      </w:pPr>
      <w:r>
        <w:rPr>
          <w:shd w:fill="auto" w:val="clear"/>
        </w:rPr>
        <w:t>4.7. В случае возврата почтового отправления с документами обратно в адрес Исполнителя в связи с истечением срока хранения, отсутствием адресата по указанному адресу или иными причинами, не зависящими от Исполнителя, повторная отправка документов осуществляется за счет средств Заказчика.</w:t>
      </w:r>
    </w:p>
    <w:p>
      <w:pPr>
        <w:pStyle w:val="Normal"/>
        <w:numPr>
          <w:ilvl w:val="0"/>
          <w:numId w:val="0"/>
        </w:numPr>
        <w:ind w:firstLine="709" w:start="0"/>
        <w:jc w:val="both"/>
        <w:outlineLvl w:val="1"/>
        <w:rPr>
          <w:highlight w:val="none"/>
          <w:shd w:fill="auto" w:val="clear"/>
        </w:rPr>
      </w:pPr>
      <w:r>
        <w:rPr>
          <w:shd w:fill="auto" w:val="clear"/>
        </w:rPr>
        <w:t>Для организации повторной отправки Заказчик обязан:</w:t>
      </w:r>
    </w:p>
    <w:p>
      <w:pPr>
        <w:pStyle w:val="Normal"/>
        <w:numPr>
          <w:ilvl w:val="0"/>
          <w:numId w:val="0"/>
        </w:numPr>
        <w:ind w:firstLine="709" w:start="0"/>
        <w:jc w:val="both"/>
        <w:outlineLvl w:val="1"/>
        <w:rPr>
          <w:highlight w:val="none"/>
          <w:shd w:fill="auto" w:val="clear"/>
        </w:rPr>
      </w:pPr>
      <w:r>
        <w:rPr>
          <w:shd w:fill="auto" w:val="clear"/>
        </w:rPr>
        <w:t>- Направить Исполнителю официальный запрос с подтверждением актуального почтового адреса доставки.</w:t>
      </w:r>
    </w:p>
    <w:p>
      <w:pPr>
        <w:pStyle w:val="Normal"/>
        <w:numPr>
          <w:ilvl w:val="0"/>
          <w:numId w:val="0"/>
        </w:numPr>
        <w:ind w:firstLine="709" w:start="0"/>
        <w:jc w:val="both"/>
        <w:outlineLvl w:val="1"/>
        <w:rPr>
          <w:highlight w:val="none"/>
          <w:shd w:fill="auto" w:val="clear"/>
        </w:rPr>
      </w:pPr>
      <w:r>
        <w:rPr>
          <w:shd w:fill="auto" w:val="clear"/>
        </w:rPr>
        <w:t>- Возместить Исполнителю расходы на повторную пересылку документов на основании выставленного счета в течение 5 (пяти) рабочих дней с момента его получения.</w:t>
      </w:r>
    </w:p>
    <w:p>
      <w:pPr>
        <w:pStyle w:val="Normal"/>
        <w:numPr>
          <w:ilvl w:val="0"/>
          <w:numId w:val="0"/>
        </w:numPr>
        <w:ind w:firstLine="709" w:start="0"/>
        <w:jc w:val="both"/>
        <w:outlineLvl w:val="1"/>
        <w:rPr>
          <w:highlight w:val="none"/>
          <w:shd w:fill="auto" w:val="clear"/>
        </w:rPr>
      </w:pPr>
      <w:r>
        <w:rPr>
          <w:shd w:fill="auto" w:val="clear"/>
        </w:rPr>
        <w:t>Исполнитель осуществляет повторную отправку документов в течение 10 (десяти) рабочих дней с момента выполнения Заказчиком условий, указанных в настоящем пункте.</w:t>
      </w:r>
    </w:p>
    <w:p>
      <w:pPr>
        <w:pStyle w:val="Normal"/>
        <w:numPr>
          <w:ilvl w:val="0"/>
          <w:numId w:val="0"/>
        </w:numPr>
        <w:ind w:firstLine="709" w:start="0"/>
        <w:jc w:val="both"/>
        <w:outlineLvl w:val="1"/>
        <w:rPr>
          <w:highlight w:val="none"/>
          <w:shd w:fill="auto" w:val="clear"/>
        </w:rPr>
      </w:pPr>
      <w:r>
        <w:rPr>
          <w:shd w:fill="auto" w:val="clear"/>
        </w:rPr>
        <w:t>4.8. Возвращенные в адрес Исполнителя и невостребованные Заказчиком документы о квалификации хранятся в архиве Исполнителя в течение 3 (трех) лет с момента их возврата органом почтовой связи. По истечении указанного срока невостребованные документы подлежат уничтожению в установленном Исполнителем порядке</w:t>
      </w:r>
    </w:p>
    <w:p>
      <w:pPr>
        <w:pStyle w:val="Normal"/>
        <w:numPr>
          <w:ilvl w:val="0"/>
          <w:numId w:val="0"/>
        </w:numPr>
        <w:ind w:firstLine="709" w:start="0"/>
        <w:jc w:val="both"/>
        <w:outlineLvl w:val="1"/>
        <w:rPr/>
      </w:pPr>
      <w:r>
        <w:rPr/>
      </w:r>
      <w:bookmarkStart w:id="38" w:name="_Toc189043343"/>
      <w:bookmarkStart w:id="39" w:name="_Toc182129626"/>
      <w:bookmarkStart w:id="40" w:name="_Toc168980790"/>
      <w:bookmarkStart w:id="41" w:name="_Toc168910128"/>
      <w:bookmarkStart w:id="42" w:name="_Toc203558924"/>
      <w:bookmarkStart w:id="43" w:name="_Toc165278883"/>
      <w:bookmarkStart w:id="44" w:name="_Toc159150227"/>
      <w:bookmarkStart w:id="45" w:name="_Toc181676918"/>
      <w:bookmarkStart w:id="46" w:name="_Toc196292577"/>
      <w:bookmarkStart w:id="47" w:name="_Toc167614406"/>
      <w:bookmarkStart w:id="48" w:name="_Toc168470848"/>
      <w:bookmarkStart w:id="49" w:name="_Toc201395970"/>
      <w:bookmarkStart w:id="50" w:name="_Toc223871931"/>
      <w:bookmarkStart w:id="51" w:name="_Toc225073301"/>
      <w:bookmarkStart w:id="52" w:name="_Toc184532805"/>
      <w:bookmarkStart w:id="53" w:name="_Toc225076633"/>
      <w:bookmarkStart w:id="54" w:name="_Toc161572589"/>
      <w:bookmarkStart w:id="55" w:name="_Toc199144039"/>
      <w:bookmarkStart w:id="56" w:name="_Toc189043343"/>
      <w:bookmarkStart w:id="57" w:name="_Toc182129626"/>
      <w:bookmarkStart w:id="58" w:name="_Toc168980790"/>
      <w:bookmarkStart w:id="59" w:name="_Toc168910128"/>
      <w:bookmarkStart w:id="60" w:name="_Toc203558924"/>
      <w:bookmarkStart w:id="61" w:name="_Toc165278883"/>
      <w:bookmarkStart w:id="62" w:name="_Toc159150227"/>
      <w:bookmarkStart w:id="63" w:name="_Toc181676918"/>
      <w:bookmarkStart w:id="64" w:name="_Toc196292577"/>
      <w:bookmarkStart w:id="65" w:name="_Toc167614406"/>
      <w:bookmarkStart w:id="66" w:name="_Toc168470848"/>
      <w:bookmarkStart w:id="67" w:name="_Toc201395970"/>
      <w:bookmarkStart w:id="68" w:name="_Toc223871931"/>
      <w:bookmarkStart w:id="69" w:name="_Toc225073301"/>
      <w:bookmarkStart w:id="70" w:name="_Toc184532805"/>
      <w:bookmarkStart w:id="71" w:name="_Toc225076633"/>
      <w:bookmarkStart w:id="72" w:name="_Toc161572589"/>
      <w:bookmarkStart w:id="73" w:name="_Toc199144039"/>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Normal"/>
        <w:numPr>
          <w:ilvl w:val="0"/>
          <w:numId w:val="0"/>
        </w:numPr>
        <w:ind w:firstLine="709" w:start="0"/>
        <w:jc w:val="center"/>
        <w:outlineLvl w:val="1"/>
        <w:rPr>
          <w:b/>
          <w:bCs/>
          <w:lang w:bidi="en-US"/>
        </w:rPr>
      </w:pPr>
      <w:r>
        <w:rPr>
          <w:b/>
          <w:bCs/>
          <w:lang w:bidi="en-US"/>
        </w:rPr>
        <w:t>5. Ответственность сторон</w:t>
      </w:r>
    </w:p>
    <w:p>
      <w:pPr>
        <w:pStyle w:val="Normal"/>
        <w:numPr>
          <w:ilvl w:val="0"/>
          <w:numId w:val="0"/>
        </w:numPr>
        <w:ind w:firstLine="709" w:start="0"/>
        <w:jc w:val="both"/>
        <w:outlineLvl w:val="1"/>
        <w:rPr>
          <w:lang w:bidi="en-US"/>
        </w:rPr>
      </w:pPr>
      <w:r>
        <w:rPr>
          <w:lang w:bidi="en-US"/>
        </w:rPr>
        <w:t>5.1.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pPr>
        <w:pStyle w:val="Normal"/>
        <w:numPr>
          <w:ilvl w:val="0"/>
          <w:numId w:val="0"/>
        </w:numPr>
        <w:ind w:firstLine="709" w:start="0"/>
        <w:jc w:val="both"/>
        <w:outlineLvl w:val="1"/>
        <w:rPr>
          <w:lang w:bidi="en-US"/>
        </w:rPr>
      </w:pPr>
      <w:r>
        <w:rPr>
          <w:lang w:bidi="en-US"/>
        </w:rPr>
        <w:t>5.2. В случае просрочки исполнения Заказчиком обязательства, предусмотренного Контрактом, Исполнитель вправе потребовать уплату пени.</w:t>
      </w:r>
    </w:p>
    <w:p>
      <w:pPr>
        <w:pStyle w:val="Normal"/>
        <w:numPr>
          <w:ilvl w:val="0"/>
          <w:numId w:val="0"/>
        </w:numPr>
        <w:ind w:firstLine="709" w:start="0"/>
        <w:jc w:val="both"/>
        <w:outlineLvl w:val="1"/>
        <w:rPr>
          <w:lang w:bidi="en-US"/>
        </w:rPr>
      </w:pPr>
      <w:r>
        <w:rPr>
          <w:lang w:bidi="en-US"/>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numPr>
          <w:ilvl w:val="0"/>
          <w:numId w:val="0"/>
        </w:numPr>
        <w:ind w:firstLine="709" w:start="0"/>
        <w:jc w:val="both"/>
        <w:outlineLvl w:val="1"/>
        <w:rPr>
          <w:lang w:bidi="en-US"/>
        </w:rPr>
      </w:pPr>
      <w:r>
        <w:rPr>
          <w:lang w:bidi="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начислить штраф в размере, определяемом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заказчиком, Исполнителем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постановлением № 1042) и составляет:</w:t>
      </w:r>
    </w:p>
    <w:p>
      <w:pPr>
        <w:pStyle w:val="Normal"/>
        <w:numPr>
          <w:ilvl w:val="0"/>
          <w:numId w:val="0"/>
        </w:numPr>
        <w:ind w:firstLine="709" w:start="0"/>
        <w:jc w:val="both"/>
        <w:outlineLvl w:val="1"/>
        <w:rPr>
          <w:lang w:bidi="en-US"/>
        </w:rPr>
      </w:pPr>
      <w:r>
        <w:rPr>
          <w:lang w:bidi="en-US"/>
        </w:rPr>
        <w:t>а) 1000 рублей, если цена Контракта не превышает 3 млн. рублей (включительно);</w:t>
      </w:r>
    </w:p>
    <w:p>
      <w:pPr>
        <w:pStyle w:val="Normal"/>
        <w:numPr>
          <w:ilvl w:val="0"/>
          <w:numId w:val="0"/>
        </w:numPr>
        <w:ind w:firstLine="709" w:start="0"/>
        <w:jc w:val="both"/>
        <w:outlineLvl w:val="1"/>
        <w:rPr>
          <w:lang w:bidi="en-US"/>
        </w:rPr>
      </w:pPr>
      <w:r>
        <w:rPr>
          <w:lang w:bidi="en-US"/>
        </w:rPr>
        <w:t xml:space="preserve">5.3. В случае просрочки исполнения Исполнителем обязательства, предусмотренного Контрактом, Исполнитель оплачивает Заказчику пеню. </w:t>
      </w:r>
    </w:p>
    <w:p>
      <w:pPr>
        <w:pStyle w:val="Normal"/>
        <w:numPr>
          <w:ilvl w:val="0"/>
          <w:numId w:val="0"/>
        </w:numPr>
        <w:ind w:firstLine="709" w:start="0"/>
        <w:jc w:val="both"/>
        <w:outlineLvl w:val="1"/>
        <w:rPr>
          <w:lang w:bidi="en-US"/>
        </w:rPr>
      </w:pPr>
      <w:r>
        <w:rPr>
          <w:lang w:bidi="en-US"/>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pPr>
        <w:pStyle w:val="Normal"/>
        <w:numPr>
          <w:ilvl w:val="0"/>
          <w:numId w:val="0"/>
        </w:numPr>
        <w:ind w:firstLine="709" w:start="0"/>
        <w:jc w:val="both"/>
        <w:outlineLvl w:val="1"/>
        <w:rPr>
          <w:lang w:bidi="en-US"/>
        </w:rPr>
      </w:pPr>
      <w:r>
        <w:rPr>
          <w:lang w:bidi="en-US"/>
        </w:rPr>
        <w:t>В случае если законодательством Российской Федерации установлен иной порядок начисления пени, настоящий пункт излагается в соответствии с положениями данного порядка.</w:t>
      </w:r>
    </w:p>
    <w:p>
      <w:pPr>
        <w:pStyle w:val="Normal"/>
        <w:numPr>
          <w:ilvl w:val="0"/>
          <w:numId w:val="0"/>
        </w:numPr>
        <w:ind w:firstLine="709" w:start="0"/>
        <w:jc w:val="both"/>
        <w:outlineLvl w:val="1"/>
        <w:rPr>
          <w:lang w:bidi="en-US"/>
        </w:rPr>
      </w:pPr>
      <w:r>
        <w:rPr>
          <w:lang w:bidi="en-US"/>
        </w:rPr>
        <w:t xml:space="preserve">5.4. </w:t>
      </w:r>
      <w:r>
        <w:rPr>
          <w:shd w:fill="auto" w:val="clear"/>
          <w:lang w:bidi="en-US"/>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устанавливается штраф в размере 1 000 (Одна тысяча) рублей в соответствии с подпунктом «а» пункта 3 Правил, утверждённых постановлением Правительства Российской Федерации от 30.08.2017 № 1042.</w:t>
      </w:r>
    </w:p>
    <w:p>
      <w:pPr>
        <w:pStyle w:val="Normal"/>
        <w:numPr>
          <w:ilvl w:val="0"/>
          <w:numId w:val="0"/>
        </w:numPr>
        <w:ind w:firstLine="709" w:start="0"/>
        <w:jc w:val="both"/>
        <w:outlineLvl w:val="1"/>
        <w:rPr>
          <w:lang w:bidi="en-US"/>
        </w:rPr>
      </w:pPr>
      <w:r>
        <w:rPr>
          <w:lang w:bidi="en-US"/>
        </w:rPr>
        <w:t>5.5. В случае неисполнения или ненадлежащего исполнения Исполнителем обязательств, предусмотренных Контрактом, Заказчик производит оплату по Контракту за вычетом соответствующего размера неустойки (штрафа, пени).</w:t>
      </w:r>
    </w:p>
    <w:p>
      <w:pPr>
        <w:pStyle w:val="Normal"/>
        <w:numPr>
          <w:ilvl w:val="0"/>
          <w:numId w:val="0"/>
        </w:numPr>
        <w:ind w:firstLine="709" w:start="0"/>
        <w:jc w:val="both"/>
        <w:outlineLvl w:val="1"/>
        <w:rPr>
          <w:lang w:bidi="en-US"/>
        </w:rPr>
      </w:pPr>
      <w:r>
        <w:rPr>
          <w:lang w:bidi="en-US"/>
        </w:rPr>
        <w:t>5.6. В случае если Заказчик понес убытки вследствие ненадлежащего исполнения Исполнителем своих обязательств по Контракту, Исполнитель обязан возместить такие убытки независимо от уплаты неустойки.</w:t>
      </w:r>
    </w:p>
    <w:p>
      <w:pPr>
        <w:pStyle w:val="Normal"/>
        <w:numPr>
          <w:ilvl w:val="0"/>
          <w:numId w:val="0"/>
        </w:numPr>
        <w:ind w:firstLine="709" w:start="0"/>
        <w:jc w:val="both"/>
        <w:outlineLvl w:val="1"/>
        <w:rPr>
          <w:lang w:bidi="en-US"/>
        </w:rPr>
      </w:pPr>
      <w:r>
        <w:rPr>
          <w:lang w:bidi="en-US"/>
        </w:rPr>
        <w:t>5.7. Оплата Стороной неустойки (штрафа, пени) и возмещение убытков не освобождает ее от исполнения обязательств по Контракту.</w:t>
      </w:r>
    </w:p>
    <w:p>
      <w:pPr>
        <w:pStyle w:val="Normal"/>
        <w:numPr>
          <w:ilvl w:val="0"/>
          <w:numId w:val="0"/>
        </w:numPr>
        <w:ind w:firstLine="709" w:start="0"/>
        <w:jc w:val="both"/>
        <w:outlineLvl w:val="1"/>
        <w:rPr>
          <w:lang w:bidi="en-US"/>
        </w:rPr>
      </w:pPr>
      <w:r>
        <w:rPr>
          <w:lang w:bidi="en-US"/>
        </w:rPr>
        <w:t>5.8.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w:t>
      </w:r>
    </w:p>
    <w:p>
      <w:pPr>
        <w:pStyle w:val="Normal"/>
        <w:numPr>
          <w:ilvl w:val="0"/>
          <w:numId w:val="0"/>
        </w:numPr>
        <w:ind w:firstLine="709" w:start="0"/>
        <w:jc w:val="both"/>
        <w:outlineLvl w:val="1"/>
        <w:rPr>
          <w:lang w:bidi="en-US"/>
        </w:rPr>
      </w:pPr>
      <w:r>
        <w:rPr>
          <w:lang w:bidi="en-US"/>
        </w:rPr>
        <w:t>5.9. В случае расторжения Контракта в связи с ненадлежащим исполнением Исполнителем своих обязательств (в том числе по соглашению Сторон) последний в течение 10 рабочих дней с даты расторжения Контракта или подписания соглашения о расторжении Контракта уплачивает Заказчику штраф, предусмотренный настоящим Контрактом.</w:t>
      </w:r>
    </w:p>
    <w:p>
      <w:pPr>
        <w:pStyle w:val="Normal"/>
        <w:numPr>
          <w:ilvl w:val="0"/>
          <w:numId w:val="0"/>
        </w:numPr>
        <w:ind w:firstLine="709" w:start="0"/>
        <w:jc w:val="both"/>
        <w:outlineLvl w:val="1"/>
        <w:rPr>
          <w:lang w:bidi="en-US"/>
        </w:rPr>
      </w:pPr>
      <w:r>
        <w:rPr>
          <w:lang w:bidi="en-US"/>
        </w:rPr>
        <w:t>5.10. Сторона, допустившая нарушение обязательств по Контракту, обязана произвести уплату неустойки (штрафа, пени), предусмотренных настоящим разделом, в течение 10 рабочих дней с момента получения письменного требования об этом другой Стороны.</w:t>
      </w:r>
    </w:p>
    <w:p>
      <w:pPr>
        <w:pStyle w:val="Normal"/>
        <w:numPr>
          <w:ilvl w:val="0"/>
          <w:numId w:val="0"/>
        </w:numPr>
        <w:ind w:firstLine="709" w:start="0"/>
        <w:jc w:val="both"/>
        <w:outlineLvl w:val="1"/>
        <w:rPr>
          <w:lang w:bidi="en-US"/>
        </w:rPr>
      </w:pPr>
      <w:r>
        <w:rPr>
          <w:lang w:bidi="en-US"/>
        </w:rPr>
        <w:t>5.11. Общая сумма начисленных штрафов за неисполнение или ненадлежащее исполнение Сторонами своих обязательств, предусмотренных Контрактом, не может превышать цену Контракта.</w:t>
      </w:r>
    </w:p>
    <w:p>
      <w:pPr>
        <w:pStyle w:val="Normal"/>
        <w:numPr>
          <w:ilvl w:val="0"/>
          <w:numId w:val="0"/>
        </w:numPr>
        <w:ind w:hanging="0" w:start="0"/>
        <w:jc w:val="both"/>
        <w:outlineLvl w:val="1"/>
        <w:rPr>
          <w:bCs/>
        </w:rPr>
      </w:pPr>
      <w:r>
        <w:rPr>
          <w:bCs/>
        </w:rPr>
      </w:r>
      <w:bookmarkStart w:id="74" w:name="_Toc165278883_Копия_1"/>
      <w:bookmarkStart w:id="75" w:name="_Toc203558924_Копия_1"/>
      <w:bookmarkStart w:id="76" w:name="_Toc168910128_Копия_1"/>
      <w:bookmarkStart w:id="77" w:name="_Toc168980790_Копия_1"/>
      <w:bookmarkStart w:id="78" w:name="_Toc182129626_Копия_1"/>
      <w:bookmarkStart w:id="79" w:name="_Toc196292577_Копия_1"/>
      <w:bookmarkStart w:id="80" w:name="_Toc199144039_Копия_1"/>
      <w:bookmarkStart w:id="81" w:name="_Toc159150227_Копия_1"/>
      <w:bookmarkStart w:id="82" w:name="_Toc161572589_Копия_1"/>
      <w:bookmarkStart w:id="83" w:name="_Toc225076633_Копия_1"/>
      <w:bookmarkStart w:id="84" w:name="_Toc184532805_Копия_1"/>
      <w:bookmarkStart w:id="85" w:name="_Toc225073301_Копия_1"/>
      <w:bookmarkStart w:id="86" w:name="_Toc223871931_Копия_1"/>
      <w:bookmarkStart w:id="87" w:name="_Toc201395970_Копия_1"/>
      <w:bookmarkStart w:id="88" w:name="_Toc168470848_Копия_1"/>
      <w:bookmarkStart w:id="89" w:name="_Toc167614406_Копия_1"/>
      <w:bookmarkStart w:id="90" w:name="_Toc189043343_Копия_1"/>
      <w:bookmarkStart w:id="91" w:name="_Toc181676918_Копия_1"/>
      <w:bookmarkStart w:id="92" w:name="_Toc165278883_Копия_1"/>
      <w:bookmarkStart w:id="93" w:name="_Toc203558924_Копия_1"/>
      <w:bookmarkStart w:id="94" w:name="_Toc168910128_Копия_1"/>
      <w:bookmarkStart w:id="95" w:name="_Toc168980790_Копия_1"/>
      <w:bookmarkStart w:id="96" w:name="_Toc182129626_Копия_1"/>
      <w:bookmarkStart w:id="97" w:name="_Toc196292577_Копия_1"/>
      <w:bookmarkStart w:id="98" w:name="_Toc199144039_Копия_1"/>
      <w:bookmarkStart w:id="99" w:name="_Toc159150227_Копия_1"/>
      <w:bookmarkStart w:id="100" w:name="_Toc161572589_Копия_1"/>
      <w:bookmarkStart w:id="101" w:name="_Toc225076633_Копия_1"/>
      <w:bookmarkStart w:id="102" w:name="_Toc184532805_Копия_1"/>
      <w:bookmarkStart w:id="103" w:name="_Toc225073301_Копия_1"/>
      <w:bookmarkStart w:id="104" w:name="_Toc223871931_Копия_1"/>
      <w:bookmarkStart w:id="105" w:name="_Toc201395970_Копия_1"/>
      <w:bookmarkStart w:id="106" w:name="_Toc168470848_Копия_1"/>
      <w:bookmarkStart w:id="107" w:name="_Toc167614406_Копия_1"/>
      <w:bookmarkStart w:id="108" w:name="_Toc189043343_Копия_1"/>
      <w:bookmarkStart w:id="109" w:name="_Toc181676918_Копия_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ormal"/>
        <w:numPr>
          <w:ilvl w:val="0"/>
          <w:numId w:val="0"/>
        </w:numPr>
        <w:ind w:firstLine="709" w:start="0"/>
        <w:jc w:val="center"/>
        <w:outlineLvl w:val="1"/>
        <w:rPr>
          <w:rFonts w:eastAsia="Calibri"/>
          <w:b/>
          <w:lang w:eastAsia="en-US"/>
        </w:rPr>
      </w:pPr>
      <w:r>
        <w:rPr>
          <w:rFonts w:eastAsia="Calibri"/>
          <w:b/>
          <w:lang w:eastAsia="en-US"/>
        </w:rPr>
        <w:t>6. Обстоятельства непреодолимой силы</w:t>
      </w:r>
    </w:p>
    <w:p>
      <w:pPr>
        <w:pStyle w:val="Normal"/>
        <w:numPr>
          <w:ilvl w:val="0"/>
          <w:numId w:val="0"/>
        </w:numPr>
        <w:ind w:firstLine="709" w:start="0"/>
        <w:jc w:val="both"/>
        <w:outlineLvl w:val="1"/>
        <w:rPr>
          <w:rFonts w:eastAsia="Calibri"/>
          <w:lang w:eastAsia="en-US"/>
        </w:rPr>
      </w:pPr>
      <w:r>
        <w:rPr>
          <w:rFonts w:eastAsia="Calibri"/>
          <w:lang w:eastAsia="en-US"/>
        </w:rPr>
        <w:t>6.1. При невыполнении или частичном невыполнении любой из Сторон обязательств по данному Контракту вследствие наступления обстоятельств непреодолимой силы: наводнения, землетрясения и других стихийных бедствий, а также войны, военных операций, запретительных актов органов законодательной власти, непосредственно влияющих на сроки исполнения Сторонами своих обязательств, срок исполнения отодвигается соразмерно времени, в течение которого будут действовать эти обстоятельства.</w:t>
      </w:r>
    </w:p>
    <w:p>
      <w:pPr>
        <w:pStyle w:val="Normal"/>
        <w:numPr>
          <w:ilvl w:val="0"/>
          <w:numId w:val="0"/>
        </w:numPr>
        <w:ind w:firstLine="709" w:start="0"/>
        <w:jc w:val="both"/>
        <w:outlineLvl w:val="1"/>
        <w:rPr>
          <w:rFonts w:eastAsia="Calibri"/>
          <w:lang w:eastAsia="en-US"/>
        </w:rPr>
      </w:pPr>
      <w:r>
        <w:rPr>
          <w:rFonts w:eastAsia="Calibri"/>
          <w:lang w:eastAsia="en-US"/>
        </w:rPr>
        <w:t>6.2. Сторона, для которой создалась невозможность исполнения обязательств по Контракту в силу вышеуказанных причин, должна в течение 7 календарных дней с момента наступления таких обстоятельств известить в письменной форме об этом другую Сторону. Доказательством указанных в извещении фактов должны служить документы, выдаваемые компетентными государственными органами</w:t>
      </w:r>
    </w:p>
    <w:p>
      <w:pPr>
        <w:pStyle w:val="Normal"/>
        <w:numPr>
          <w:ilvl w:val="0"/>
          <w:numId w:val="0"/>
        </w:numPr>
        <w:ind w:firstLine="709" w:start="0"/>
        <w:jc w:val="both"/>
        <w:outlineLvl w:val="1"/>
        <w:rPr>
          <w:rFonts w:eastAsia="Calibri"/>
          <w:lang w:eastAsia="en-US"/>
        </w:rPr>
      </w:pPr>
      <w:r>
        <w:rPr>
          <w:rFonts w:eastAsia="Calibri"/>
          <w:lang w:eastAsia="en-US"/>
        </w:rPr>
        <w:t>6.3. Если подобное состояние, препятствующее выполнению обязательств по настоящему Контракту, продлится более трех месяцев, то каждая Сторона имеет право расторгнуть Контракт в одностороннем порядке, письменно известив об этом другую Сторону. В этом случае действие Государственного контракта прекращается с момента получения извещения другой Стороной.</w:t>
      </w:r>
    </w:p>
    <w:p>
      <w:pPr>
        <w:pStyle w:val="Normal"/>
        <w:numPr>
          <w:ilvl w:val="0"/>
          <w:numId w:val="0"/>
        </w:numPr>
        <w:ind w:firstLine="709" w:start="0"/>
        <w:jc w:val="both"/>
        <w:outlineLvl w:val="1"/>
        <w:rPr>
          <w:rFonts w:eastAsia="Calibri"/>
          <w:lang w:eastAsia="en-US"/>
        </w:rPr>
      </w:pPr>
      <w:r>
        <w:rPr>
          <w:rFonts w:eastAsia="Calibri"/>
          <w:lang w:eastAsia="en-US"/>
        </w:rPr>
      </w:r>
    </w:p>
    <w:p>
      <w:pPr>
        <w:pStyle w:val="Normal"/>
        <w:numPr>
          <w:ilvl w:val="0"/>
          <w:numId w:val="0"/>
        </w:numPr>
        <w:ind w:firstLine="709" w:start="0"/>
        <w:jc w:val="center"/>
        <w:outlineLvl w:val="1"/>
        <w:rPr>
          <w:b/>
        </w:rPr>
      </w:pPr>
      <w:r>
        <w:rPr>
          <w:b/>
        </w:rPr>
        <w:t>7. Разрешение споров.</w:t>
      </w:r>
    </w:p>
    <w:p>
      <w:pPr>
        <w:pStyle w:val="Normal"/>
        <w:numPr>
          <w:ilvl w:val="0"/>
          <w:numId w:val="0"/>
        </w:numPr>
        <w:ind w:firstLine="709" w:start="0"/>
        <w:jc w:val="both"/>
        <w:outlineLvl w:val="1"/>
        <w:rPr/>
      </w:pPr>
      <w:r>
        <w:rPr/>
        <w:t>7.1.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с оформлением совместного протокола урегулирования споров.</w:t>
      </w:r>
    </w:p>
    <w:p>
      <w:pPr>
        <w:pStyle w:val="Normal"/>
        <w:numPr>
          <w:ilvl w:val="0"/>
          <w:numId w:val="0"/>
        </w:numPr>
        <w:ind w:firstLine="709" w:start="0"/>
        <w:jc w:val="both"/>
        <w:outlineLvl w:val="1"/>
        <w:rPr/>
      </w:pPr>
      <w:r>
        <w:rPr/>
        <w:t>7.2. В случае не достижения взаимного согласия все споры, разногласия или требования, возникающие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w:t>
      </w:r>
      <w:r>
        <w:rPr>
          <w:color w:val="auto"/>
          <w:shd w:fill="auto" w:val="clear"/>
        </w:rPr>
        <w:t xml:space="preserve">ом суде Республики Саха (Якутия). </w:t>
      </w:r>
    </w:p>
    <w:p>
      <w:pPr>
        <w:pStyle w:val="Normal"/>
        <w:numPr>
          <w:ilvl w:val="0"/>
          <w:numId w:val="0"/>
        </w:numPr>
        <w:ind w:firstLine="709" w:start="0"/>
        <w:jc w:val="both"/>
        <w:outlineLvl w:val="1"/>
        <w:rPr>
          <w:rFonts w:eastAsia="Calibri"/>
          <w:b/>
          <w:lang w:eastAsia="en-US"/>
        </w:rPr>
      </w:pPr>
      <w:r>
        <w:rPr>
          <w:rFonts w:eastAsia="Calibri"/>
          <w:b/>
          <w:lang w:eastAsia="en-US"/>
        </w:rPr>
      </w:r>
    </w:p>
    <w:p>
      <w:pPr>
        <w:pStyle w:val="Normal"/>
        <w:numPr>
          <w:ilvl w:val="0"/>
          <w:numId w:val="0"/>
        </w:numPr>
        <w:ind w:firstLine="709" w:start="0"/>
        <w:jc w:val="center"/>
        <w:outlineLvl w:val="1"/>
        <w:rPr>
          <w:rFonts w:eastAsia="Calibri"/>
          <w:b/>
          <w:lang w:eastAsia="en-US"/>
        </w:rPr>
      </w:pPr>
      <w:r>
        <w:rPr>
          <w:rFonts w:eastAsia="Calibri"/>
          <w:b/>
          <w:lang w:eastAsia="en-US"/>
        </w:rPr>
        <w:t>8. Изменения и расторжение Контракта</w:t>
      </w:r>
    </w:p>
    <w:p>
      <w:pPr>
        <w:pStyle w:val="Normal"/>
        <w:numPr>
          <w:ilvl w:val="0"/>
          <w:numId w:val="0"/>
        </w:numPr>
        <w:ind w:firstLine="709" w:start="0"/>
        <w:jc w:val="both"/>
        <w:outlineLvl w:val="1"/>
        <w:rPr>
          <w:rFonts w:eastAsia="Calibri"/>
          <w:lang w:eastAsia="en-US"/>
        </w:rPr>
      </w:pPr>
      <w:r>
        <w:rPr>
          <w:rFonts w:eastAsia="Calibri"/>
          <w:lang w:eastAsia="en-US"/>
        </w:rPr>
        <w:t>8.1. Внесение изменений и дополнений, не противоречащих законодательству РФ,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pPr>
        <w:pStyle w:val="Normal"/>
        <w:numPr>
          <w:ilvl w:val="0"/>
          <w:numId w:val="0"/>
        </w:numPr>
        <w:ind w:firstLine="709" w:start="0"/>
        <w:jc w:val="both"/>
        <w:outlineLvl w:val="1"/>
        <w:rPr>
          <w:rFonts w:eastAsia="Calibri"/>
          <w:lang w:eastAsia="en-US"/>
        </w:rPr>
      </w:pPr>
      <w:r>
        <w:rPr>
          <w:rFonts w:eastAsia="Calibri"/>
          <w:lang w:eastAsia="en-US"/>
        </w:rPr>
        <w:t>8.2. Изменение существенных условий Контракта при его исполнении не допускается, за исключением случаев, предусмотренных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numPr>
          <w:ilvl w:val="0"/>
          <w:numId w:val="0"/>
        </w:numPr>
        <w:ind w:firstLine="709" w:start="0"/>
        <w:jc w:val="both"/>
        <w:outlineLvl w:val="1"/>
        <w:rPr>
          <w:rFonts w:eastAsia="Calibri"/>
          <w:lang w:eastAsia="en-US"/>
        </w:rPr>
      </w:pPr>
      <w:r>
        <w:rPr>
          <w:rFonts w:eastAsia="Calibri"/>
          <w:lang w:eastAsia="en-US"/>
        </w:rPr>
        <w:t>8.3.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pPr>
        <w:pStyle w:val="Normal"/>
        <w:numPr>
          <w:ilvl w:val="0"/>
          <w:numId w:val="0"/>
        </w:numPr>
        <w:ind w:firstLine="709" w:start="0"/>
        <w:jc w:val="both"/>
        <w:outlineLvl w:val="1"/>
        <w:rPr>
          <w:rFonts w:eastAsia="Calibri"/>
          <w:lang w:eastAsia="en-US"/>
        </w:rPr>
      </w:pPr>
      <w:r>
        <w:rPr>
          <w:rFonts w:eastAsia="Calibri"/>
          <w:lang w:eastAsia="en-US"/>
        </w:rPr>
        <w:t>8.4. В случае перемены заказчика права и обязанности заказчика, предусмотренные контрактом, переходят к новому заказчику.</w:t>
      </w:r>
    </w:p>
    <w:p>
      <w:pPr>
        <w:pStyle w:val="Normal"/>
        <w:numPr>
          <w:ilvl w:val="0"/>
          <w:numId w:val="0"/>
        </w:numPr>
        <w:ind w:firstLine="709" w:start="0"/>
        <w:jc w:val="both"/>
        <w:outlineLvl w:val="1"/>
        <w:rPr>
          <w:rFonts w:eastAsia="Calibri"/>
          <w:lang w:eastAsia="en-US"/>
        </w:rPr>
      </w:pPr>
      <w:r>
        <w:rPr>
          <w:rFonts w:eastAsia="Calibri"/>
          <w:lang w:eastAsia="en-US"/>
        </w:rPr>
        <w:t>8.5.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или в связи с односторонним отказом от исполнения Контракта в соответствии с положениями частей 8-25 статьи 95 Закона о контрактной системе.</w:t>
      </w:r>
    </w:p>
    <w:p>
      <w:pPr>
        <w:pStyle w:val="Normal"/>
        <w:numPr>
          <w:ilvl w:val="0"/>
          <w:numId w:val="0"/>
        </w:numPr>
        <w:ind w:firstLine="709" w:start="0"/>
        <w:jc w:val="both"/>
        <w:outlineLvl w:val="1"/>
        <w:rPr>
          <w:rFonts w:eastAsia="Calibri"/>
          <w:lang w:eastAsia="en-US"/>
        </w:rPr>
      </w:pPr>
      <w:r>
        <w:rPr>
          <w:rFonts w:eastAsia="Calibri"/>
          <w:lang w:eastAsia="en-US"/>
        </w:rPr>
        <w:t>8.6.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Normal"/>
        <w:numPr>
          <w:ilvl w:val="0"/>
          <w:numId w:val="0"/>
        </w:numPr>
        <w:ind w:firstLine="709" w:start="0"/>
        <w:jc w:val="both"/>
        <w:outlineLvl w:val="1"/>
        <w:rPr>
          <w:rFonts w:eastAsia="Calibri"/>
          <w:lang w:eastAsia="en-US"/>
        </w:rPr>
      </w:pPr>
      <w:r>
        <w:rPr>
          <w:rFonts w:eastAsia="Calibri"/>
          <w:lang w:eastAsia="en-US"/>
        </w:rPr>
        <w:t>8.7.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(ч. 9 ст. 95 Закона о контрактной системе).</w:t>
      </w:r>
    </w:p>
    <w:p>
      <w:pPr>
        <w:pStyle w:val="Normal"/>
        <w:numPr>
          <w:ilvl w:val="0"/>
          <w:numId w:val="0"/>
        </w:numPr>
        <w:ind w:firstLine="709" w:start="0"/>
        <w:jc w:val="both"/>
        <w:outlineLvl w:val="1"/>
        <w:rPr>
          <w:rFonts w:eastAsia="Calibri"/>
          <w:lang w:eastAsia="en-US"/>
        </w:rPr>
      </w:pPr>
      <w:r>
        <w:rPr>
          <w:rFonts w:eastAsia="Calibri"/>
          <w:lang w:eastAsia="en-US"/>
        </w:rPr>
        <w:t>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pPr>
        <w:pStyle w:val="Normal"/>
        <w:numPr>
          <w:ilvl w:val="0"/>
          <w:numId w:val="0"/>
        </w:numPr>
        <w:ind w:firstLine="709" w:start="0"/>
        <w:jc w:val="both"/>
        <w:outlineLvl w:val="1"/>
        <w:rPr>
          <w:rFonts w:eastAsia="Calibri"/>
          <w:lang w:eastAsia="en-US"/>
        </w:rPr>
      </w:pPr>
      <w:r>
        <w:rPr>
          <w:rFonts w:eastAsia="Calibri"/>
          <w:lang w:eastAsia="en-US"/>
        </w:rPr>
        <w:t>8.8. 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Заказчиком Исполнителя об одностороннем отказе от исполнения Контракта.</w:t>
      </w:r>
    </w:p>
    <w:p>
      <w:pPr>
        <w:pStyle w:val="Normal"/>
        <w:numPr>
          <w:ilvl w:val="0"/>
          <w:numId w:val="0"/>
        </w:numPr>
        <w:ind w:firstLine="709" w:start="0"/>
        <w:jc w:val="both"/>
        <w:outlineLvl w:val="1"/>
        <w:rPr>
          <w:rFonts w:eastAsia="Calibri"/>
          <w:lang w:eastAsia="en-US"/>
        </w:rPr>
      </w:pPr>
      <w:r>
        <w:rPr>
          <w:rFonts w:eastAsia="Calibri"/>
          <w:lang w:eastAsia="en-US"/>
        </w:rPr>
        <w:t>8.9. Заказчик обязан принять решение об одностороннем отказе от исполнения контракта в случаях, установленных частью 15 статьи 95 Закона о контрактной системе.</w:t>
      </w:r>
    </w:p>
    <w:p>
      <w:pPr>
        <w:pStyle w:val="Normal"/>
        <w:numPr>
          <w:ilvl w:val="0"/>
          <w:numId w:val="0"/>
        </w:numPr>
        <w:ind w:firstLine="709" w:start="0"/>
        <w:jc w:val="both"/>
        <w:outlineLvl w:val="1"/>
        <w:rPr>
          <w:rFonts w:eastAsia="Calibri"/>
          <w:lang w:eastAsia="en-US"/>
        </w:rPr>
      </w:pPr>
      <w:r>
        <w:rPr>
          <w:rFonts w:eastAsia="Calibri"/>
          <w:lang w:eastAsia="en-US"/>
        </w:rPr>
        <w:t>8.10. В случае расторжения настоящего Контракта по основаниям, предусмотренным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Заказчик в установленном порядке направляет сведения об Исполнителе в Реестр недобросовестных поставщиков</w:t>
      </w:r>
    </w:p>
    <w:p>
      <w:pPr>
        <w:pStyle w:val="Normal"/>
        <w:numPr>
          <w:ilvl w:val="0"/>
          <w:numId w:val="0"/>
        </w:numPr>
        <w:ind w:firstLine="709" w:start="0"/>
        <w:jc w:val="center"/>
        <w:outlineLvl w:val="1"/>
        <w:rPr>
          <w:b/>
          <w:bCs/>
        </w:rPr>
      </w:pPr>
      <w:r>
        <w:rPr>
          <w:b/>
          <w:bCs/>
        </w:rPr>
      </w:r>
    </w:p>
    <w:p>
      <w:pPr>
        <w:pStyle w:val="Normal"/>
        <w:numPr>
          <w:ilvl w:val="0"/>
          <w:numId w:val="0"/>
        </w:numPr>
        <w:ind w:firstLine="709" w:start="0"/>
        <w:jc w:val="center"/>
        <w:outlineLvl w:val="1"/>
        <w:rPr>
          <w:rFonts w:eastAsia="Calibri"/>
          <w:lang w:eastAsia="en-US"/>
        </w:rPr>
      </w:pPr>
      <w:r>
        <w:rPr>
          <w:b/>
          <w:bCs/>
        </w:rPr>
        <w:t>9. Особые условия</w:t>
      </w:r>
    </w:p>
    <w:p>
      <w:pPr>
        <w:pStyle w:val="Normal"/>
        <w:numPr>
          <w:ilvl w:val="0"/>
          <w:numId w:val="0"/>
        </w:numPr>
        <w:ind w:firstLine="709" w:start="0"/>
        <w:jc w:val="both"/>
        <w:outlineLvl w:val="1"/>
        <w:rPr>
          <w:rFonts w:eastAsia="Calibri"/>
          <w:lang w:eastAsia="en-US"/>
        </w:rPr>
      </w:pPr>
      <w:r>
        <w:rPr>
          <w:bCs/>
        </w:rPr>
        <w:t>9.1. Настоящий Контракт вступает в силу с момента его подписания и действует по 31 декабря 2026 г.</w:t>
      </w:r>
    </w:p>
    <w:p>
      <w:pPr>
        <w:pStyle w:val="Normal"/>
        <w:numPr>
          <w:ilvl w:val="0"/>
          <w:numId w:val="0"/>
        </w:numPr>
        <w:ind w:firstLine="709" w:start="0"/>
        <w:jc w:val="both"/>
        <w:outlineLvl w:val="1"/>
        <w:rPr>
          <w:rFonts w:eastAsia="Calibri"/>
          <w:lang w:eastAsia="en-US"/>
        </w:rPr>
      </w:pPr>
      <w:r>
        <w:rPr>
          <w:bCs/>
        </w:rPr>
        <w:t>9.2. В случае изменения организационно-правовой формы, наименования платежных реквизитов, Стороны в течение 3 (трех) рабочих дней с момента таких изменений должны письменно сообщить об этом друг другу, представив подтверждающие документы.</w:t>
      </w:r>
    </w:p>
    <w:p>
      <w:pPr>
        <w:pStyle w:val="Normal"/>
        <w:numPr>
          <w:ilvl w:val="0"/>
          <w:numId w:val="0"/>
        </w:numPr>
        <w:ind w:firstLine="709" w:start="0"/>
        <w:jc w:val="both"/>
        <w:outlineLvl w:val="1"/>
        <w:rPr>
          <w:rFonts w:eastAsia="Calibri"/>
          <w:lang w:eastAsia="en-US"/>
        </w:rPr>
      </w:pPr>
      <w:r>
        <w:rPr>
          <w:bCs/>
        </w:rPr>
        <w:t>9.3.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Контракта, иначе как с письменного согласия Сторон.</w:t>
      </w:r>
    </w:p>
    <w:p>
      <w:pPr>
        <w:pStyle w:val="Normal"/>
        <w:numPr>
          <w:ilvl w:val="0"/>
          <w:numId w:val="0"/>
        </w:numPr>
        <w:ind w:firstLine="709" w:start="0"/>
        <w:jc w:val="both"/>
        <w:outlineLvl w:val="1"/>
        <w:rPr>
          <w:rFonts w:eastAsia="Calibri"/>
          <w:lang w:eastAsia="en-US"/>
        </w:rPr>
      </w:pPr>
      <w:r>
        <w:rPr>
          <w:bCs/>
        </w:rPr>
        <w:t>9.4. Любое уведомление по настоящему Контракту дается в письменной форме.</w:t>
      </w:r>
    </w:p>
    <w:p>
      <w:pPr>
        <w:pStyle w:val="Normal"/>
        <w:numPr>
          <w:ilvl w:val="0"/>
          <w:numId w:val="0"/>
        </w:numPr>
        <w:ind w:firstLine="709" w:start="0"/>
        <w:jc w:val="both"/>
        <w:outlineLvl w:val="1"/>
        <w:rPr>
          <w:rFonts w:eastAsia="Calibri"/>
          <w:lang w:eastAsia="en-US"/>
        </w:rPr>
      </w:pPr>
      <w:r>
        <w:rPr>
          <w:bCs/>
        </w:rPr>
        <w:t>9.5. Заявления, уведомления, извещения, требования или иные юридически значимые сообщения, с которыми контракт связывает гражданско-правовые последствия для Сторон настоящего контракта, направляются Сторонами заказными почтовыми отправлениями с уведомлением и влекут для этого лица такие последствия с момента доставки соответствующего сообщения Стороне или ее представителю.</w:t>
      </w:r>
    </w:p>
    <w:p>
      <w:pPr>
        <w:pStyle w:val="Normal"/>
        <w:numPr>
          <w:ilvl w:val="0"/>
          <w:numId w:val="0"/>
        </w:numPr>
        <w:ind w:firstLine="709" w:start="0"/>
        <w:jc w:val="both"/>
        <w:outlineLvl w:val="1"/>
        <w:rPr>
          <w:rFonts w:eastAsia="Calibri"/>
          <w:lang w:eastAsia="en-US"/>
        </w:rPr>
      </w:pPr>
      <w:r>
        <w:rPr>
          <w:bCs/>
        </w:rPr>
        <w:t>Уведомление считается полученным с момента его доставки адресату по адресу, указанному в разделе 10 настоящего Контракта, либо получения отправителем подтверждения отсутствия адресата по указанному адресу.</w:t>
      </w:r>
    </w:p>
    <w:p>
      <w:pPr>
        <w:pStyle w:val="Normal"/>
        <w:numPr>
          <w:ilvl w:val="0"/>
          <w:numId w:val="0"/>
        </w:numPr>
        <w:ind w:firstLine="709" w:start="0"/>
        <w:jc w:val="both"/>
        <w:outlineLvl w:val="1"/>
        <w:rPr>
          <w:rFonts w:eastAsia="Calibri"/>
          <w:lang w:eastAsia="en-US"/>
        </w:rPr>
      </w:pPr>
      <w:r>
        <w:rPr>
          <w:bCs/>
        </w:rPr>
        <w:t>В неотложных случаях сообщения и иные документы могут быть переданы по факсу или электронной почте с последующим письменным подтверждением сообщения отправляющей Стороной.</w:t>
      </w:r>
    </w:p>
    <w:p>
      <w:pPr>
        <w:pStyle w:val="Normal"/>
        <w:numPr>
          <w:ilvl w:val="0"/>
          <w:numId w:val="0"/>
        </w:numPr>
        <w:ind w:firstLine="709" w:start="0"/>
        <w:jc w:val="both"/>
        <w:outlineLvl w:val="1"/>
        <w:rPr>
          <w:rFonts w:eastAsia="Calibri"/>
          <w:lang w:eastAsia="en-US"/>
        </w:rPr>
      </w:pPr>
      <w:r>
        <w:rPr>
          <w:bCs/>
        </w:rPr>
        <w:t>9.6. Стороны действуют в соответствии с условиями настоящего Контракта. Во всем, что не предусмотрено Контрактом, Стороны руководствуются законодательством Российской Федерации.</w:t>
      </w:r>
    </w:p>
    <w:p>
      <w:pPr>
        <w:pStyle w:val="Normal"/>
        <w:numPr>
          <w:ilvl w:val="0"/>
          <w:numId w:val="0"/>
        </w:numPr>
        <w:ind w:firstLine="709" w:start="0"/>
        <w:jc w:val="both"/>
        <w:outlineLvl w:val="1"/>
        <w:rPr>
          <w:highlight w:val="none"/>
          <w:shd w:fill="auto" w:val="clear"/>
        </w:rPr>
      </w:pPr>
      <w:r>
        <w:rPr>
          <w:bCs/>
          <w:shd w:fill="auto" w:val="clear"/>
        </w:rPr>
        <w:t>9.7. Перечень приложений, являющихся неотъемлемой частью настоящего контракта:</w:t>
      </w:r>
    </w:p>
    <w:p>
      <w:pPr>
        <w:pStyle w:val="Normal"/>
        <w:numPr>
          <w:ilvl w:val="0"/>
          <w:numId w:val="0"/>
        </w:numPr>
        <w:ind w:firstLine="709" w:start="0"/>
        <w:jc w:val="both"/>
        <w:outlineLvl w:val="1"/>
        <w:rPr>
          <w:highlight w:val="none"/>
          <w:shd w:fill="auto" w:val="clear"/>
        </w:rPr>
      </w:pPr>
      <w:r>
        <w:rPr>
          <w:bCs/>
          <w:shd w:fill="auto" w:val="clear"/>
        </w:rPr>
        <w:t>- Приложение № 1 - Техническое задание.</w:t>
      </w:r>
    </w:p>
    <w:p>
      <w:pPr>
        <w:pStyle w:val="Normal"/>
        <w:numPr>
          <w:ilvl w:val="0"/>
          <w:numId w:val="0"/>
        </w:numPr>
        <w:ind w:firstLine="709" w:start="0"/>
        <w:jc w:val="both"/>
        <w:outlineLvl w:val="1"/>
        <w:rPr>
          <w:highlight w:val="none"/>
          <w:shd w:fill="auto" w:val="clear"/>
        </w:rPr>
      </w:pPr>
      <w:r>
        <w:rPr>
          <w:bCs/>
          <w:shd w:fill="auto" w:val="clear"/>
        </w:rPr>
        <w:t>- Приложение № 2 - Список слушателей, подлежащих обучению.</w:t>
      </w:r>
    </w:p>
    <w:p>
      <w:pPr>
        <w:pStyle w:val="Normal"/>
        <w:numPr>
          <w:ilvl w:val="0"/>
          <w:numId w:val="0"/>
        </w:numPr>
        <w:ind w:firstLine="709" w:start="0"/>
        <w:jc w:val="both"/>
        <w:outlineLvl w:val="1"/>
        <w:rPr>
          <w:highlight w:val="none"/>
          <w:shd w:fill="auto" w:val="clear"/>
        </w:rPr>
      </w:pPr>
      <w:r>
        <w:rPr>
          <w:bCs/>
          <w:shd w:fill="auto" w:val="clear"/>
        </w:rPr>
        <w:t xml:space="preserve">- Приложение № 3 - Акт сдачи-приемки оказанных услуг </w:t>
      </w:r>
    </w:p>
    <w:p>
      <w:pPr>
        <w:pStyle w:val="Style24"/>
        <w:spacing w:lineRule="auto" w:line="240"/>
        <w:ind w:firstLine="567" w:end="-142"/>
        <w:rPr>
          <w:rFonts w:ascii="Times New Roman" w:hAnsi="Times New Roman"/>
          <w:b/>
          <w:sz w:val="24"/>
          <w:szCs w:val="24"/>
        </w:rPr>
      </w:pPr>
      <w:r>
        <w:rPr>
          <w:rFonts w:ascii="Times New Roman" w:hAnsi="Times New Roman"/>
          <w:b/>
          <w:sz w:val="24"/>
          <w:szCs w:val="24"/>
        </w:rPr>
      </w:r>
    </w:p>
    <w:p>
      <w:pPr>
        <w:pStyle w:val="Style24"/>
        <w:spacing w:lineRule="auto" w:line="240"/>
        <w:ind w:firstLine="567" w:end="-142"/>
        <w:rPr>
          <w:rFonts w:ascii="Times New Roman" w:hAnsi="Times New Roman"/>
          <w:b/>
          <w:sz w:val="24"/>
          <w:szCs w:val="24"/>
        </w:rPr>
      </w:pPr>
      <w:r>
        <w:rPr>
          <w:rFonts w:ascii="Times New Roman" w:hAnsi="Times New Roman"/>
          <w:b/>
          <w:sz w:val="24"/>
          <w:szCs w:val="24"/>
        </w:rPr>
        <w:t>10. Юридические адреса и платежные реквизиты сторон:</w:t>
      </w:r>
    </w:p>
    <w:tbl>
      <w:tblPr>
        <w:tblW w:w="9800" w:type="dxa"/>
        <w:jc w:val="start"/>
        <w:tblInd w:w="109" w:type="dxa"/>
        <w:tblLayout w:type="fixed"/>
        <w:tblCellMar>
          <w:top w:w="0" w:type="dxa"/>
          <w:start w:w="108" w:type="dxa"/>
          <w:bottom w:w="0" w:type="dxa"/>
          <w:end w:w="108" w:type="dxa"/>
        </w:tblCellMar>
        <w:tblLook w:val="0000" w:noHBand="0" w:noVBand="0" w:firstColumn="0" w:lastRow="0" w:lastColumn="0" w:firstRow="0"/>
      </w:tblPr>
      <w:tblGrid>
        <w:gridCol w:w="4878"/>
        <w:gridCol w:w="4922"/>
      </w:tblGrid>
      <w:tr>
        <w:trPr>
          <w:trHeight w:val="345" w:hRule="atLeast"/>
        </w:trPr>
        <w:tc>
          <w:tcPr>
            <w:tcW w:w="4878" w:type="dxa"/>
            <w:tcBorders/>
            <w:shd w:color="auto" w:fill="auto" w:val="clear"/>
          </w:tcPr>
          <w:p>
            <w:pPr>
              <w:pStyle w:val="Normal"/>
              <w:shd w:val="clear" w:color="auto" w:fill="FFFFFF"/>
              <w:rPr>
                <w:b/>
                <w:bCs/>
                <w:color w:val="000000"/>
              </w:rPr>
            </w:pPr>
            <w:r>
              <w:rPr>
                <w:b/>
                <w:bCs/>
                <w:color w:val="000000"/>
              </w:rPr>
              <w:t>Заказчик:</w:t>
            </w:r>
          </w:p>
        </w:tc>
        <w:tc>
          <w:tcPr>
            <w:tcW w:w="4922" w:type="dxa"/>
            <w:tcBorders/>
            <w:shd w:color="auto" w:fill="auto" w:val="clear"/>
          </w:tcPr>
          <w:p>
            <w:pPr>
              <w:pStyle w:val="Normal"/>
              <w:shd w:val="clear" w:color="auto" w:fill="FFFFFF"/>
              <w:rPr>
                <w:bCs/>
                <w:color w:val="000000"/>
              </w:rPr>
            </w:pPr>
            <w:r>
              <w:rPr>
                <w:b/>
                <w:bCs/>
                <w:color w:val="000000"/>
              </w:rPr>
              <w:t>Исполнитель</w:t>
            </w:r>
            <w:r>
              <w:rPr>
                <w:bCs/>
                <w:color w:val="000000"/>
              </w:rPr>
              <w:t>:</w:t>
            </w:r>
          </w:p>
        </w:tc>
      </w:tr>
      <w:tr>
        <w:trPr>
          <w:trHeight w:val="345" w:hRule="atLeast"/>
        </w:trPr>
        <w:tc>
          <w:tcPr>
            <w:tcW w:w="4878" w:type="dxa"/>
            <w:tcBorders/>
            <w:shd w:color="auto" w:fill="auto" w:val="clear"/>
          </w:tcPr>
          <w:p>
            <w:pPr>
              <w:pStyle w:val="Normal"/>
              <w:rPr/>
            </w:pPr>
            <w:r>
              <w:rPr/>
              <w:t>Федеральное казенное учреждение «Главное бюро медико-социальной экспертизы по Республике Саха (Якутия)» Министерства труда и социальной защиты Российской Федерации</w:t>
            </w:r>
          </w:p>
          <w:p>
            <w:pPr>
              <w:pStyle w:val="Normal"/>
              <w:rPr/>
            </w:pPr>
            <w:r>
              <w:rPr/>
              <w:t>Краткое наименование: ФКУ «ГБ МСЭ по Республике Саха (Якутия)» Минтруда России</w:t>
            </w:r>
          </w:p>
          <w:p>
            <w:pPr>
              <w:pStyle w:val="Normal"/>
              <w:rPr/>
            </w:pPr>
            <w:r>
              <w:rPr/>
              <w:t>Юридический адрес: 677005, Республика Саха (Якутия), г. Якутск, ул. Курашова, 65</w:t>
            </w:r>
          </w:p>
          <w:p>
            <w:pPr>
              <w:pStyle w:val="Normal"/>
              <w:rPr/>
            </w:pPr>
            <w:r>
              <w:rPr/>
              <w:t>Почтовый адрес: 677005, Республика Саха (Якутия), г. Якутск, ул. Курашова, 65</w:t>
            </w:r>
          </w:p>
          <w:p>
            <w:pPr>
              <w:pStyle w:val="Normal"/>
              <w:rPr/>
            </w:pPr>
            <w:r>
              <w:rPr/>
              <w:t>ОГРН 1021401046721</w:t>
            </w:r>
          </w:p>
          <w:p>
            <w:pPr>
              <w:pStyle w:val="Normal"/>
              <w:rPr/>
            </w:pPr>
            <w:r>
              <w:rPr/>
              <w:t>ИНН/КПП: 1435067179/143501001;</w:t>
            </w:r>
          </w:p>
          <w:p>
            <w:pPr>
              <w:pStyle w:val="Normal"/>
              <w:rPr/>
            </w:pPr>
            <w:r>
              <w:rPr/>
              <w:t>Лицевой счет: 03161А75460 в УФК по Приморскому краю</w:t>
            </w:r>
          </w:p>
          <w:p>
            <w:pPr>
              <w:pStyle w:val="Normal"/>
              <w:rPr/>
            </w:pPr>
            <w:r>
              <w:rPr/>
              <w:t>БИК ТОФК: 010507002</w:t>
            </w:r>
          </w:p>
          <w:p>
            <w:pPr>
              <w:pStyle w:val="Normal"/>
              <w:rPr/>
            </w:pPr>
            <w:r>
              <w:rPr/>
              <w:t>Казначейский счет: 03211643000000012008</w:t>
            </w:r>
          </w:p>
          <w:p>
            <w:pPr>
              <w:pStyle w:val="Normal"/>
              <w:rPr/>
            </w:pPr>
            <w:r>
              <w:rPr/>
              <w:t>Расчетный счет: 40102810545370000012</w:t>
            </w:r>
          </w:p>
          <w:p>
            <w:pPr>
              <w:pStyle w:val="Normal"/>
              <w:rPr/>
            </w:pPr>
            <w:r>
              <w:rPr/>
              <w:t>Банк: «ОКЦ № 1 ДГУ БАНКА РОССИИ//УФК по Приморскому краю, г. Владивосток»</w:t>
            </w:r>
          </w:p>
          <w:p>
            <w:pPr>
              <w:pStyle w:val="Normal"/>
              <w:rPr/>
            </w:pPr>
            <w:r>
              <w:rPr/>
              <w:t>К.т. 8(4112) 31-66-51</w:t>
            </w:r>
          </w:p>
          <w:p>
            <w:pPr>
              <w:pStyle w:val="Normal"/>
              <w:rPr/>
            </w:pPr>
            <w:r>
              <w:rPr/>
              <w:t xml:space="preserve">э/почта: </w:t>
            </w:r>
            <w:hyperlink r:id="rId2">
              <w:r>
                <w:rPr>
                  <w:rStyle w:val="Hyperlink"/>
                </w:rPr>
                <w:t>mse_ykt@mail.ru</w:t>
              </w:r>
            </w:hyperlink>
          </w:p>
        </w:tc>
        <w:tc>
          <w:tcPr>
            <w:tcW w:w="4922" w:type="dxa"/>
            <w:tcBorders/>
            <w:shd w:color="auto" w:fill="auto" w:val="clear"/>
          </w:tcPr>
          <w:p>
            <w:pPr>
              <w:pStyle w:val="Normal"/>
              <w:rPr/>
            </w:pPr>
            <w:r>
              <w:rPr/>
              <w: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w:t>
            </w:r>
          </w:p>
          <w:p>
            <w:pPr>
              <w:pStyle w:val="Normal"/>
              <w:rPr/>
            </w:pPr>
            <w:r>
              <w:rPr/>
              <w:t>Адрес местонахождения и почтовый адрес: 125167, г. Москва, Ленинградский проспект, д.49/2</w:t>
            </w:r>
          </w:p>
          <w:p>
            <w:pPr>
              <w:pStyle w:val="Normal"/>
              <w:rPr/>
            </w:pPr>
            <w:r>
              <w:rPr/>
              <w:t>Адрес электронной почты: academy@fa.ru</w:t>
            </w:r>
          </w:p>
          <w:p>
            <w:pPr>
              <w:pStyle w:val="Normal"/>
              <w:rPr/>
            </w:pPr>
            <w:r>
              <w:rPr/>
              <w:t>ОГРН 1027700451976, ИНН 7714086422, КПП 771401001, ОКПО 00042493, ОКТМО 45348000, ОКОПФ 75103</w:t>
            </w:r>
          </w:p>
          <w:p>
            <w:pPr>
              <w:pStyle w:val="Normal"/>
              <w:rPr/>
            </w:pPr>
            <w:r>
              <w:rPr/>
              <w:t>Платежные реквизиты:</w:t>
            </w:r>
          </w:p>
          <w:p>
            <w:pPr>
              <w:pStyle w:val="Normal"/>
              <w:rPr/>
            </w:pPr>
            <w:r>
              <w:rPr/>
              <w:t>Финансовый университет л/сч 20956Х19410</w:t>
            </w:r>
          </w:p>
          <w:p>
            <w:pPr>
              <w:pStyle w:val="Normal"/>
              <w:rPr/>
            </w:pPr>
            <w:r>
              <w:rPr/>
              <w:t>Единый казначейский счет 40102810045370000002</w:t>
            </w:r>
          </w:p>
          <w:p>
            <w:pPr>
              <w:pStyle w:val="Normal"/>
              <w:rPr/>
            </w:pPr>
            <w:r>
              <w:rPr/>
              <w:t>Казначейский счет 03214643000000019500</w:t>
            </w:r>
          </w:p>
          <w:p>
            <w:pPr>
              <w:pStyle w:val="Normal"/>
              <w:rPr/>
            </w:pPr>
            <w:r>
              <w:rPr/>
              <w:t>Наименование банка:</w:t>
            </w:r>
          </w:p>
          <w:p>
            <w:pPr>
              <w:pStyle w:val="Normal"/>
              <w:rPr/>
            </w:pPr>
            <w:r>
              <w:rPr/>
              <w:t>Операционный департамент Банка России// Межрегиональное операционное УФК г. Москва</w:t>
            </w:r>
          </w:p>
          <w:p>
            <w:pPr>
              <w:pStyle w:val="Normal"/>
              <w:rPr/>
            </w:pPr>
            <w:r>
              <w:rPr/>
              <w:t>БИК 024501901</w:t>
            </w:r>
          </w:p>
          <w:p>
            <w:pPr>
              <w:pStyle w:val="Normal"/>
              <w:rPr/>
            </w:pPr>
            <w:r>
              <w:rPr/>
              <w:t xml:space="preserve">эл.почта: </w:t>
            </w:r>
            <w:hyperlink r:id="rId3">
              <w:r>
                <w:rPr>
                  <w:rStyle w:val="Hyperlink"/>
                </w:rPr>
                <w:t>isbpriem@fa.ru</w:t>
              </w:r>
            </w:hyperlink>
          </w:p>
        </w:tc>
      </w:tr>
      <w:tr>
        <w:trPr>
          <w:trHeight w:val="646" w:hRule="atLeast"/>
        </w:trPr>
        <w:tc>
          <w:tcPr>
            <w:tcW w:w="4878" w:type="dxa"/>
            <w:tcBorders/>
            <w:shd w:color="auto" w:fill="auto" w:val="clear"/>
          </w:tcPr>
          <w:p>
            <w:pPr>
              <w:pStyle w:val="Normal"/>
              <w:rPr>
                <w:highlight w:val="yellow"/>
              </w:rPr>
            </w:pPr>
            <w:r>
              <w:rPr>
                <w:highlight w:val="yellow"/>
              </w:rPr>
            </w:r>
          </w:p>
          <w:p>
            <w:pPr>
              <w:pStyle w:val="Normal"/>
              <w:rPr/>
            </w:pPr>
            <w:r>
              <w:rPr/>
              <w:t>Руководитель-главный</w:t>
            </w:r>
          </w:p>
          <w:p>
            <w:pPr>
              <w:pStyle w:val="Normal"/>
              <w:rPr/>
            </w:pPr>
            <w:r>
              <w:rPr/>
              <w:t>эксперт по МСЭ</w:t>
            </w:r>
          </w:p>
          <w:p>
            <w:pPr>
              <w:pStyle w:val="Normal"/>
              <w:rPr/>
            </w:pPr>
            <w:r>
              <w:rPr/>
            </w:r>
          </w:p>
          <w:p>
            <w:pPr>
              <w:pStyle w:val="Normal"/>
              <w:rPr/>
            </w:pPr>
            <w:r>
              <w:rPr/>
              <w:t>______________________/А.И. Гоголева/</w:t>
            </w:r>
          </w:p>
          <w:p>
            <w:pPr>
              <w:pStyle w:val="Normal"/>
              <w:rPr>
                <w:highlight w:val="yellow"/>
              </w:rPr>
            </w:pPr>
            <w:r>
              <w:rPr/>
              <w:t>М.П.</w:t>
            </w:r>
          </w:p>
        </w:tc>
        <w:tc>
          <w:tcPr>
            <w:tcW w:w="4922" w:type="dxa"/>
            <w:tcBorders/>
            <w:shd w:color="auto" w:fill="auto" w:val="clear"/>
          </w:tcPr>
          <w:p>
            <w:pPr>
              <w:pStyle w:val="Normal"/>
              <w:rPr/>
            </w:pPr>
            <w:r>
              <w:rPr/>
            </w:r>
          </w:p>
          <w:p>
            <w:pPr>
              <w:pStyle w:val="Normal"/>
              <w:rPr/>
            </w:pPr>
            <w:r>
              <w:rPr/>
              <w:t>Директор МШБ (Института)</w:t>
            </w:r>
          </w:p>
          <w:p>
            <w:pPr>
              <w:pStyle w:val="Normal"/>
              <w:rPr/>
            </w:pPr>
            <w:r>
              <w:rPr/>
            </w:r>
          </w:p>
          <w:p>
            <w:pPr>
              <w:pStyle w:val="Normal"/>
              <w:rPr/>
            </w:pPr>
            <w:r>
              <w:rPr/>
            </w:r>
          </w:p>
          <w:p>
            <w:pPr>
              <w:pStyle w:val="Normal"/>
              <w:rPr/>
            </w:pPr>
            <w:r>
              <w:rPr/>
              <w:t>____________________/В.В. Моисеенко/</w:t>
            </w:r>
          </w:p>
          <w:p>
            <w:pPr>
              <w:pStyle w:val="Normal"/>
              <w:shd w:val="clear" w:color="auto" w:fill="FFFFFF"/>
              <w:rPr>
                <w:bCs/>
                <w:color w:val="000000"/>
              </w:rPr>
            </w:pPr>
            <w:r>
              <w:rPr/>
              <w:t>М.П.</w:t>
            </w:r>
          </w:p>
        </w:tc>
      </w:tr>
    </w:tbl>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rPr/>
      </w:pPr>
      <w:r>
        <w:rPr/>
      </w:r>
    </w:p>
    <w:p>
      <w:pPr>
        <w:pStyle w:val="Normal"/>
        <w:spacing w:lineRule="auto" w:line="276" w:before="0" w:after="200"/>
        <w:jc w:val="end"/>
        <w:rPr/>
      </w:pPr>
      <w:r>
        <w:rPr/>
        <w:t xml:space="preserve">Приложение № 1                                                                                                                                   к Государственному контракту                                                                                                     от «____» ________ 2026 г. № ___/МТННА-26/Ю </w:t>
      </w:r>
    </w:p>
    <w:p>
      <w:pPr>
        <w:pStyle w:val="Normal"/>
        <w:spacing w:lineRule="auto" w:line="276" w:before="0" w:after="200"/>
        <w:jc w:val="center"/>
        <w:rPr>
          <w:b/>
          <w:bCs/>
        </w:rPr>
      </w:pPr>
      <w:r>
        <w:rPr>
          <w:b/>
          <w:bCs/>
        </w:rPr>
      </w:r>
    </w:p>
    <w:p>
      <w:pPr>
        <w:pStyle w:val="Normal"/>
        <w:spacing w:lineRule="auto" w:line="276" w:before="0" w:after="200"/>
        <w:jc w:val="center"/>
        <w:rPr>
          <w:b/>
          <w:bCs/>
        </w:rPr>
      </w:pPr>
      <w:r>
        <w:rPr>
          <w:b/>
          <w:bCs/>
        </w:rPr>
        <w:t>Техническое задание</w:t>
      </w:r>
    </w:p>
    <w:tbl>
      <w:tblPr>
        <w:tblW w:w="10815" w:type="dxa"/>
        <w:jc w:val="start"/>
        <w:tblInd w:w="-911" w:type="dxa"/>
        <w:tblLayout w:type="fixed"/>
        <w:tblCellMar>
          <w:top w:w="100" w:type="dxa"/>
          <w:start w:w="100" w:type="dxa"/>
          <w:bottom w:w="100" w:type="dxa"/>
          <w:end w:w="100" w:type="dxa"/>
        </w:tblCellMar>
        <w:tblLook w:val="04a0" w:noHBand="0" w:noVBand="1" w:firstColumn="1" w:lastRow="0" w:lastColumn="0" w:firstRow="1"/>
      </w:tblPr>
      <w:tblGrid>
        <w:gridCol w:w="3225"/>
        <w:gridCol w:w="7590"/>
      </w:tblGrid>
      <w:tr>
        <w:trPr>
          <w:trHeight w:val="840" w:hRule="atLeast"/>
        </w:trPr>
        <w:tc>
          <w:tcPr>
            <w:tcW w:w="3225" w:type="dxa"/>
            <w:tcBorders>
              <w:top w:val="single" w:sz="8" w:space="0" w:color="D9D9D9"/>
              <w:start w:val="single" w:sz="8" w:space="0" w:color="D9D9D9"/>
              <w:bottom w:val="single" w:sz="8" w:space="0" w:color="D9D9D9"/>
              <w:end w:val="single" w:sz="8" w:space="0" w:color="D9D9D9"/>
            </w:tcBorders>
            <w:shd w:color="auto" w:fill="auto" w:val="clear"/>
          </w:tcPr>
          <w:p>
            <w:pPr>
              <w:pStyle w:val="Normal"/>
              <w:widowControl w:val="false"/>
              <w:spacing w:lineRule="auto" w:line="240" w:before="0" w:after="0"/>
              <w:rPr>
                <w:rFonts w:ascii="Times New Roman" w:hAnsi="Times New Roman" w:cs="Times New Roman"/>
                <w:b/>
                <w:sz w:val="24"/>
                <w:szCs w:val="24"/>
              </w:rPr>
            </w:pPr>
            <w:r>
              <w:rPr>
                <w:rFonts w:cs="Times New Roman"/>
                <w:b/>
                <w:sz w:val="24"/>
                <w:szCs w:val="24"/>
              </w:rPr>
              <w:t>Наименование предмета закупки</w:t>
            </w:r>
          </w:p>
        </w:tc>
        <w:tc>
          <w:tcPr>
            <w:tcW w:w="7590" w:type="dxa"/>
            <w:tcBorders>
              <w:top w:val="single" w:sz="8" w:space="0" w:color="D9D9D9"/>
              <w:start w:val="single" w:sz="8" w:space="0" w:color="D9D9D9"/>
              <w:bottom w:val="single" w:sz="8" w:space="0" w:color="D9D9D9"/>
              <w:end w:val="single" w:sz="8" w:space="0" w:color="D9D9D9"/>
            </w:tcBorders>
            <w:shd w:color="auto" w:fill="auto" w:val="clear"/>
          </w:tcPr>
          <w:p>
            <w:pPr>
              <w:pStyle w:val="Normal"/>
              <w:spacing w:lineRule="auto" w:line="240" w:before="0" w:after="0"/>
              <w:ind w:end="180"/>
              <w:jc w:val="both"/>
              <w:rPr>
                <w:rFonts w:ascii="Times New Roman" w:hAnsi="Times New Roman" w:cs="Times New Roman"/>
                <w:color w:val="030202"/>
                <w:sz w:val="24"/>
                <w:szCs w:val="24"/>
              </w:rPr>
            </w:pPr>
            <w:r>
              <w:rPr>
                <w:rFonts w:cs="Times New Roman"/>
                <w:color w:val="030202"/>
                <w:sz w:val="24"/>
                <w:szCs w:val="24"/>
              </w:rPr>
              <w:t>На оказание платных образовательных услуг по программе</w:t>
            </w:r>
          </w:p>
          <w:p>
            <w:pPr>
              <w:pStyle w:val="Normal"/>
              <w:spacing w:lineRule="auto" w:line="240" w:before="0" w:after="0"/>
              <w:ind w:end="180"/>
              <w:jc w:val="both"/>
              <w:rPr>
                <w:rFonts w:ascii="Times New Roman" w:hAnsi="Times New Roman" w:cs="Times New Roman"/>
                <w:color w:val="030202"/>
                <w:sz w:val="24"/>
                <w:szCs w:val="24"/>
              </w:rPr>
            </w:pPr>
            <w:r>
              <w:rPr>
                <w:rFonts w:cs="Times New Roman"/>
                <w:color w:val="030202"/>
                <w:sz w:val="24"/>
                <w:szCs w:val="24"/>
              </w:rPr>
              <w:t>повышения квалификации в Международной школе бизнеса</w:t>
            </w:r>
          </w:p>
          <w:p>
            <w:pPr>
              <w:pStyle w:val="Normal"/>
              <w:spacing w:lineRule="auto" w:line="240" w:before="0" w:after="0"/>
              <w:ind w:end="180"/>
              <w:jc w:val="both"/>
              <w:rPr>
                <w:rFonts w:ascii="Times New Roman" w:hAnsi="Times New Roman" w:cs="Times New Roman"/>
                <w:color w:val="030202"/>
                <w:sz w:val="24"/>
                <w:szCs w:val="24"/>
              </w:rPr>
            </w:pPr>
            <w:r>
              <w:rPr>
                <w:rFonts w:cs="Times New Roman"/>
                <w:color w:val="030202"/>
                <w:sz w:val="24"/>
                <w:szCs w:val="24"/>
              </w:rPr>
              <w:t>(Институте) Финансового университета</w:t>
            </w:r>
          </w:p>
        </w:tc>
      </w:tr>
      <w:tr>
        <w:trPr/>
        <w:tc>
          <w:tcPr>
            <w:tcW w:w="3225" w:type="dxa"/>
            <w:tcBorders>
              <w:top w:val="single" w:sz="8" w:space="0" w:color="D9D9D9"/>
              <w:start w:val="single" w:sz="8" w:space="0" w:color="D9D9D9"/>
              <w:bottom w:val="single" w:sz="8" w:space="0" w:color="D9D9D9"/>
              <w:end w:val="single" w:sz="8" w:space="0" w:color="D9D9D9"/>
            </w:tcBorders>
            <w:shd w:color="auto" w:fill="auto" w:val="clear"/>
          </w:tcPr>
          <w:p>
            <w:pPr>
              <w:pStyle w:val="Normal"/>
              <w:widowControl w:val="false"/>
              <w:spacing w:lineRule="auto" w:line="240" w:before="0" w:after="0"/>
              <w:rPr>
                <w:rFonts w:ascii="Times New Roman" w:hAnsi="Times New Roman" w:cs="Times New Roman"/>
                <w:b/>
                <w:sz w:val="24"/>
                <w:szCs w:val="24"/>
              </w:rPr>
            </w:pPr>
            <w:r>
              <w:rPr>
                <w:rFonts w:cs="Times New Roman"/>
                <w:b/>
                <w:sz w:val="24"/>
                <w:szCs w:val="24"/>
              </w:rPr>
              <w:t>Состав объекта закупки</w:t>
            </w:r>
          </w:p>
        </w:tc>
        <w:tc>
          <w:tcPr>
            <w:tcW w:w="7590" w:type="dxa"/>
            <w:tcBorders>
              <w:top w:val="single" w:sz="8" w:space="0" w:color="D9D9D9"/>
              <w:start w:val="single" w:sz="8" w:space="0" w:color="D9D9D9"/>
              <w:bottom w:val="single" w:sz="8" w:space="0" w:color="D9D9D9"/>
              <w:end w:val="single" w:sz="8" w:space="0" w:color="D9D9D9"/>
            </w:tcBorders>
            <w:shd w:color="auto" w:fill="auto" w:val="clear"/>
          </w:tcPr>
          <w:p>
            <w:pPr>
              <w:pStyle w:val="Normal"/>
              <w:spacing w:lineRule="auto" w:line="240" w:before="0" w:after="0"/>
              <w:rPr>
                <w:rFonts w:ascii="Times New Roman" w:hAnsi="Times New Roman" w:cs="Times New Roman"/>
                <w:sz w:val="24"/>
                <w:szCs w:val="24"/>
              </w:rPr>
            </w:pPr>
            <w:r>
              <w:rPr>
                <w:rFonts w:cs="Times New Roman"/>
                <w:sz w:val="24"/>
                <w:szCs w:val="24"/>
              </w:rPr>
              <w:t>В программу Семинара должны входить следующие темы:</w:t>
            </w:r>
          </w:p>
          <w:p>
            <w:pPr>
              <w:pStyle w:val="Normal"/>
              <w:spacing w:lineRule="auto" w:line="240" w:before="0" w:after="0"/>
              <w:rPr>
                <w:rFonts w:ascii="Times New Roman" w:hAnsi="Times New Roman" w:cs="Times New Roman"/>
                <w:sz w:val="24"/>
                <w:szCs w:val="24"/>
              </w:rPr>
            </w:pPr>
            <w:r>
              <w:rPr>
                <w:rFonts w:cs="Times New Roman"/>
                <w:sz w:val="24"/>
                <w:szCs w:val="24"/>
              </w:rPr>
            </w:r>
          </w:p>
          <w:p>
            <w:pPr>
              <w:pStyle w:val="Normal"/>
              <w:numPr>
                <w:ilvl w:val="0"/>
                <w:numId w:val="2"/>
              </w:numPr>
              <w:suppressAutoHyphens w:val="true"/>
              <w:spacing w:lineRule="auto" w:line="240" w:before="0" w:after="0"/>
              <w:contextualSpacing/>
              <w:rPr>
                <w:rFonts w:ascii="Times New Roman" w:hAnsi="Times New Roman" w:cs="Times New Roman"/>
                <w:sz w:val="24"/>
                <w:szCs w:val="24"/>
              </w:rPr>
            </w:pPr>
            <w:r>
              <w:rPr>
                <w:rFonts w:cs="Times New Roman"/>
                <w:sz w:val="24"/>
                <w:szCs w:val="24"/>
              </w:rPr>
              <w:t>Актуальные изменения в законодательстве Российской Федерации. Новые инструменты Федерального казначейства;</w:t>
            </w:r>
          </w:p>
          <w:p>
            <w:pPr>
              <w:pStyle w:val="Normal"/>
              <w:numPr>
                <w:ilvl w:val="0"/>
                <w:numId w:val="2"/>
              </w:numPr>
              <w:suppressAutoHyphens w:val="true"/>
              <w:spacing w:lineRule="auto" w:line="240" w:before="0" w:after="0"/>
              <w:contextualSpacing/>
              <w:rPr>
                <w:rFonts w:ascii="Times New Roman" w:hAnsi="Times New Roman" w:cs="Times New Roman"/>
                <w:sz w:val="24"/>
                <w:szCs w:val="24"/>
              </w:rPr>
            </w:pPr>
            <w:r>
              <w:rPr>
                <w:rFonts w:cs="Times New Roman"/>
                <w:sz w:val="24"/>
                <w:szCs w:val="24"/>
              </w:rPr>
              <w:t>Казначейские технологии проведения и учета операций на лицевых счетах в Федеральном казначействе;</w:t>
            </w:r>
          </w:p>
          <w:p>
            <w:pPr>
              <w:pStyle w:val="Normal"/>
              <w:numPr>
                <w:ilvl w:val="0"/>
                <w:numId w:val="2"/>
              </w:numPr>
              <w:suppressAutoHyphens w:val="true"/>
              <w:spacing w:lineRule="auto" w:line="240" w:before="0" w:after="0"/>
              <w:contextualSpacing/>
              <w:rPr>
                <w:rFonts w:ascii="Times New Roman" w:hAnsi="Times New Roman" w:cs="Times New Roman"/>
                <w:sz w:val="24"/>
                <w:szCs w:val="24"/>
              </w:rPr>
            </w:pPr>
            <w:r>
              <w:rPr>
                <w:rFonts w:cs="Times New Roman"/>
                <w:sz w:val="24"/>
                <w:szCs w:val="24"/>
              </w:rPr>
              <w:t>Аудит и контроль деятельности казенных учреждений, обзор нарушений, выявляемых при проверке планирования и осуществления хозяйственной деятельности учреждения;</w:t>
            </w:r>
          </w:p>
          <w:p>
            <w:pPr>
              <w:pStyle w:val="Normal"/>
              <w:numPr>
                <w:ilvl w:val="0"/>
                <w:numId w:val="2"/>
              </w:numPr>
              <w:suppressAutoHyphens w:val="true"/>
              <w:spacing w:lineRule="auto" w:line="240" w:before="0" w:after="0"/>
              <w:contextualSpacing/>
              <w:rPr>
                <w:rFonts w:ascii="Times New Roman" w:hAnsi="Times New Roman" w:cs="Times New Roman"/>
                <w:sz w:val="24"/>
                <w:szCs w:val="24"/>
              </w:rPr>
            </w:pPr>
            <w:r>
              <w:rPr>
                <w:rFonts w:cs="Times New Roman"/>
                <w:sz w:val="24"/>
                <w:szCs w:val="24"/>
              </w:rPr>
              <w:t>Вопросы правоприменительной практики законодательства о контрактной системе с учетом изменений. Обзор результатов контрольной деятельности по итогам рассмотрения жалоб, проведения внеплановых и плановых проверок;</w:t>
            </w:r>
          </w:p>
          <w:p>
            <w:pPr>
              <w:pStyle w:val="Normal"/>
              <w:numPr>
                <w:ilvl w:val="0"/>
                <w:numId w:val="2"/>
              </w:numPr>
              <w:suppressAutoHyphens w:val="true"/>
              <w:spacing w:lineRule="auto" w:line="240" w:before="0" w:after="0"/>
              <w:contextualSpacing/>
              <w:rPr>
                <w:rFonts w:ascii="Times New Roman" w:hAnsi="Times New Roman" w:cs="Times New Roman"/>
                <w:sz w:val="24"/>
                <w:szCs w:val="24"/>
              </w:rPr>
            </w:pPr>
            <w:r>
              <w:rPr>
                <w:rFonts w:cs="Times New Roman"/>
                <w:sz w:val="24"/>
                <w:szCs w:val="24"/>
              </w:rPr>
              <w:t>Новации бухгалтерского учета организаций бюджетной сферы;</w:t>
            </w:r>
          </w:p>
          <w:p>
            <w:pPr>
              <w:pStyle w:val="Normal"/>
              <w:numPr>
                <w:ilvl w:val="0"/>
                <w:numId w:val="2"/>
              </w:numPr>
              <w:suppressAutoHyphens w:val="true"/>
              <w:spacing w:lineRule="auto" w:line="240" w:before="0" w:after="0"/>
              <w:contextualSpacing/>
              <w:rPr>
                <w:rFonts w:ascii="Times New Roman" w:hAnsi="Times New Roman" w:cs="Times New Roman"/>
                <w:sz w:val="24"/>
                <w:szCs w:val="24"/>
              </w:rPr>
            </w:pPr>
            <w:r>
              <w:rPr>
                <w:rFonts w:cs="Times New Roman"/>
                <w:sz w:val="24"/>
                <w:szCs w:val="24"/>
              </w:rPr>
              <w:t>Реорганизация. Порядок приемки-передачи активов и обязательств, показателей забалансового учета. Ключевые вопросы и особенности;</w:t>
            </w:r>
          </w:p>
          <w:p>
            <w:pPr>
              <w:pStyle w:val="Normal"/>
              <w:numPr>
                <w:ilvl w:val="0"/>
                <w:numId w:val="2"/>
              </w:numPr>
              <w:suppressAutoHyphens w:val="true"/>
              <w:spacing w:lineRule="auto" w:line="240" w:before="0" w:after="0"/>
              <w:contextualSpacing/>
              <w:rPr>
                <w:rFonts w:ascii="Times New Roman" w:hAnsi="Times New Roman" w:cs="Times New Roman"/>
                <w:sz w:val="24"/>
                <w:szCs w:val="24"/>
              </w:rPr>
            </w:pPr>
            <w:r>
              <w:rPr>
                <w:rFonts w:cs="Times New Roman"/>
                <w:sz w:val="24"/>
                <w:szCs w:val="24"/>
              </w:rPr>
              <w:t>Правовое регулирование оплаты труда.</w:t>
            </w:r>
          </w:p>
        </w:tc>
      </w:tr>
      <w:tr>
        <w:trPr/>
        <w:tc>
          <w:tcPr>
            <w:tcW w:w="3225" w:type="dxa"/>
            <w:tcBorders>
              <w:top w:val="single" w:sz="8" w:space="0" w:color="D9D9D9"/>
              <w:start w:val="single" w:sz="8" w:space="0" w:color="D9D9D9"/>
              <w:bottom w:val="single" w:sz="8" w:space="0" w:color="D9D9D9"/>
              <w:end w:val="single" w:sz="8" w:space="0" w:color="D9D9D9"/>
            </w:tcBorders>
            <w:shd w:color="auto" w:fill="auto" w:val="clear"/>
          </w:tcPr>
          <w:p>
            <w:pPr>
              <w:pStyle w:val="Normal"/>
              <w:widowControl w:val="false"/>
              <w:spacing w:lineRule="auto" w:line="240" w:before="0" w:after="0"/>
              <w:rPr>
                <w:rFonts w:ascii="Times New Roman" w:hAnsi="Times New Roman" w:cs="Times New Roman"/>
                <w:b/>
                <w:sz w:val="24"/>
                <w:szCs w:val="24"/>
              </w:rPr>
            </w:pPr>
            <w:r>
              <w:rPr>
                <w:rFonts w:cs="Times New Roman"/>
                <w:b/>
                <w:sz w:val="24"/>
                <w:szCs w:val="24"/>
              </w:rPr>
              <w:t>Требования</w:t>
            </w:r>
          </w:p>
        </w:tc>
        <w:tc>
          <w:tcPr>
            <w:tcW w:w="7590" w:type="dxa"/>
            <w:tcBorders>
              <w:top w:val="single" w:sz="8" w:space="0" w:color="D9D9D9"/>
              <w:start w:val="single" w:sz="8" w:space="0" w:color="D9D9D9"/>
              <w:bottom w:val="single" w:sz="8" w:space="0" w:color="D9D9D9"/>
              <w:end w:val="single" w:sz="8" w:space="0" w:color="D9D9D9"/>
            </w:tcBorders>
            <w:shd w:color="auto" w:fill="auto" w:val="clear"/>
          </w:tcPr>
          <w:p>
            <w:pPr>
              <w:pStyle w:val="Normal"/>
              <w:spacing w:lineRule="auto" w:line="240" w:before="0" w:after="0"/>
              <w:ind w:end="180"/>
              <w:rPr>
                <w:rFonts w:ascii="Times New Roman" w:hAnsi="Times New Roman" w:cs="Times New Roman"/>
                <w:sz w:val="24"/>
                <w:szCs w:val="24"/>
              </w:rPr>
            </w:pPr>
            <w:r>
              <w:rPr>
                <w:rFonts w:cs="Times New Roman"/>
                <w:sz w:val="24"/>
                <w:szCs w:val="24"/>
              </w:rPr>
              <w:t>Наличие лицензии на осуществление образовательной деятельности, дающей право оказывать образовательные услуги по дополнительному профессиональному образованию (в соответствии с постановлением Правительства РФ от 18.09.2020 № 1490 «О лицензировании образовательной деятельности»)</w:t>
            </w:r>
          </w:p>
        </w:tc>
      </w:tr>
      <w:tr>
        <w:trPr/>
        <w:tc>
          <w:tcPr>
            <w:tcW w:w="3225" w:type="dxa"/>
            <w:tcBorders>
              <w:top w:val="single" w:sz="8" w:space="0" w:color="D9D9D9"/>
              <w:start w:val="single" w:sz="8" w:space="0" w:color="D9D9D9"/>
              <w:bottom w:val="single" w:sz="8" w:space="0" w:color="D9D9D9"/>
              <w:end w:val="single" w:sz="8" w:space="0" w:color="D9D9D9"/>
            </w:tcBorders>
            <w:shd w:color="auto" w:fill="auto" w:val="clear"/>
          </w:tcPr>
          <w:p>
            <w:pPr>
              <w:pStyle w:val="Normal"/>
              <w:widowControl w:val="false"/>
              <w:spacing w:lineRule="auto" w:line="240" w:before="0" w:after="0"/>
              <w:rPr>
                <w:rFonts w:ascii="Times New Roman" w:hAnsi="Times New Roman" w:cs="Times New Roman"/>
                <w:b/>
                <w:sz w:val="24"/>
                <w:szCs w:val="24"/>
              </w:rPr>
            </w:pPr>
            <w:r>
              <w:rPr>
                <w:rFonts w:cs="Times New Roman"/>
                <w:b/>
                <w:sz w:val="24"/>
                <w:szCs w:val="24"/>
              </w:rPr>
              <w:t>Лекторский состав</w:t>
            </w:r>
          </w:p>
        </w:tc>
        <w:tc>
          <w:tcPr>
            <w:tcW w:w="7590" w:type="dxa"/>
            <w:tcBorders>
              <w:top w:val="single" w:sz="8" w:space="0" w:color="D9D9D9"/>
              <w:start w:val="single" w:sz="8" w:space="0" w:color="D9D9D9"/>
              <w:bottom w:val="single" w:sz="8" w:space="0" w:color="D9D9D9"/>
              <w:end w:val="single" w:sz="8" w:space="0" w:color="D9D9D9"/>
            </w:tcBorders>
            <w:shd w:color="auto" w:fill="auto" w:val="clear"/>
          </w:tcPr>
          <w:p>
            <w:pPr>
              <w:pStyle w:val="Normal"/>
              <w:spacing w:lineRule="auto" w:line="240" w:before="0" w:after="0"/>
              <w:ind w:end="180"/>
              <w:rPr>
                <w:rFonts w:ascii="Times New Roman" w:hAnsi="Times New Roman" w:cs="Times New Roman"/>
                <w:sz w:val="24"/>
                <w:szCs w:val="24"/>
              </w:rPr>
            </w:pPr>
            <w:r>
              <w:rPr>
                <w:rFonts w:cs="Times New Roman"/>
                <w:sz w:val="24"/>
                <w:szCs w:val="24"/>
              </w:rPr>
              <w:t xml:space="preserve">Представители Финансового университета, </w:t>
            </w:r>
            <w:bookmarkStart w:id="110" w:name="_GoBack_Копия_1"/>
            <w:bookmarkEnd w:id="110"/>
            <w:r>
              <w:rPr>
                <w:rFonts w:cs="Times New Roman"/>
                <w:sz w:val="24"/>
                <w:szCs w:val="24"/>
              </w:rPr>
              <w:t>Федерального казначейства, Минтруда России</w:t>
            </w:r>
          </w:p>
        </w:tc>
      </w:tr>
      <w:tr>
        <w:trPr/>
        <w:tc>
          <w:tcPr>
            <w:tcW w:w="3225" w:type="dxa"/>
            <w:tcBorders>
              <w:top w:val="single" w:sz="8" w:space="0" w:color="D9D9D9"/>
              <w:start w:val="single" w:sz="8" w:space="0" w:color="D9D9D9"/>
              <w:bottom w:val="single" w:sz="8" w:space="0" w:color="D9D9D9"/>
              <w:end w:val="single" w:sz="8" w:space="0" w:color="D9D9D9"/>
            </w:tcBorders>
            <w:shd w:color="auto" w:fill="auto" w:val="clear"/>
          </w:tcPr>
          <w:p>
            <w:pPr>
              <w:pStyle w:val="Normal"/>
              <w:widowControl w:val="false"/>
              <w:spacing w:lineRule="auto" w:line="240" w:before="0" w:after="0"/>
              <w:rPr>
                <w:rFonts w:ascii="Times New Roman" w:hAnsi="Times New Roman" w:cs="Times New Roman"/>
                <w:b/>
                <w:sz w:val="24"/>
                <w:szCs w:val="24"/>
              </w:rPr>
            </w:pPr>
            <w:r>
              <w:rPr>
                <w:rFonts w:cs="Times New Roman"/>
                <w:b/>
                <w:sz w:val="24"/>
                <w:szCs w:val="24"/>
              </w:rPr>
              <w:t>Место проведения мероприятия</w:t>
            </w:r>
          </w:p>
        </w:tc>
        <w:tc>
          <w:tcPr>
            <w:tcW w:w="7590" w:type="dxa"/>
            <w:tcBorders>
              <w:top w:val="single" w:sz="8" w:space="0" w:color="D9D9D9"/>
              <w:start w:val="single" w:sz="8" w:space="0" w:color="D9D9D9"/>
              <w:bottom w:val="single" w:sz="8" w:space="0" w:color="D9D9D9"/>
              <w:end w:val="single" w:sz="8" w:space="0" w:color="D9D9D9"/>
            </w:tcBorders>
            <w:shd w:color="auto" w:fill="auto" w:val="clear"/>
          </w:tcPr>
          <w:p>
            <w:pPr>
              <w:pStyle w:val="Normal"/>
              <w:spacing w:lineRule="auto" w:line="240" w:before="0" w:after="0"/>
              <w:ind w:end="180"/>
              <w:rPr>
                <w:rFonts w:ascii="Times New Roman" w:hAnsi="Times New Roman" w:cs="Times New Roman"/>
                <w:sz w:val="24"/>
                <w:szCs w:val="24"/>
              </w:rPr>
            </w:pPr>
            <w:r>
              <w:rPr>
                <w:rFonts w:cs="Times New Roman"/>
                <w:sz w:val="24"/>
                <w:szCs w:val="24"/>
              </w:rPr>
              <w:t>Территория исполнителя</w:t>
            </w:r>
          </w:p>
        </w:tc>
      </w:tr>
      <w:tr>
        <w:trPr/>
        <w:tc>
          <w:tcPr>
            <w:tcW w:w="3225" w:type="dxa"/>
            <w:tcBorders>
              <w:top w:val="single" w:sz="8" w:space="0" w:color="D9D9D9"/>
              <w:start w:val="single" w:sz="8" w:space="0" w:color="D9D9D9"/>
              <w:bottom w:val="single" w:sz="8" w:space="0" w:color="D9D9D9"/>
              <w:end w:val="single" w:sz="8" w:space="0" w:color="D9D9D9"/>
            </w:tcBorders>
            <w:shd w:color="auto" w:fill="auto" w:val="clear"/>
          </w:tcPr>
          <w:p>
            <w:pPr>
              <w:pStyle w:val="Normal"/>
              <w:widowControl w:val="false"/>
              <w:spacing w:lineRule="auto" w:line="240" w:before="0" w:after="0"/>
              <w:rPr>
                <w:rFonts w:ascii="Times New Roman" w:hAnsi="Times New Roman" w:cs="Times New Roman"/>
                <w:b/>
                <w:sz w:val="24"/>
                <w:szCs w:val="24"/>
              </w:rPr>
            </w:pPr>
            <w:r>
              <w:rPr>
                <w:rFonts w:cs="Times New Roman"/>
                <w:b/>
                <w:sz w:val="24"/>
                <w:szCs w:val="24"/>
              </w:rPr>
              <w:t>Срок оказания услуг</w:t>
            </w:r>
          </w:p>
        </w:tc>
        <w:tc>
          <w:tcPr>
            <w:tcW w:w="7590" w:type="dxa"/>
            <w:tcBorders>
              <w:top w:val="single" w:sz="8" w:space="0" w:color="D9D9D9"/>
              <w:start w:val="single" w:sz="8" w:space="0" w:color="D9D9D9"/>
              <w:bottom w:val="single" w:sz="8" w:space="0" w:color="D9D9D9"/>
              <w:end w:val="single" w:sz="8" w:space="0" w:color="D9D9D9"/>
            </w:tcBorders>
            <w:shd w:color="auto" w:fill="auto" w:val="clear"/>
          </w:tcPr>
          <w:p>
            <w:pPr>
              <w:pStyle w:val="Normal"/>
              <w:spacing w:lineRule="auto" w:line="240" w:before="0" w:after="0"/>
              <w:ind w:end="180"/>
              <w:rPr>
                <w:rFonts w:ascii="Times New Roman" w:hAnsi="Times New Roman" w:cs="Times New Roman"/>
                <w:sz w:val="24"/>
                <w:szCs w:val="24"/>
              </w:rPr>
            </w:pPr>
            <w:r>
              <w:rPr>
                <w:rFonts w:cs="Times New Roman"/>
                <w:sz w:val="24"/>
                <w:szCs w:val="24"/>
              </w:rPr>
              <w:t>с 01 октября 2026 г. по 02 октября 2026 г.</w:t>
            </w:r>
          </w:p>
        </w:tc>
      </w:tr>
      <w:tr>
        <w:trPr/>
        <w:tc>
          <w:tcPr>
            <w:tcW w:w="3225" w:type="dxa"/>
            <w:tcBorders>
              <w:top w:val="single" w:sz="8" w:space="0" w:color="D9D9D9"/>
              <w:start w:val="single" w:sz="8" w:space="0" w:color="D9D9D9"/>
              <w:bottom w:val="single" w:sz="8" w:space="0" w:color="D9D9D9"/>
              <w:end w:val="single" w:sz="8" w:space="0" w:color="D9D9D9"/>
            </w:tcBorders>
            <w:shd w:color="auto" w:fill="auto" w:val="clear"/>
          </w:tcPr>
          <w:p>
            <w:pPr>
              <w:pStyle w:val="Normal"/>
              <w:spacing w:lineRule="auto" w:line="240" w:before="0" w:after="0"/>
              <w:rPr>
                <w:rFonts w:ascii="Times New Roman" w:hAnsi="Times New Roman" w:cs="Times New Roman"/>
                <w:b/>
                <w:sz w:val="24"/>
                <w:szCs w:val="24"/>
              </w:rPr>
            </w:pPr>
            <w:r>
              <w:rPr>
                <w:rFonts w:cs="Times New Roman"/>
                <w:b/>
                <w:sz w:val="24"/>
                <w:szCs w:val="24"/>
              </w:rPr>
              <w:t>Объём, форма обучения</w:t>
            </w:r>
          </w:p>
        </w:tc>
        <w:tc>
          <w:tcPr>
            <w:tcW w:w="7590" w:type="dxa"/>
            <w:tcBorders>
              <w:top w:val="single" w:sz="8" w:space="0" w:color="D9D9D9"/>
              <w:start w:val="single" w:sz="8" w:space="0" w:color="D9D9D9"/>
              <w:bottom w:val="single" w:sz="8" w:space="0" w:color="D9D9D9"/>
              <w:end w:val="single" w:sz="8" w:space="0" w:color="D9D9D9"/>
            </w:tcBorders>
            <w:shd w:color="auto" w:fill="auto" w:val="clear"/>
          </w:tcPr>
          <w:p>
            <w:pPr>
              <w:pStyle w:val="Normal"/>
              <w:spacing w:lineRule="auto" w:line="240" w:before="0" w:after="0"/>
              <w:rPr>
                <w:rFonts w:ascii="Times New Roman" w:hAnsi="Times New Roman" w:cs="Times New Roman"/>
                <w:sz w:val="24"/>
                <w:szCs w:val="24"/>
              </w:rPr>
            </w:pPr>
            <w:r>
              <w:rPr>
                <w:rFonts w:cs="Times New Roman"/>
                <w:sz w:val="24"/>
                <w:szCs w:val="24"/>
              </w:rPr>
              <w:t>Объём: 26 академических часов.</w:t>
            </w:r>
          </w:p>
          <w:p>
            <w:pPr>
              <w:pStyle w:val="Normal"/>
              <w:spacing w:lineRule="auto" w:line="240" w:before="0" w:after="0"/>
              <w:rPr>
                <w:rFonts w:ascii="Times New Roman" w:hAnsi="Times New Roman" w:cs="Times New Roman"/>
                <w:sz w:val="24"/>
                <w:szCs w:val="24"/>
              </w:rPr>
            </w:pPr>
            <w:r>
              <w:rPr>
                <w:rFonts w:cs="Times New Roman"/>
                <w:sz w:val="24"/>
                <w:szCs w:val="24"/>
              </w:rPr>
              <w:t>Форма обучения: очная (без применения дистанционных технологий)</w:t>
            </w:r>
          </w:p>
        </w:tc>
      </w:tr>
      <w:tr>
        <w:trPr/>
        <w:tc>
          <w:tcPr>
            <w:tcW w:w="3225" w:type="dxa"/>
            <w:tcBorders>
              <w:top w:val="single" w:sz="8" w:space="0" w:color="D9D9D9"/>
              <w:start w:val="single" w:sz="8" w:space="0" w:color="D9D9D9"/>
              <w:bottom w:val="single" w:sz="8" w:space="0" w:color="D9D9D9"/>
              <w:end w:val="single" w:sz="8" w:space="0" w:color="D9D9D9"/>
            </w:tcBorders>
            <w:shd w:color="auto" w:fill="auto" w:val="clear"/>
          </w:tcPr>
          <w:p>
            <w:pPr>
              <w:pStyle w:val="Normal"/>
              <w:widowControl w:val="false"/>
              <w:spacing w:lineRule="auto" w:line="240" w:before="0" w:after="0"/>
              <w:rPr>
                <w:rFonts w:ascii="Times New Roman" w:hAnsi="Times New Roman" w:cs="Times New Roman"/>
                <w:b/>
                <w:sz w:val="24"/>
                <w:szCs w:val="24"/>
              </w:rPr>
            </w:pPr>
            <w:r>
              <w:rPr>
                <w:rFonts w:cs="Times New Roman"/>
                <w:b/>
                <w:sz w:val="24"/>
                <w:szCs w:val="24"/>
              </w:rPr>
              <w:t>Результат оказания услуг</w:t>
            </w:r>
          </w:p>
        </w:tc>
        <w:tc>
          <w:tcPr>
            <w:tcW w:w="7590" w:type="dxa"/>
            <w:tcBorders>
              <w:top w:val="single" w:sz="8" w:space="0" w:color="D9D9D9"/>
              <w:start w:val="single" w:sz="8" w:space="0" w:color="D9D9D9"/>
              <w:bottom w:val="single" w:sz="8" w:space="0" w:color="D9D9D9"/>
              <w:end w:val="single" w:sz="8" w:space="0" w:color="D9D9D9"/>
            </w:tcBorders>
            <w:shd w:color="auto" w:fill="auto" w:val="clear"/>
          </w:tcPr>
          <w:p>
            <w:pPr>
              <w:pStyle w:val="Normal"/>
              <w:spacing w:lineRule="auto" w:line="240" w:before="0" w:after="0"/>
              <w:ind w:end="180"/>
              <w:rPr>
                <w:rFonts w:ascii="Times New Roman" w:hAnsi="Times New Roman" w:cs="Times New Roman"/>
                <w:sz w:val="24"/>
                <w:szCs w:val="24"/>
              </w:rPr>
            </w:pPr>
            <w:r>
              <w:rPr>
                <w:rFonts w:cs="Times New Roman"/>
                <w:sz w:val="24"/>
                <w:szCs w:val="24"/>
              </w:rPr>
              <w:t>Сертификат, подтверждающий участие в конференции</w:t>
            </w:r>
          </w:p>
        </w:tc>
      </w:tr>
      <w:tr>
        <w:trPr>
          <w:trHeight w:val="404" w:hRule="atLeast"/>
        </w:trPr>
        <w:tc>
          <w:tcPr>
            <w:tcW w:w="3225" w:type="dxa"/>
            <w:tcBorders>
              <w:top w:val="single" w:sz="8" w:space="0" w:color="D9D9D9"/>
              <w:start w:val="single" w:sz="8" w:space="0" w:color="D9D9D9"/>
              <w:bottom w:val="single" w:sz="8" w:space="0" w:color="D9D9D9"/>
              <w:end w:val="single" w:sz="8" w:space="0" w:color="D9D9D9"/>
            </w:tcBorders>
            <w:shd w:color="auto" w:fill="auto" w:val="clear"/>
          </w:tcPr>
          <w:p>
            <w:pPr>
              <w:pStyle w:val="Normal"/>
              <w:widowControl w:val="false"/>
              <w:spacing w:lineRule="auto" w:line="240" w:before="0" w:after="0"/>
              <w:rPr>
                <w:rFonts w:ascii="Times New Roman" w:hAnsi="Times New Roman" w:cs="Times New Roman"/>
                <w:b/>
                <w:sz w:val="24"/>
                <w:szCs w:val="24"/>
              </w:rPr>
            </w:pPr>
            <w:r>
              <w:rPr>
                <w:rFonts w:cs="Times New Roman"/>
                <w:b/>
                <w:sz w:val="24"/>
                <w:szCs w:val="24"/>
              </w:rPr>
              <w:t>Количество участников</w:t>
            </w:r>
          </w:p>
        </w:tc>
        <w:tc>
          <w:tcPr>
            <w:tcW w:w="7590" w:type="dxa"/>
            <w:tcBorders>
              <w:top w:val="single" w:sz="8" w:space="0" w:color="D9D9D9"/>
              <w:start w:val="single" w:sz="8" w:space="0" w:color="D9D9D9"/>
              <w:bottom w:val="single" w:sz="8" w:space="0" w:color="D9D9D9"/>
              <w:end w:val="single" w:sz="8" w:space="0" w:color="D9D9D9"/>
            </w:tcBorders>
            <w:shd w:color="auto" w:fill="auto" w:val="clear"/>
          </w:tcPr>
          <w:p>
            <w:pPr>
              <w:pStyle w:val="Normal"/>
              <w:spacing w:lineRule="auto" w:line="240" w:before="0" w:after="0"/>
              <w:rPr>
                <w:rFonts w:ascii="Times New Roman" w:hAnsi="Times New Roman" w:cs="Times New Roman"/>
                <w:sz w:val="24"/>
                <w:szCs w:val="24"/>
              </w:rPr>
            </w:pPr>
            <w:r>
              <w:rPr>
                <w:rFonts w:cs="Times New Roman"/>
                <w:sz w:val="24"/>
                <w:szCs w:val="24"/>
              </w:rPr>
              <w:t>4</w:t>
            </w:r>
          </w:p>
        </w:tc>
      </w:tr>
    </w:tbl>
    <w:p>
      <w:pPr>
        <w:sectPr>
          <w:footerReference w:type="even" r:id="rId4"/>
          <w:footerReference w:type="default" r:id="rId5"/>
          <w:footerReference w:type="first" r:id="rId6"/>
          <w:type w:val="nextPage"/>
          <w:pgSz w:w="11906" w:h="16838"/>
          <w:pgMar w:left="1701" w:right="850" w:gutter="0" w:header="0" w:top="426" w:footer="708" w:bottom="1134"/>
          <w:pgNumType w:fmt="decimal"/>
          <w:formProt w:val="false"/>
          <w:textDirection w:val="lrTb"/>
          <w:docGrid w:type="default" w:linePitch="360" w:charSpace="0"/>
        </w:sectPr>
        <w:pStyle w:val="Normal"/>
        <w:spacing w:lineRule="auto" w:line="240" w:before="0" w:after="200"/>
        <w:rPr>
          <w:rFonts w:ascii="Times New Roman" w:hAnsi="Times New Roman" w:cs="Times New Roman"/>
          <w:sz w:val="24"/>
          <w:szCs w:val="24"/>
        </w:rPr>
      </w:pPr>
      <w:r>
        <w:rPr>
          <w:rFonts w:cs="Times New Roman"/>
          <w:sz w:val="24"/>
          <w:szCs w:val="24"/>
        </w:rPr>
      </w:r>
    </w:p>
    <w:p>
      <w:pPr>
        <w:pStyle w:val="Normal"/>
        <w:jc w:val="end"/>
        <w:rPr>
          <w:rFonts w:ascii="Times New Roman" w:hAnsi="Times New Roman"/>
          <w:sz w:val="24"/>
          <w:szCs w:val="24"/>
        </w:rPr>
      </w:pPr>
      <w:r>
        <w:rPr>
          <w:sz w:val="24"/>
          <w:szCs w:val="24"/>
        </w:rPr>
        <w:t>Приложение № 2                                                                                                                                                                                                                                               к Государственному контракту</w:t>
      </w:r>
    </w:p>
    <w:p>
      <w:pPr>
        <w:pStyle w:val="Normal"/>
        <w:jc w:val="end"/>
        <w:rPr>
          <w:rFonts w:ascii="Times New Roman" w:hAnsi="Times New Roman"/>
          <w:sz w:val="24"/>
          <w:szCs w:val="24"/>
        </w:rPr>
      </w:pPr>
      <w:r>
        <w:rPr>
          <w:sz w:val="24"/>
          <w:szCs w:val="24"/>
        </w:rPr>
        <w:t>от «____» ________ 2026 г. № ___/МТННА</w:t>
      </w:r>
      <w:bookmarkStart w:id="111" w:name="_GoBack"/>
      <w:bookmarkEnd w:id="111"/>
      <w:r>
        <w:rPr>
          <w:sz w:val="24"/>
          <w:szCs w:val="24"/>
        </w:rPr>
        <w:t>-26/Ю</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b/>
          <w:sz w:val="24"/>
          <w:szCs w:val="24"/>
        </w:rPr>
      </w:pPr>
      <w:r>
        <w:rPr>
          <w:b/>
          <w:sz w:val="24"/>
          <w:szCs w:val="24"/>
        </w:rPr>
        <w:t xml:space="preserve">Список </w:t>
      </w:r>
      <w:r>
        <w:rPr>
          <w:rFonts w:eastAsia="Times New Roman"/>
          <w:b/>
          <w:sz w:val="24"/>
          <w:szCs w:val="24"/>
          <w:lang w:eastAsia="ru-RU"/>
        </w:rPr>
        <w:t>слушателей, подлежащих обучению</w:t>
      </w:r>
    </w:p>
    <w:p>
      <w:pPr>
        <w:pStyle w:val="Normal"/>
        <w:rPr>
          <w:rFonts w:ascii="Times New Roman" w:hAnsi="Times New Roman"/>
          <w:sz w:val="24"/>
          <w:szCs w:val="24"/>
        </w:rPr>
      </w:pPr>
      <w:r>
        <w:rPr>
          <w:sz w:val="24"/>
          <w:szCs w:val="24"/>
        </w:rPr>
      </w:r>
    </w:p>
    <w:tbl>
      <w:tblPr>
        <w:tblW w:w="16019" w:type="dxa"/>
        <w:jc w:val="start"/>
        <w:tblInd w:w="-459" w:type="dxa"/>
        <w:tblLayout w:type="fixed"/>
        <w:tblCellMar>
          <w:top w:w="0" w:type="dxa"/>
          <w:start w:w="108" w:type="dxa"/>
          <w:bottom w:w="0" w:type="dxa"/>
          <w:end w:w="108" w:type="dxa"/>
        </w:tblCellMar>
        <w:tblLook w:val="01e0" w:noHBand="0" w:noVBand="0" w:firstColumn="1" w:lastRow="1" w:lastColumn="1" w:firstRow="1"/>
      </w:tblPr>
      <w:tblGrid>
        <w:gridCol w:w="560"/>
        <w:gridCol w:w="2134"/>
        <w:gridCol w:w="1134"/>
        <w:gridCol w:w="992"/>
        <w:gridCol w:w="1417"/>
        <w:gridCol w:w="1133"/>
        <w:gridCol w:w="1419"/>
        <w:gridCol w:w="1134"/>
        <w:gridCol w:w="2126"/>
        <w:gridCol w:w="1275"/>
        <w:gridCol w:w="1559"/>
        <w:gridCol w:w="1136"/>
      </w:tblGrid>
      <w:tr>
        <w:trPr/>
        <w:tc>
          <w:tcPr>
            <w:tcW w:w="560"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jc w:val="center"/>
              <w:rPr>
                <w:rFonts w:ascii="Times New Roman" w:hAnsi="Times New Roman"/>
                <w:b/>
                <w:sz w:val="20"/>
                <w:szCs w:val="20"/>
              </w:rPr>
            </w:pPr>
            <w:r>
              <w:rPr>
                <w:b/>
                <w:sz w:val="20"/>
                <w:szCs w:val="20"/>
              </w:rPr>
              <w:t xml:space="preserve">№ </w:t>
            </w:r>
            <w:r>
              <w:rPr>
                <w:b/>
                <w:sz w:val="20"/>
                <w:szCs w:val="20"/>
              </w:rPr>
              <w:t>п/п</w:t>
            </w:r>
          </w:p>
        </w:tc>
        <w:tc>
          <w:tcPr>
            <w:tcW w:w="2134"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jc w:val="center"/>
              <w:rPr>
                <w:rFonts w:ascii="Times New Roman" w:hAnsi="Times New Roman"/>
                <w:b/>
                <w:sz w:val="20"/>
                <w:szCs w:val="20"/>
              </w:rPr>
            </w:pPr>
            <w:r>
              <w:rPr>
                <w:b/>
                <w:sz w:val="20"/>
                <w:szCs w:val="20"/>
              </w:rPr>
              <w:t>ФИО</w:t>
            </w:r>
          </w:p>
        </w:tc>
        <w:tc>
          <w:tcPr>
            <w:tcW w:w="1134"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jc w:val="center"/>
              <w:rPr>
                <w:rFonts w:ascii="Times New Roman" w:hAnsi="Times New Roman"/>
                <w:b/>
                <w:sz w:val="20"/>
                <w:szCs w:val="20"/>
              </w:rPr>
            </w:pPr>
            <w:r>
              <w:rPr>
                <w:b/>
                <w:sz w:val="20"/>
                <w:szCs w:val="20"/>
              </w:rPr>
              <w:t>Дата рождения</w:t>
            </w:r>
          </w:p>
        </w:tc>
        <w:tc>
          <w:tcPr>
            <w:tcW w:w="992"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jc w:val="center"/>
              <w:rPr>
                <w:rFonts w:ascii="Times New Roman" w:hAnsi="Times New Roman"/>
                <w:b/>
                <w:sz w:val="20"/>
                <w:szCs w:val="20"/>
              </w:rPr>
            </w:pPr>
            <w:r>
              <w:rPr>
                <w:b/>
                <w:sz w:val="20"/>
                <w:szCs w:val="20"/>
              </w:rPr>
              <w:t>СНИЛС</w:t>
            </w:r>
          </w:p>
        </w:tc>
        <w:tc>
          <w:tcPr>
            <w:tcW w:w="5103"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jc w:val="center"/>
              <w:rPr>
                <w:rFonts w:ascii="Times New Roman" w:hAnsi="Times New Roman"/>
                <w:b/>
                <w:sz w:val="20"/>
                <w:szCs w:val="20"/>
              </w:rPr>
            </w:pPr>
            <w:r>
              <w:rPr>
                <w:b/>
                <w:sz w:val="20"/>
                <w:szCs w:val="20"/>
              </w:rPr>
              <w:t>Паспортные данные</w:t>
            </w:r>
          </w:p>
        </w:tc>
        <w:tc>
          <w:tcPr>
            <w:tcW w:w="2126"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0"/>
                <w:szCs w:val="20"/>
              </w:rPr>
            </w:pPr>
            <w:r>
              <w:rPr>
                <w:b/>
                <w:sz w:val="20"/>
                <w:szCs w:val="20"/>
              </w:rPr>
              <w:t>Адрес места регистрации (жительства)</w:t>
            </w:r>
          </w:p>
        </w:tc>
        <w:tc>
          <w:tcPr>
            <w:tcW w:w="1275"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0"/>
                <w:szCs w:val="20"/>
              </w:rPr>
            </w:pPr>
            <w:r>
              <w:rPr>
                <w:b/>
                <w:sz w:val="20"/>
                <w:szCs w:val="20"/>
              </w:rPr>
              <w:t>Телефон</w:t>
            </w:r>
          </w:p>
        </w:tc>
        <w:tc>
          <w:tcPr>
            <w:tcW w:w="1559"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0"/>
                <w:szCs w:val="20"/>
                <w:lang w:val="en-US"/>
              </w:rPr>
            </w:pPr>
            <w:r>
              <w:rPr>
                <w:b/>
                <w:sz w:val="20"/>
                <w:szCs w:val="20"/>
                <w:lang w:val="en-US"/>
              </w:rPr>
              <w:t>E-mail</w:t>
            </w:r>
          </w:p>
        </w:tc>
        <w:tc>
          <w:tcPr>
            <w:tcW w:w="1136"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0"/>
                <w:szCs w:val="20"/>
              </w:rPr>
            </w:pPr>
            <w:r>
              <w:rPr>
                <w:b/>
                <w:sz w:val="20"/>
                <w:szCs w:val="20"/>
              </w:rPr>
              <w:t>Подпись</w:t>
            </w:r>
          </w:p>
        </w:tc>
      </w:tr>
      <w:tr>
        <w:trPr/>
        <w:tc>
          <w:tcPr>
            <w:tcW w:w="560"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jc w:val="center"/>
              <w:rPr>
                <w:rFonts w:ascii="Times New Roman" w:hAnsi="Times New Roman"/>
                <w:b/>
                <w:sz w:val="20"/>
                <w:szCs w:val="20"/>
              </w:rPr>
            </w:pPr>
            <w:r>
              <w:rPr>
                <w:b/>
                <w:sz w:val="20"/>
                <w:szCs w:val="20"/>
              </w:rPr>
            </w:r>
          </w:p>
        </w:tc>
        <w:tc>
          <w:tcPr>
            <w:tcW w:w="2134"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jc w:val="center"/>
              <w:rPr>
                <w:rFonts w:ascii="Times New Roman" w:hAnsi="Times New Roman"/>
                <w:b/>
                <w:sz w:val="20"/>
                <w:szCs w:val="20"/>
              </w:rPr>
            </w:pPr>
            <w:r>
              <w:rPr>
                <w:b/>
                <w:sz w:val="20"/>
                <w:szCs w:val="20"/>
              </w:rPr>
            </w:r>
          </w:p>
        </w:tc>
        <w:tc>
          <w:tcPr>
            <w:tcW w:w="1134"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b/>
                <w:sz w:val="20"/>
                <w:szCs w:val="20"/>
              </w:rPr>
            </w:pPr>
            <w:r>
              <w:rPr>
                <w:b/>
                <w:sz w:val="20"/>
                <w:szCs w:val="20"/>
              </w:rPr>
            </w:r>
          </w:p>
        </w:tc>
        <w:tc>
          <w:tcPr>
            <w:tcW w:w="992"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jc w:val="center"/>
              <w:rPr>
                <w:rFonts w:ascii="Times New Roman" w:hAnsi="Times New Roman"/>
                <w:b/>
                <w:sz w:val="20"/>
                <w:szCs w:val="20"/>
              </w:rPr>
            </w:pPr>
            <w:r>
              <w:rPr>
                <w:b/>
                <w:sz w:val="20"/>
                <w:szCs w:val="20"/>
              </w:rPr>
            </w:r>
          </w:p>
        </w:tc>
        <w:tc>
          <w:tcPr>
            <w:tcW w:w="141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jc w:val="center"/>
              <w:rPr>
                <w:rFonts w:ascii="Times New Roman" w:hAnsi="Times New Roman"/>
                <w:b/>
                <w:sz w:val="20"/>
                <w:szCs w:val="20"/>
              </w:rPr>
            </w:pPr>
            <w:r>
              <w:rPr>
                <w:b/>
                <w:sz w:val="20"/>
                <w:szCs w:val="20"/>
              </w:rPr>
              <w:t>Серия и номер</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jc w:val="center"/>
              <w:rPr>
                <w:rFonts w:ascii="Times New Roman" w:hAnsi="Times New Roman"/>
                <w:b/>
                <w:sz w:val="20"/>
                <w:szCs w:val="20"/>
              </w:rPr>
            </w:pPr>
            <w:r>
              <w:rPr>
                <w:b/>
                <w:sz w:val="20"/>
                <w:szCs w:val="20"/>
              </w:rPr>
              <w:t>Дата выдачи</w:t>
            </w:r>
          </w:p>
        </w:tc>
        <w:tc>
          <w:tcPr>
            <w:tcW w:w="1419"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jc w:val="center"/>
              <w:rPr>
                <w:rFonts w:ascii="Times New Roman" w:hAnsi="Times New Roman"/>
                <w:b/>
                <w:sz w:val="20"/>
                <w:szCs w:val="20"/>
              </w:rPr>
            </w:pPr>
            <w:r>
              <w:rPr>
                <w:b/>
                <w:sz w:val="20"/>
                <w:szCs w:val="20"/>
              </w:rPr>
              <w:t>Кем выдан</w:t>
            </w:r>
          </w:p>
        </w:tc>
        <w:tc>
          <w:tcPr>
            <w:tcW w:w="113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jc w:val="center"/>
              <w:rPr>
                <w:rFonts w:ascii="Times New Roman" w:hAnsi="Times New Roman"/>
                <w:b/>
                <w:sz w:val="20"/>
                <w:szCs w:val="20"/>
              </w:rPr>
            </w:pPr>
            <w:r>
              <w:rPr>
                <w:b/>
                <w:sz w:val="20"/>
                <w:szCs w:val="20"/>
              </w:rPr>
              <w:t>Код подразделения</w:t>
            </w:r>
          </w:p>
        </w:tc>
        <w:tc>
          <w:tcPr>
            <w:tcW w:w="2126" w:type="dxa"/>
            <w:vMerge w:val="continue"/>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sz w:val="16"/>
                <w:szCs w:val="16"/>
              </w:rPr>
            </w:pPr>
            <w:r>
              <w:rPr>
                <w:b/>
                <w:sz w:val="16"/>
                <w:szCs w:val="16"/>
              </w:rPr>
            </w:r>
          </w:p>
        </w:tc>
        <w:tc>
          <w:tcPr>
            <w:tcW w:w="1275" w:type="dxa"/>
            <w:vMerge w:val="continue"/>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sz w:val="16"/>
                <w:szCs w:val="16"/>
              </w:rPr>
            </w:pPr>
            <w:r>
              <w:rPr>
                <w:b/>
                <w:sz w:val="16"/>
                <w:szCs w:val="16"/>
              </w:rPr>
            </w:r>
          </w:p>
        </w:tc>
        <w:tc>
          <w:tcPr>
            <w:tcW w:w="1559" w:type="dxa"/>
            <w:vMerge w:val="continue"/>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sz w:val="16"/>
                <w:szCs w:val="16"/>
              </w:rPr>
            </w:pPr>
            <w:r>
              <w:rPr>
                <w:b/>
                <w:sz w:val="16"/>
                <w:szCs w:val="16"/>
              </w:rPr>
            </w:r>
          </w:p>
        </w:tc>
        <w:tc>
          <w:tcPr>
            <w:tcW w:w="11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16"/>
                <w:szCs w:val="16"/>
              </w:rPr>
            </w:pPr>
            <w:r>
              <w:rPr>
                <w:b/>
                <w:sz w:val="16"/>
                <w:szCs w:val="16"/>
              </w:rPr>
            </w:r>
          </w:p>
        </w:tc>
      </w:tr>
      <w:tr>
        <w:trPr>
          <w:trHeight w:val="567" w:hRule="atLeast"/>
        </w:trPr>
        <w:tc>
          <w:tcPr>
            <w:tcW w:w="56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rFonts w:ascii="Times New Roman" w:hAnsi="Times New Roman"/>
                <w:sz w:val="20"/>
                <w:szCs w:val="20"/>
              </w:rPr>
            </w:pPr>
            <w:r>
              <w:rPr>
                <w:sz w:val="20"/>
                <w:szCs w:val="20"/>
              </w:rPr>
            </w:r>
          </w:p>
        </w:tc>
        <w:tc>
          <w:tcPr>
            <w:tcW w:w="213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rFonts w:ascii="Times New Roman" w:hAnsi="Times New Roman"/>
                <w:sz w:val="20"/>
                <w:szCs w:val="20"/>
              </w:rPr>
            </w:pPr>
            <w:r>
              <w:rPr>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sz w:val="20"/>
                <w:szCs w:val="20"/>
              </w:rPr>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sz w:val="20"/>
                <w:szCs w:val="20"/>
              </w:rPr>
            </w:r>
          </w:p>
        </w:tc>
        <w:tc>
          <w:tcPr>
            <w:tcW w:w="141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rFonts w:ascii="Times New Roman" w:hAnsi="Times New Roman"/>
                <w:sz w:val="20"/>
                <w:szCs w:val="20"/>
              </w:rPr>
            </w:pPr>
            <w:r>
              <w:rPr>
                <w:sz w:val="20"/>
                <w:szCs w:val="20"/>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sz w:val="20"/>
                <w:szCs w:val="20"/>
              </w:rPr>
            </w:pPr>
            <w:r>
              <w:rPr>
                <w:sz w:val="20"/>
                <w:szCs w:val="20"/>
              </w:rPr>
            </w:r>
          </w:p>
        </w:tc>
        <w:tc>
          <w:tcPr>
            <w:tcW w:w="1419"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rFonts w:ascii="Times New Roman" w:hAnsi="Times New Roman"/>
                <w:sz w:val="20"/>
                <w:szCs w:val="20"/>
              </w:rPr>
            </w:pPr>
            <w:r>
              <w:rPr>
                <w:sz w:val="20"/>
                <w:szCs w:val="20"/>
              </w:rPr>
            </w:r>
          </w:p>
        </w:tc>
        <w:tc>
          <w:tcPr>
            <w:tcW w:w="113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rFonts w:ascii="Times New Roman" w:hAnsi="Times New Roman"/>
                <w:sz w:val="20"/>
                <w:szCs w:val="20"/>
              </w:rPr>
            </w:pPr>
            <w:r>
              <w:rPr>
                <w:sz w:val="20"/>
                <w:szCs w:val="20"/>
              </w:rPr>
            </w:r>
          </w:p>
        </w:tc>
        <w:tc>
          <w:tcPr>
            <w:tcW w:w="212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sz w:val="20"/>
                <w:szCs w:val="20"/>
              </w:rPr>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sz w:val="20"/>
                <w:szCs w:val="20"/>
              </w:rPr>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sz w:val="20"/>
                <w:szCs w:val="20"/>
              </w:rPr>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sz w:val="20"/>
                <w:szCs w:val="20"/>
              </w:rPr>
            </w:pPr>
            <w:r>
              <w:rPr>
                <w:sz w:val="20"/>
                <w:szCs w:val="20"/>
              </w:rPr>
            </w:r>
          </w:p>
        </w:tc>
      </w:tr>
      <w:tr>
        <w:trPr>
          <w:trHeight w:val="567" w:hRule="atLeast"/>
        </w:trPr>
        <w:tc>
          <w:tcPr>
            <w:tcW w:w="56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rFonts w:ascii="Times New Roman" w:hAnsi="Times New Roman"/>
                <w:sz w:val="20"/>
                <w:szCs w:val="20"/>
              </w:rPr>
            </w:pPr>
            <w:r>
              <w:rPr>
                <w:sz w:val="20"/>
                <w:szCs w:val="20"/>
              </w:rPr>
            </w:r>
          </w:p>
        </w:tc>
        <w:tc>
          <w:tcPr>
            <w:tcW w:w="213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rFonts w:ascii="Times New Roman" w:hAnsi="Times New Roman"/>
                <w:sz w:val="20"/>
                <w:szCs w:val="20"/>
              </w:rPr>
            </w:pPr>
            <w:r>
              <w:rPr>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sz w:val="20"/>
                <w:szCs w:val="20"/>
              </w:rPr>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sz w:val="20"/>
                <w:szCs w:val="20"/>
              </w:rPr>
            </w:r>
          </w:p>
        </w:tc>
        <w:tc>
          <w:tcPr>
            <w:tcW w:w="141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rFonts w:ascii="Times New Roman" w:hAnsi="Times New Roman"/>
                <w:sz w:val="20"/>
                <w:szCs w:val="20"/>
              </w:rPr>
            </w:pPr>
            <w:r>
              <w:rPr>
                <w:sz w:val="20"/>
                <w:szCs w:val="20"/>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sz w:val="20"/>
                <w:szCs w:val="20"/>
              </w:rPr>
            </w:pPr>
            <w:r>
              <w:rPr>
                <w:sz w:val="20"/>
                <w:szCs w:val="20"/>
              </w:rPr>
            </w:r>
          </w:p>
        </w:tc>
        <w:tc>
          <w:tcPr>
            <w:tcW w:w="1419"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rFonts w:ascii="Times New Roman" w:hAnsi="Times New Roman"/>
                <w:sz w:val="20"/>
                <w:szCs w:val="20"/>
              </w:rPr>
            </w:pPr>
            <w:r>
              <w:rPr>
                <w:sz w:val="20"/>
                <w:szCs w:val="20"/>
              </w:rPr>
            </w:r>
          </w:p>
        </w:tc>
        <w:tc>
          <w:tcPr>
            <w:tcW w:w="113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rFonts w:ascii="Times New Roman" w:hAnsi="Times New Roman"/>
                <w:sz w:val="20"/>
                <w:szCs w:val="20"/>
              </w:rPr>
            </w:pPr>
            <w:r>
              <w:rPr>
                <w:sz w:val="20"/>
                <w:szCs w:val="20"/>
              </w:rPr>
            </w:r>
          </w:p>
        </w:tc>
        <w:tc>
          <w:tcPr>
            <w:tcW w:w="212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sz w:val="20"/>
                <w:szCs w:val="20"/>
              </w:rPr>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sz w:val="20"/>
                <w:szCs w:val="20"/>
              </w:rPr>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sz w:val="20"/>
                <w:szCs w:val="20"/>
              </w:rPr>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sz w:val="20"/>
                <w:szCs w:val="20"/>
              </w:rPr>
            </w:pPr>
            <w:r>
              <w:rPr>
                <w:sz w:val="20"/>
                <w:szCs w:val="20"/>
              </w:rPr>
            </w:r>
          </w:p>
        </w:tc>
      </w:tr>
    </w:tbl>
    <w:p>
      <w:pPr>
        <w:pStyle w:val="Normal"/>
        <w:rPr/>
      </w:pPr>
      <w:r>
        <w:rPr/>
      </w:r>
    </w:p>
    <w:tbl>
      <w:tblPr>
        <w:tblW w:w="5000" w:type="pct"/>
        <w:jc w:val="start"/>
        <w:tblInd w:w="108" w:type="dxa"/>
        <w:tblLayout w:type="fixed"/>
        <w:tblCellMar>
          <w:top w:w="0" w:type="dxa"/>
          <w:start w:w="108" w:type="dxa"/>
          <w:bottom w:w="0" w:type="dxa"/>
          <w:end w:w="108" w:type="dxa"/>
        </w:tblCellMar>
        <w:tblLook w:val="04a0" w:noHBand="0" w:noVBand="1" w:firstColumn="1" w:lastRow="0" w:lastColumn="0" w:firstRow="1"/>
      </w:tblPr>
      <w:tblGrid>
        <w:gridCol w:w="7374"/>
        <w:gridCol w:w="7762"/>
      </w:tblGrid>
      <w:tr>
        <w:trPr>
          <w:trHeight w:val="299" w:hRule="atLeast"/>
        </w:trPr>
        <w:tc>
          <w:tcPr>
            <w:tcW w:w="7374" w:type="dxa"/>
            <w:tcBorders/>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b/>
                <w:sz w:val="24"/>
                <w:szCs w:val="24"/>
                <w:lang w:eastAsia="ar-SA"/>
              </w:rPr>
              <w:t>От Заказчика:</w:t>
            </w:r>
          </w:p>
          <w:p>
            <w:pPr>
              <w:pStyle w:val="Normal"/>
              <w:spacing w:lineRule="auto" w:line="240" w:before="0" w:after="0"/>
              <w:rPr>
                <w:rFonts w:ascii="Times New Roman" w:hAnsi="Times New Roman" w:eastAsia="Times New Roman" w:cs="Times New Roman"/>
                <w:sz w:val="24"/>
                <w:szCs w:val="24"/>
                <w:lang w:eastAsia="ar-SA"/>
              </w:rPr>
            </w:pPr>
            <w:r>
              <w:rPr>
                <w:rFonts w:eastAsia="Times New Roman" w:cs="Times New Roman"/>
                <w:sz w:val="24"/>
                <w:szCs w:val="24"/>
                <w:lang w:eastAsia="ar-SA"/>
              </w:rPr>
            </w:r>
          </w:p>
        </w:tc>
        <w:tc>
          <w:tcPr>
            <w:tcW w:w="7762" w:type="dxa"/>
            <w:tcBorders/>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b/>
                <w:sz w:val="24"/>
                <w:szCs w:val="24"/>
                <w:lang w:eastAsia="ar-SA"/>
              </w:rPr>
              <w:t>От Исполнителя:</w:t>
            </w:r>
          </w:p>
        </w:tc>
      </w:tr>
      <w:tr>
        <w:trPr>
          <w:trHeight w:val="100" w:hRule="atLeast"/>
        </w:trPr>
        <w:tc>
          <w:tcPr>
            <w:tcW w:w="7374" w:type="dxa"/>
            <w:tcBorders/>
          </w:tcPr>
          <w:p>
            <w:pPr>
              <w:pStyle w:val="Normal"/>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sz w:val="24"/>
                <w:szCs w:val="24"/>
                <w:lang w:eastAsia="ar-SA"/>
              </w:rPr>
              <w:t>Руководитель-главный эксперт по МСЭ</w:t>
            </w:r>
          </w:p>
        </w:tc>
        <w:tc>
          <w:tcPr>
            <w:tcW w:w="7762" w:type="dxa"/>
            <w:tcBorders/>
          </w:tcPr>
          <w:p>
            <w:pPr>
              <w:pStyle w:val="Normal"/>
              <w:spacing w:lineRule="auto" w:line="240" w:before="0" w:after="0"/>
              <w:jc w:val="center"/>
              <w:rPr>
                <w:rFonts w:ascii="Times New Roman" w:hAnsi="Times New Roman" w:eastAsia="Times New Roman" w:cs="Times New Roman"/>
                <w:sz w:val="24"/>
                <w:szCs w:val="24"/>
                <w:lang w:eastAsia="ar-SA"/>
              </w:rPr>
            </w:pPr>
            <w:r>
              <w:rPr>
                <w:rFonts w:cs="Times New Roman"/>
                <w:spacing w:val="-2"/>
                <w:sz w:val="24"/>
                <w:szCs w:val="24"/>
              </w:rPr>
              <w:t>Директор МШБ (Института)</w:t>
            </w:r>
          </w:p>
        </w:tc>
      </w:tr>
      <w:tr>
        <w:trPr>
          <w:trHeight w:val="299" w:hRule="atLeast"/>
        </w:trPr>
        <w:tc>
          <w:tcPr>
            <w:tcW w:w="7374" w:type="dxa"/>
            <w:tcBorders/>
          </w:tcPr>
          <w:p>
            <w:pPr>
              <w:pStyle w:val="Normal"/>
              <w:spacing w:lineRule="auto" w:line="240" w:before="0" w:after="0"/>
              <w:jc w:val="center"/>
              <w:rPr>
                <w:rFonts w:ascii="Times New Roman" w:hAnsi="Times New Roman" w:eastAsia="Times New Roman" w:cs="Times New Roman"/>
                <w:sz w:val="24"/>
                <w:szCs w:val="24"/>
                <w:lang w:val="x-none" w:eastAsia="ar-SA"/>
              </w:rPr>
            </w:pPr>
            <w:r>
              <w:rPr>
                <w:rFonts w:eastAsia="Times New Roman" w:cs="Times New Roman"/>
                <w:sz w:val="24"/>
                <w:szCs w:val="24"/>
                <w:lang w:val="x-none" w:eastAsia="ar-SA"/>
              </w:rPr>
            </w:r>
          </w:p>
          <w:p>
            <w:pPr>
              <w:pStyle w:val="Normal"/>
              <w:spacing w:lineRule="auto" w:line="240" w:before="0" w:after="0"/>
              <w:jc w:val="center"/>
              <w:rPr>
                <w:rFonts w:ascii="Times New Roman" w:hAnsi="Times New Roman" w:eastAsia="Times New Roman" w:cs="Times New Roman"/>
                <w:bCs/>
                <w:sz w:val="24"/>
                <w:szCs w:val="24"/>
                <w:lang w:val="en-US" w:eastAsia="ar-SA"/>
              </w:rPr>
            </w:pPr>
            <w:r>
              <w:rPr>
                <w:rFonts w:eastAsia="Times New Roman" w:cs="Times New Roman"/>
                <w:sz w:val="24"/>
                <w:szCs w:val="24"/>
                <w:lang w:val="x-none" w:eastAsia="ar-SA"/>
              </w:rPr>
              <w:t xml:space="preserve"> </w:t>
            </w:r>
            <w:r>
              <w:rPr>
                <w:rFonts w:eastAsia="Times New Roman" w:cs="Times New Roman"/>
                <w:sz w:val="24"/>
                <w:szCs w:val="24"/>
                <w:lang w:val="x-none" w:eastAsia="ar-SA"/>
              </w:rPr>
              <w:t>________________/</w:t>
            </w:r>
            <w:r>
              <w:rPr>
                <w:rFonts w:cs="Times New Roman"/>
                <w:sz w:val="24"/>
                <w:szCs w:val="24"/>
                <w:lang w:val="x-none"/>
              </w:rPr>
              <w:t xml:space="preserve"> А.И. Гоголева</w:t>
            </w:r>
            <w:r>
              <w:rPr>
                <w:rFonts w:eastAsia="Times New Roman" w:cs="Times New Roman"/>
                <w:bCs/>
                <w:sz w:val="24"/>
                <w:szCs w:val="24"/>
                <w:lang w:val="en-US" w:eastAsia="ar-SA"/>
              </w:rPr>
              <w:t>/</w:t>
            </w:r>
          </w:p>
          <w:p>
            <w:pPr>
              <w:pStyle w:val="Normal"/>
              <w:spacing w:lineRule="auto" w:line="240" w:before="0" w:after="0"/>
              <w:jc w:val="center"/>
              <w:rPr>
                <w:rFonts w:ascii="Times New Roman" w:hAnsi="Times New Roman" w:eastAsia="Times New Roman" w:cs="Times New Roman"/>
                <w:sz w:val="24"/>
                <w:szCs w:val="24"/>
                <w:lang w:val="en-US" w:eastAsia="ar-SA"/>
              </w:rPr>
            </w:pPr>
            <w:r>
              <w:rPr>
                <w:rFonts w:eastAsia="Times New Roman" w:cs="Times New Roman"/>
                <w:sz w:val="24"/>
                <w:szCs w:val="24"/>
                <w:lang w:val="en-US" w:eastAsia="ar-SA"/>
              </w:rPr>
            </w:r>
          </w:p>
        </w:tc>
        <w:tc>
          <w:tcPr>
            <w:tcW w:w="7762" w:type="dxa"/>
            <w:tcBorders/>
          </w:tcPr>
          <w:p>
            <w:pPr>
              <w:pStyle w:val="Normal"/>
              <w:spacing w:lineRule="auto" w:line="240" w:before="0" w:after="0"/>
              <w:jc w:val="center"/>
              <w:rPr>
                <w:rFonts w:ascii="Times New Roman" w:hAnsi="Times New Roman" w:eastAsia="Times New Roman" w:cs="Times New Roman"/>
                <w:sz w:val="24"/>
                <w:szCs w:val="24"/>
                <w:lang w:val="x-none" w:eastAsia="ar-SA"/>
              </w:rPr>
            </w:pPr>
            <w:r>
              <w:rPr>
                <w:rFonts w:eastAsia="Times New Roman" w:cs="Times New Roman"/>
                <w:sz w:val="24"/>
                <w:szCs w:val="24"/>
                <w:lang w:val="x-none" w:eastAsia="ar-SA"/>
              </w:rPr>
            </w:r>
          </w:p>
          <w:p>
            <w:pPr>
              <w:pStyle w:val="Normal"/>
              <w:spacing w:lineRule="auto" w:line="240" w:before="0" w:after="0"/>
              <w:jc w:val="center"/>
              <w:rPr>
                <w:rFonts w:ascii="Times New Roman" w:hAnsi="Times New Roman" w:eastAsia="Times New Roman" w:cs="Times New Roman"/>
                <w:bCs/>
                <w:sz w:val="24"/>
                <w:szCs w:val="24"/>
                <w:lang w:val="en-US" w:eastAsia="ar-SA"/>
              </w:rPr>
            </w:pPr>
            <w:r>
              <w:rPr>
                <w:rFonts w:eastAsia="Times New Roman" w:cs="Times New Roman"/>
                <w:sz w:val="24"/>
                <w:szCs w:val="24"/>
                <w:lang w:val="x-none" w:eastAsia="ar-SA"/>
              </w:rPr>
              <w:t xml:space="preserve"> </w:t>
            </w:r>
            <w:r>
              <w:rPr>
                <w:rFonts w:eastAsia="Times New Roman" w:cs="Times New Roman"/>
                <w:sz w:val="24"/>
                <w:szCs w:val="24"/>
                <w:lang w:val="x-none" w:eastAsia="ar-SA"/>
              </w:rPr>
              <w:t>__________________/</w:t>
            </w:r>
            <w:r>
              <w:rPr>
                <w:rFonts w:cs="Times New Roman"/>
                <w:sz w:val="24"/>
                <w:szCs w:val="24"/>
              </w:rPr>
              <w:t xml:space="preserve"> В.В. Моисеенко</w:t>
            </w:r>
            <w:r>
              <w:rPr>
                <w:rFonts w:eastAsia="Times New Roman" w:cs="Times New Roman"/>
                <w:bCs/>
                <w:sz w:val="24"/>
                <w:szCs w:val="24"/>
                <w:lang w:val="en-US" w:eastAsia="ar-SA"/>
              </w:rPr>
              <w:t>/</w:t>
            </w:r>
          </w:p>
          <w:p>
            <w:pPr>
              <w:pStyle w:val="Normal"/>
              <w:suppressAutoHyphens w:val="true"/>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sz w:val="24"/>
                <w:szCs w:val="24"/>
                <w:lang w:eastAsia="ar-SA"/>
              </w:rPr>
            </w:r>
            <w:bookmarkStart w:id="112" w:name="_Hlk220078515"/>
            <w:bookmarkStart w:id="113" w:name="_Hlk220078515"/>
            <w:bookmarkEnd w:id="113"/>
          </w:p>
        </w:tc>
      </w:tr>
    </w:tbl>
    <w:p>
      <w:pPr>
        <w:pStyle w:val="Normal"/>
        <w:spacing w:lineRule="auto" w:line="240" w:before="0" w:after="0"/>
        <w:ind w:firstLine="709"/>
        <w:jc w:val="both"/>
        <w:rPr>
          <w:rFonts w:ascii="Times New Roman" w:hAnsi="Times New Roman" w:eastAsia="Times New Roman" w:cs="Times New Roman"/>
          <w:b/>
          <w:color w:val="000000"/>
          <w:sz w:val="24"/>
          <w:szCs w:val="24"/>
        </w:rPr>
      </w:pPr>
      <w:r>
        <w:rPr>
          <w:rFonts w:eastAsia="Times New Roman" w:cs="Times New Roman"/>
          <w:b/>
          <w:color w:val="000000"/>
          <w:sz w:val="24"/>
          <w:szCs w:val="24"/>
        </w:rPr>
      </w:r>
    </w:p>
    <w:p>
      <w:pPr>
        <w:pStyle w:val="Normal"/>
        <w:spacing w:lineRule="auto" w:line="240" w:before="0" w:after="0"/>
        <w:ind w:firstLine="709"/>
        <w:jc w:val="both"/>
        <w:rPr>
          <w:rFonts w:ascii="Times New Roman" w:hAnsi="Times New Roman" w:eastAsia="Times New Roman" w:cs="Times New Roman"/>
          <w:b/>
          <w:color w:val="000000"/>
          <w:sz w:val="24"/>
          <w:szCs w:val="24"/>
        </w:rPr>
      </w:pPr>
      <w:r>
        <w:rPr>
          <w:rFonts w:eastAsia="Times New Roman" w:cs="Times New Roman"/>
          <w:b/>
          <w:color w:val="000000"/>
          <w:sz w:val="24"/>
          <w:szCs w:val="24"/>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sectPr>
          <w:footerReference w:type="even" r:id="rId7"/>
          <w:footerReference w:type="default" r:id="rId8"/>
          <w:footerReference w:type="first" r:id="rId9"/>
          <w:type w:val="nextPage"/>
          <w:pgSz w:orient="landscape" w:w="16838" w:h="11906"/>
          <w:pgMar w:left="851" w:right="851" w:gutter="0" w:header="0" w:top="1418" w:footer="0" w:bottom="851"/>
          <w:pgNumType w:start="29" w:fmt="decimal"/>
          <w:formProt w:val="false"/>
          <w:textDirection w:val="lrTb"/>
          <w:docGrid w:type="default" w:linePitch="360" w:charSpace="0"/>
        </w:sectPr>
        <w:pStyle w:val="Normal"/>
        <w:numPr>
          <w:ilvl w:val="0"/>
          <w:numId w:val="0"/>
        </w:numPr>
        <w:spacing w:before="0" w:after="0"/>
        <w:ind w:hanging="0" w:start="0"/>
        <w:jc w:val="end"/>
        <w:outlineLvl w:val="0"/>
        <w:rPr/>
      </w:pPr>
      <w:r>
        <w:rPr/>
      </w:r>
      <w:r>
        <w:br w:type="page"/>
      </w:r>
    </w:p>
    <w:p>
      <w:pPr>
        <w:pStyle w:val="Normal"/>
        <w:spacing w:before="0" w:after="0"/>
        <w:jc w:val="end"/>
        <w:rPr>
          <w:rFonts w:ascii="Times New Roman" w:hAnsi="Times New Roman"/>
          <w:sz w:val="24"/>
          <w:szCs w:val="24"/>
        </w:rPr>
      </w:pPr>
      <w:r>
        <w:rPr>
          <w:sz w:val="24"/>
          <w:szCs w:val="24"/>
        </w:rPr>
        <w:t>Приложение № 3 к Государственному контракту</w:t>
      </w:r>
    </w:p>
    <w:p>
      <w:pPr>
        <w:pStyle w:val="Normal"/>
        <w:spacing w:before="0" w:after="0"/>
        <w:jc w:val="end"/>
        <w:rPr>
          <w:rFonts w:ascii="Times New Roman" w:hAnsi="Times New Roman"/>
          <w:sz w:val="24"/>
          <w:szCs w:val="24"/>
        </w:rPr>
      </w:pPr>
      <w:r>
        <w:rPr>
          <w:sz w:val="24"/>
          <w:szCs w:val="24"/>
        </w:rPr>
        <w:t>от «____» ________ 2026 г. № ___/МТННА-26/Ю</w:t>
      </w:r>
    </w:p>
    <w:tbl>
      <w:tblPr>
        <w:tblW w:w="5000" w:type="pct"/>
        <w:jc w:val="start"/>
        <w:tblInd w:w="108" w:type="dxa"/>
        <w:tblLayout w:type="fixed"/>
        <w:tblCellMar>
          <w:top w:w="0" w:type="dxa"/>
          <w:start w:w="108" w:type="dxa"/>
          <w:bottom w:w="0" w:type="dxa"/>
          <w:end w:w="108" w:type="dxa"/>
        </w:tblCellMar>
        <w:tblLook w:val="0000" w:noHBand="0" w:noVBand="0" w:firstColumn="0" w:lastRow="0" w:lastColumn="0" w:firstRow="0"/>
      </w:tblPr>
      <w:tblGrid>
        <w:gridCol w:w="9354"/>
      </w:tblGrid>
      <w:tr>
        <w:trPr>
          <w:trHeight w:val="415" w:hRule="atLeast"/>
        </w:trPr>
        <w:tc>
          <w:tcPr>
            <w:tcW w:w="9354" w:type="dxa"/>
            <w:tcBorders/>
          </w:tcPr>
          <w:p>
            <w:pPr>
              <w:pStyle w:val="Normal"/>
              <w:suppressAutoHyphens w:val="true"/>
              <w:spacing w:lineRule="auto" w:line="240" w:before="0" w:after="0"/>
              <w:jc w:val="end"/>
              <w:rPr>
                <w:rFonts w:ascii="Times New Roman" w:hAnsi="Times New Roman" w:eastAsia="Calibri" w:cs="Times New Roman"/>
                <w:b/>
                <w:sz w:val="24"/>
                <w:szCs w:val="24"/>
              </w:rPr>
            </w:pPr>
            <w:r>
              <w:rPr>
                <w:rFonts w:eastAsia="Calibri" w:cs="Times New Roman"/>
                <w:b/>
                <w:sz w:val="24"/>
                <w:szCs w:val="24"/>
              </w:rPr>
              <w:t>ФОРМА</w:t>
            </w:r>
          </w:p>
          <w:p>
            <w:pPr>
              <w:pStyle w:val="Normal"/>
              <w:suppressAutoHyphens w:val="true"/>
              <w:spacing w:lineRule="auto" w:line="240" w:before="0" w:after="0"/>
              <w:jc w:val="center"/>
              <w:rPr>
                <w:rFonts w:ascii="Times New Roman" w:hAnsi="Times New Roman" w:eastAsia="Calibri" w:cs="Times New Roman"/>
                <w:b/>
                <w:sz w:val="24"/>
                <w:szCs w:val="24"/>
              </w:rPr>
            </w:pPr>
            <w:r>
              <w:rPr>
                <w:rFonts w:eastAsia="Calibri" w:cs="Times New Roman"/>
                <w:b/>
                <w:sz w:val="24"/>
                <w:szCs w:val="24"/>
              </w:rPr>
            </w:r>
          </w:p>
          <w:p>
            <w:pPr>
              <w:pStyle w:val="Normal"/>
              <w:suppressAutoHyphens w:val="true"/>
              <w:spacing w:lineRule="auto" w:line="240" w:before="0" w:after="0"/>
              <w:jc w:val="center"/>
              <w:rPr>
                <w:rFonts w:ascii="Times New Roman" w:hAnsi="Times New Roman" w:eastAsia="Calibri" w:cs="Times New Roman"/>
                <w:b/>
                <w:sz w:val="24"/>
                <w:szCs w:val="24"/>
              </w:rPr>
            </w:pPr>
            <w:r>
              <w:rPr>
                <w:rFonts w:eastAsia="Calibri" w:cs="Times New Roman"/>
                <w:b/>
                <w:sz w:val="24"/>
                <w:szCs w:val="24"/>
              </w:rPr>
              <w:t>АКТ</w:t>
            </w:r>
          </w:p>
          <w:p>
            <w:pPr>
              <w:pStyle w:val="Normal"/>
              <w:suppressAutoHyphens w:val="true"/>
              <w:spacing w:lineRule="auto" w:line="240" w:before="0" w:after="0"/>
              <w:jc w:val="center"/>
              <w:rPr>
                <w:rFonts w:ascii="Times New Roman" w:hAnsi="Times New Roman" w:eastAsia="Calibri" w:cs="Times New Roman"/>
                <w:b/>
                <w:sz w:val="24"/>
                <w:szCs w:val="24"/>
              </w:rPr>
            </w:pPr>
            <w:r>
              <w:rPr>
                <w:rFonts w:eastAsia="Calibri" w:cs="Times New Roman"/>
                <w:b/>
                <w:sz w:val="24"/>
                <w:szCs w:val="24"/>
              </w:rPr>
              <w:t>сдачи-приемки оказанных услуг</w:t>
            </w:r>
          </w:p>
          <w:p>
            <w:pPr>
              <w:pStyle w:val="Normal"/>
              <w:suppressAutoHyphens w:val="true"/>
              <w:spacing w:lineRule="auto" w:line="240" w:before="0" w:after="0"/>
              <w:jc w:val="center"/>
              <w:rPr>
                <w:rFonts w:ascii="Times New Roman" w:hAnsi="Times New Roman" w:eastAsia="Calibri" w:cs="Times New Roman"/>
                <w:sz w:val="24"/>
                <w:szCs w:val="24"/>
              </w:rPr>
            </w:pPr>
            <w:r>
              <w:rPr>
                <w:rFonts w:eastAsia="Calibri" w:cs="Times New Roman"/>
                <w:sz w:val="24"/>
                <w:szCs w:val="24"/>
              </w:rPr>
              <w:t xml:space="preserve">по Контракту </w:t>
            </w:r>
            <w:r>
              <w:rPr>
                <w:rFonts w:eastAsia="Calibri" w:cs="Times New Roman"/>
                <w:b/>
                <w:sz w:val="24"/>
                <w:szCs w:val="24"/>
              </w:rPr>
              <w:t>от «___» ________ 2026 г. № __/МТННА-26/Ю</w:t>
            </w:r>
          </w:p>
          <w:p>
            <w:pPr>
              <w:pStyle w:val="Normal"/>
              <w:suppressAutoHyphens w:val="true"/>
              <w:spacing w:lineRule="auto" w:line="240" w:before="0" w:after="0"/>
              <w:jc w:val="center"/>
              <w:rPr>
                <w:rFonts w:ascii="Times New Roman" w:hAnsi="Times New Roman" w:eastAsia="Calibri" w:cs="Times New Roman"/>
                <w:sz w:val="24"/>
                <w:szCs w:val="24"/>
              </w:rPr>
            </w:pPr>
            <w:r>
              <w:rPr>
                <w:rFonts w:eastAsia="Calibri" w:cs="Times New Roman"/>
                <w:sz w:val="24"/>
                <w:szCs w:val="24"/>
              </w:rPr>
            </w:r>
          </w:p>
          <w:p>
            <w:pPr>
              <w:pStyle w:val="Normal"/>
              <w:suppressAutoHyphens w:val="true"/>
              <w:spacing w:lineRule="auto" w:line="240" w:before="0" w:after="0"/>
              <w:jc w:val="center"/>
              <w:rPr>
                <w:rFonts w:ascii="Times New Roman" w:hAnsi="Times New Roman" w:eastAsia="Calibri" w:cs="Times New Roman"/>
                <w:sz w:val="24"/>
                <w:szCs w:val="24"/>
              </w:rPr>
            </w:pPr>
            <w:r>
              <w:rPr>
                <w:rFonts w:eastAsia="Calibri" w:cs="Times New Roman"/>
                <w:sz w:val="24"/>
                <w:szCs w:val="24"/>
              </w:rPr>
            </w:r>
          </w:p>
          <w:p>
            <w:pPr>
              <w:pStyle w:val="Normal"/>
              <w:suppressAutoHyphens w:val="true"/>
              <w:spacing w:lineRule="auto" w:line="240" w:before="0" w:after="0"/>
              <w:ind w:start="-105"/>
              <w:jc w:val="end"/>
              <w:rPr>
                <w:rFonts w:ascii="Times New Roman" w:hAnsi="Times New Roman" w:eastAsia="Calibri" w:cs="Times New Roman"/>
                <w:sz w:val="24"/>
                <w:szCs w:val="24"/>
              </w:rPr>
            </w:pPr>
            <w:r>
              <w:rPr>
                <w:rFonts w:eastAsia="Calibri" w:cs="Times New Roman"/>
                <w:sz w:val="24"/>
                <w:szCs w:val="24"/>
              </w:rPr>
              <w:t>г. Москва                                                                                      «___» _____________ 2026 г.</w:t>
            </w:r>
          </w:p>
          <w:p>
            <w:pPr>
              <w:pStyle w:val="Normal"/>
              <w:suppressAutoHyphens w:val="true"/>
              <w:spacing w:lineRule="auto" w:line="240" w:before="0" w:after="0"/>
              <w:ind w:start="-105"/>
              <w:jc w:val="end"/>
              <w:rPr>
                <w:rFonts w:ascii="Times New Roman" w:hAnsi="Times New Roman" w:eastAsia="Calibri" w:cs="Times New Roman"/>
                <w:sz w:val="24"/>
                <w:szCs w:val="24"/>
              </w:rPr>
            </w:pPr>
            <w:r>
              <w:rPr>
                <w:rFonts w:eastAsia="Calibri" w:cs="Times New Roman"/>
                <w:sz w:val="24"/>
                <w:szCs w:val="24"/>
              </w:rPr>
            </w:r>
          </w:p>
          <w:p>
            <w:pPr>
              <w:pStyle w:val="Normal"/>
              <w:widowControl w:val="false"/>
              <w:spacing w:lineRule="auto" w:line="240" w:before="0" w:after="0"/>
              <w:ind w:firstLine="709"/>
              <w:jc w:val="both"/>
              <w:rPr>
                <w:rFonts w:ascii="Times New Roman" w:hAnsi="Times New Roman" w:eastAsia="Times New Roman" w:cs="Times New Roman"/>
                <w:sz w:val="24"/>
                <w:szCs w:val="24"/>
                <w:lang w:eastAsia="ar-SA"/>
              </w:rPr>
            </w:pPr>
            <w:r>
              <w:rPr>
                <w:rFonts w:eastAsia="Times New Roman"/>
                <w:b/>
                <w:bCs/>
                <w:color w:val="000000"/>
                <w:spacing w:val="-2"/>
                <w:sz w:val="24"/>
                <w:szCs w:val="24"/>
              </w:rPr>
              <w: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 (Финансовый университет)</w:t>
            </w:r>
            <w:r>
              <w:rPr>
                <w:rFonts w:eastAsia="Times New Roman" w:cs="Times New Roman"/>
                <w:spacing w:val="-2"/>
                <w:sz w:val="24"/>
                <w:szCs w:val="24"/>
                <w:lang w:eastAsia="ru-RU"/>
              </w:rPr>
              <w:t xml:space="preserve">, именуемое в дальнейшем </w:t>
            </w:r>
            <w:r>
              <w:rPr>
                <w:rFonts w:eastAsia="Times New Roman" w:cs="Times New Roman"/>
                <w:b/>
                <w:spacing w:val="-2"/>
                <w:sz w:val="24"/>
                <w:szCs w:val="24"/>
                <w:lang w:eastAsia="ru-RU"/>
              </w:rPr>
              <w:t>«Исполнитель»</w:t>
            </w:r>
            <w:r>
              <w:rPr>
                <w:rFonts w:eastAsia="Times New Roman"/>
                <w:b/>
                <w:bCs/>
                <w:color w:val="000000"/>
                <w:spacing w:val="-2"/>
                <w:sz w:val="24"/>
                <w:szCs w:val="24"/>
              </w:rPr>
              <w:t xml:space="preserve">, </w:t>
            </w:r>
            <w:r>
              <w:rPr>
                <w:rFonts w:eastAsia="Times New Roman"/>
                <w:bCs/>
                <w:color w:val="000000"/>
                <w:spacing w:val="-2"/>
                <w:sz w:val="24"/>
                <w:szCs w:val="24"/>
              </w:rPr>
              <w:t>имеющее лицензию на осуществление образовательной деятельности регистрационный №  Л035-00115-77/00097462 от 21 декабря 2021 г. и свидетельство о государственной аккредитации регистрационный номер № 3729 серия 90А01 № 0003955 от 21 июня 2022 г., выданные Федеральной службой по надзору в сфере образования и науки</w:t>
            </w:r>
            <w:r>
              <w:rPr>
                <w:rFonts w:eastAsia="Times New Roman"/>
                <w:b/>
                <w:bCs/>
                <w:color w:val="000000"/>
                <w:spacing w:val="-2"/>
                <w:sz w:val="24"/>
                <w:szCs w:val="24"/>
              </w:rPr>
              <w:t>,</w:t>
            </w:r>
            <w:r>
              <w:rPr>
                <w:rFonts w:eastAsia="Times New Roman" w:cs="Times New Roman"/>
                <w:spacing w:val="-2"/>
                <w:sz w:val="24"/>
                <w:szCs w:val="24"/>
                <w:lang w:eastAsia="ru-RU"/>
              </w:rPr>
              <w:t xml:space="preserve"> в лице директора Международной школы бизнеса (Института) Финансового университета Моисеенко Виктории Владимировны, действующей на основании Доверенности </w:t>
              <w:br/>
              <w:t xml:space="preserve">от 13 августа 2026 г. № 297-2026/48, с одной стороны, </w:t>
            </w:r>
            <w:r>
              <w:rPr>
                <w:rFonts w:eastAsia="Times New Roman" w:cs="Times New Roman"/>
                <w:bCs/>
                <w:sz w:val="24"/>
                <w:szCs w:val="24"/>
              </w:rPr>
              <w:t>и Федеральное казенное учреждение «Главное бюро медико-социальной экспертизы по Республике Саха (Якутия)» Министерства труда и социальной защиты Российской Федерации, именуемое в дальнейшем «Заказчик», в лице руководителя-главного эксперта по МСЭ Гоголевой Анастасии Ивановны, действующей на основании  Устава, с</w:t>
            </w:r>
            <w:r>
              <w:rPr>
                <w:rFonts w:eastAsia="Times New Roman" w:cs="Times New Roman"/>
                <w:spacing w:val="-2"/>
                <w:sz w:val="24"/>
                <w:szCs w:val="24"/>
                <w:lang w:eastAsia="ru-RU"/>
              </w:rPr>
              <w:t xml:space="preserve"> другой стороны, </w:t>
            </w:r>
            <w:r>
              <w:rPr>
                <w:rFonts w:eastAsia="Times New Roman" w:cs="Times New Roman"/>
                <w:sz w:val="24"/>
                <w:szCs w:val="24"/>
                <w:lang w:eastAsia="ar-SA"/>
              </w:rPr>
              <w:t xml:space="preserve">именуемые в дальнейшем </w:t>
            </w:r>
            <w:r>
              <w:rPr>
                <w:rFonts w:eastAsia="Times New Roman" w:cs="Times New Roman"/>
                <w:b/>
                <w:sz w:val="24"/>
                <w:szCs w:val="24"/>
                <w:lang w:eastAsia="ar-SA"/>
              </w:rPr>
              <w:t>«Стороны»</w:t>
            </w:r>
            <w:r>
              <w:rPr>
                <w:rFonts w:eastAsia="Times New Roman" w:cs="Times New Roman"/>
                <w:sz w:val="24"/>
                <w:szCs w:val="24"/>
                <w:lang w:eastAsia="ar-SA"/>
              </w:rPr>
              <w:t>, составили настоящий Акт о том, что Исполнитель оказал</w:t>
            </w:r>
            <w:r>
              <w:rPr>
                <w:rFonts w:eastAsia="Times New Roman" w:cs="Times New Roman"/>
                <w:bCs/>
                <w:sz w:val="24"/>
                <w:szCs w:val="24"/>
                <w:lang w:eastAsia="ar-SA"/>
              </w:rPr>
              <w:t xml:space="preserve"> образовательные услуги по обучению</w:t>
            </w:r>
            <w:r>
              <w:rPr>
                <w:rFonts w:eastAsia="Times New Roman" w:cs="Times New Roman"/>
                <w:sz w:val="24"/>
                <w:szCs w:val="24"/>
                <w:lang w:eastAsia="ar-SA"/>
              </w:rPr>
              <w:t>, а Заказчик принял оказанные услуги.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ar-SA"/>
              </w:rPr>
            </w:pPr>
            <w:r>
              <w:rPr>
                <w:rFonts w:eastAsia="Times New Roman" w:cs="Times New Roman"/>
                <w:sz w:val="24"/>
                <w:szCs w:val="24"/>
                <w:lang w:eastAsia="ar-SA"/>
              </w:rPr>
            </w:r>
          </w:p>
          <w:p>
            <w:pPr>
              <w:pStyle w:val="Normal"/>
              <w:numPr>
                <w:ilvl w:val="0"/>
                <w:numId w:val="3"/>
              </w:numPr>
              <w:suppressAutoHyphens w:val="true"/>
              <w:spacing w:lineRule="auto" w:line="240" w:before="0" w:after="0"/>
              <w:ind w:firstLine="709" w:start="-105"/>
              <w:jc w:val="both"/>
              <w:rPr>
                <w:rFonts w:ascii="Times New Roman" w:hAnsi="Times New Roman" w:eastAsia="Times New Roman" w:cs="Times New Roman"/>
                <w:sz w:val="24"/>
                <w:szCs w:val="24"/>
                <w:lang w:eastAsia="ar-SA"/>
              </w:rPr>
            </w:pPr>
            <w:r>
              <w:rPr>
                <w:rFonts w:eastAsia="Times New Roman" w:cs="Times New Roman"/>
                <w:sz w:val="24"/>
                <w:szCs w:val="24"/>
                <w:lang w:eastAsia="ar-SA"/>
              </w:rPr>
              <w:t>Исполнитель, по состоянию на «__» _______ 2026 г. оказал услуги</w:t>
              <w:br/>
              <w:t xml:space="preserve">по Контракту </w:t>
            </w:r>
            <w:r>
              <w:rPr>
                <w:rFonts w:eastAsia="Times New Roman" w:cs="Times New Roman"/>
                <w:b/>
                <w:sz w:val="24"/>
                <w:szCs w:val="24"/>
                <w:lang w:eastAsia="ar-SA"/>
              </w:rPr>
              <w:t>от</w:t>
            </w:r>
            <w:r>
              <w:rPr>
                <w:rFonts w:eastAsia="Calibri" w:cs="Times New Roman"/>
                <w:b/>
                <w:sz w:val="24"/>
                <w:szCs w:val="24"/>
              </w:rPr>
              <w:t xml:space="preserve"> «__» _______ 2026 </w:t>
            </w:r>
            <w:r>
              <w:rPr>
                <w:rFonts w:eastAsia="Times New Roman" w:cs="Times New Roman"/>
                <w:b/>
                <w:sz w:val="24"/>
                <w:szCs w:val="24"/>
                <w:lang w:eastAsia="ar-SA"/>
              </w:rPr>
              <w:t xml:space="preserve">г. </w:t>
            </w:r>
            <w:r>
              <w:rPr>
                <w:rFonts w:eastAsia="Calibri" w:cs="Times New Roman"/>
                <w:b/>
                <w:sz w:val="24"/>
                <w:szCs w:val="24"/>
              </w:rPr>
              <w:t>№ __/МТННА-26/Ю</w:t>
            </w:r>
            <w:r>
              <w:rPr>
                <w:rFonts w:eastAsia="Times New Roman" w:cs="Times New Roman"/>
                <w:sz w:val="24"/>
                <w:szCs w:val="24"/>
                <w:lang w:eastAsia="ar-SA"/>
              </w:rPr>
              <w:t xml:space="preserve"> (далее – Контракт) в следующем объеме:</w:t>
            </w:r>
          </w:p>
          <w:p>
            <w:pPr>
              <w:pStyle w:val="Normal"/>
              <w:suppressAutoHyphens w:val="true"/>
              <w:spacing w:lineRule="auto" w:line="240" w:before="0" w:after="0"/>
              <w:ind w:start="604"/>
              <w:jc w:val="both"/>
              <w:rPr>
                <w:rFonts w:ascii="Times New Roman" w:hAnsi="Times New Roman" w:eastAsia="Times New Roman" w:cs="Times New Roman"/>
                <w:sz w:val="24"/>
                <w:szCs w:val="24"/>
                <w:lang w:eastAsia="ar-SA"/>
              </w:rPr>
            </w:pPr>
            <w:r>
              <w:rPr>
                <w:rFonts w:eastAsia="Times New Roman" w:cs="Times New Roman"/>
                <w:sz w:val="24"/>
                <w:szCs w:val="24"/>
                <w:lang w:eastAsia="ar-SA"/>
              </w:rPr>
            </w:r>
          </w:p>
          <w:tbl>
            <w:tblPr>
              <w:tblW w:w="5000" w:type="pct"/>
              <w:jc w:val="start"/>
              <w:tblInd w:w="0" w:type="dxa"/>
              <w:tblLayout w:type="fixed"/>
              <w:tblCellMar>
                <w:top w:w="0" w:type="dxa"/>
                <w:start w:w="28" w:type="dxa"/>
                <w:bottom w:w="0" w:type="dxa"/>
                <w:end w:w="28" w:type="dxa"/>
              </w:tblCellMar>
              <w:tblLook w:val="04a0" w:noHBand="0" w:noVBand="1" w:firstColumn="1" w:lastRow="0" w:lastColumn="0" w:firstRow="1"/>
            </w:tblPr>
            <w:tblGrid>
              <w:gridCol w:w="412"/>
              <w:gridCol w:w="4181"/>
              <w:gridCol w:w="1341"/>
              <w:gridCol w:w="1537"/>
              <w:gridCol w:w="1667"/>
            </w:tblGrid>
            <w:tr>
              <w:trPr/>
              <w:tc>
                <w:tcPr>
                  <w:tcW w:w="412"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b/>
                      <w:sz w:val="24"/>
                      <w:szCs w:val="24"/>
                      <w:lang w:eastAsia="ar-SA"/>
                    </w:rPr>
                    <w:t>№</w:t>
                  </w:r>
                </w:p>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b/>
                      <w:sz w:val="24"/>
                      <w:szCs w:val="24"/>
                      <w:lang w:eastAsia="ar-SA"/>
                    </w:rPr>
                    <w:t>п/п</w:t>
                  </w:r>
                </w:p>
              </w:tc>
              <w:tc>
                <w:tcPr>
                  <w:tcW w:w="4181"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b/>
                      <w:sz w:val="24"/>
                      <w:szCs w:val="24"/>
                      <w:lang w:eastAsia="ar-SA"/>
                    </w:rPr>
                    <w:t>Наименование</w:t>
                  </w:r>
                </w:p>
              </w:tc>
              <w:tc>
                <w:tcPr>
                  <w:tcW w:w="1341"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b/>
                      <w:sz w:val="24"/>
                      <w:szCs w:val="24"/>
                      <w:lang w:eastAsia="ar-SA"/>
                    </w:rPr>
                    <w:t>Количество</w:t>
                  </w:r>
                </w:p>
              </w:tc>
              <w:tc>
                <w:tcPr>
                  <w:tcW w:w="3204" w:type="dxa"/>
                  <w:gridSpan w:val="2"/>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b/>
                      <w:sz w:val="24"/>
                      <w:szCs w:val="24"/>
                      <w:lang w:eastAsia="ar-SA"/>
                    </w:rPr>
                    <w:t>Стоимость, руб.</w:t>
                  </w:r>
                </w:p>
              </w:tc>
            </w:tr>
            <w:tr>
              <w:trPr/>
              <w:tc>
                <w:tcPr>
                  <w:tcW w:w="412"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uppressAutoHyphens w:val="true"/>
                    <w:spacing w:lineRule="auto" w:line="240" w:before="0" w:after="0"/>
                    <w:jc w:val="both"/>
                    <w:rPr>
                      <w:rFonts w:ascii="Times New Roman" w:hAnsi="Times New Roman" w:eastAsia="Times New Roman" w:cs="Times New Roman"/>
                      <w:spacing w:val="-2"/>
                      <w:sz w:val="24"/>
                      <w:szCs w:val="24"/>
                      <w:lang w:eastAsia="ar-SA"/>
                    </w:rPr>
                  </w:pPr>
                  <w:r>
                    <w:rPr>
                      <w:rFonts w:eastAsia="Times New Roman" w:cs="Times New Roman"/>
                      <w:spacing w:val="-2"/>
                      <w:sz w:val="24"/>
                      <w:szCs w:val="24"/>
                      <w:lang w:eastAsia="ar-SA"/>
                    </w:rPr>
                  </w:r>
                </w:p>
              </w:tc>
              <w:tc>
                <w:tcPr>
                  <w:tcW w:w="4181"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uppressAutoHyphens w:val="true"/>
                    <w:spacing w:lineRule="auto" w:line="240" w:before="0" w:after="0"/>
                    <w:jc w:val="both"/>
                    <w:rPr>
                      <w:rFonts w:ascii="Times New Roman" w:hAnsi="Times New Roman" w:eastAsia="Times New Roman" w:cs="Times New Roman"/>
                      <w:spacing w:val="-2"/>
                      <w:sz w:val="24"/>
                      <w:szCs w:val="24"/>
                      <w:lang w:eastAsia="ar-SA"/>
                    </w:rPr>
                  </w:pPr>
                  <w:r>
                    <w:rPr>
                      <w:rFonts w:eastAsia="Times New Roman" w:cs="Times New Roman"/>
                      <w:spacing w:val="-2"/>
                      <w:sz w:val="24"/>
                      <w:szCs w:val="24"/>
                      <w:lang w:eastAsia="ar-SA"/>
                    </w:rPr>
                  </w:r>
                </w:p>
              </w:tc>
              <w:tc>
                <w:tcPr>
                  <w:tcW w:w="1341"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uppressAutoHyphens w:val="true"/>
                    <w:spacing w:lineRule="auto" w:line="240" w:before="0" w:after="0"/>
                    <w:jc w:val="both"/>
                    <w:rPr>
                      <w:rFonts w:ascii="Times New Roman" w:hAnsi="Times New Roman" w:eastAsia="Times New Roman" w:cs="Times New Roman"/>
                      <w:spacing w:val="-2"/>
                      <w:sz w:val="24"/>
                      <w:szCs w:val="24"/>
                      <w:lang w:eastAsia="ar-SA"/>
                    </w:rPr>
                  </w:pPr>
                  <w:r>
                    <w:rPr>
                      <w:rFonts w:eastAsia="Times New Roman" w:cs="Times New Roman"/>
                      <w:spacing w:val="-2"/>
                      <w:sz w:val="24"/>
                      <w:szCs w:val="24"/>
                      <w:lang w:eastAsia="ar-SA"/>
                    </w:rPr>
                  </w:r>
                </w:p>
              </w:tc>
              <w:tc>
                <w:tcPr>
                  <w:tcW w:w="15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uppressAutoHyphens w:val="true"/>
                    <w:spacing w:lineRule="auto" w:line="240" w:before="0" w:after="0"/>
                    <w:jc w:val="center"/>
                    <w:rPr>
                      <w:rFonts w:ascii="Times New Roman" w:hAnsi="Times New Roman" w:eastAsia="Times New Roman" w:cs="Times New Roman"/>
                      <w:spacing w:val="-2"/>
                      <w:sz w:val="24"/>
                      <w:szCs w:val="24"/>
                      <w:lang w:eastAsia="ar-SA"/>
                    </w:rPr>
                  </w:pPr>
                  <w:r>
                    <w:rPr>
                      <w:rFonts w:eastAsia="Times New Roman" w:cs="Times New Roman"/>
                      <w:b/>
                      <w:sz w:val="24"/>
                      <w:szCs w:val="24"/>
                      <w:lang w:eastAsia="ar-SA"/>
                    </w:rPr>
                    <w:t>Цена за единицу, руб.</w:t>
                  </w:r>
                </w:p>
              </w:tc>
              <w:tc>
                <w:tcPr>
                  <w:tcW w:w="166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57" w:before="0" w:after="0"/>
                    <w:jc w:val="center"/>
                    <w:rPr>
                      <w:rFonts w:ascii="Times New Roman" w:hAnsi="Times New Roman" w:eastAsia="Times New Roman" w:cs="Times New Roman"/>
                      <w:b/>
                      <w:sz w:val="24"/>
                      <w:szCs w:val="24"/>
                      <w:lang w:eastAsia="ar-SA"/>
                    </w:rPr>
                  </w:pPr>
                  <w:r>
                    <w:rPr>
                      <w:rFonts w:eastAsia="Times New Roman" w:cs="Times New Roman"/>
                      <w:b/>
                      <w:sz w:val="24"/>
                      <w:szCs w:val="24"/>
                      <w:lang w:eastAsia="ar-SA"/>
                    </w:rPr>
                    <w:t>Сумма,</w:t>
                  </w:r>
                </w:p>
                <w:p>
                  <w:pPr>
                    <w:pStyle w:val="Normal"/>
                    <w:suppressAutoHyphens w:val="true"/>
                    <w:spacing w:lineRule="auto" w:line="240" w:before="0" w:after="0"/>
                    <w:jc w:val="center"/>
                    <w:rPr>
                      <w:rFonts w:ascii="Times New Roman" w:hAnsi="Times New Roman" w:eastAsia="Times New Roman" w:cs="Times New Roman"/>
                      <w:spacing w:val="-2"/>
                      <w:sz w:val="24"/>
                      <w:szCs w:val="24"/>
                      <w:lang w:eastAsia="ar-SA"/>
                    </w:rPr>
                  </w:pPr>
                  <w:r>
                    <w:rPr>
                      <w:rFonts w:eastAsia="Times New Roman" w:cs="Times New Roman"/>
                      <w:b/>
                      <w:sz w:val="24"/>
                      <w:szCs w:val="24"/>
                      <w:lang w:eastAsia="ar-SA"/>
                    </w:rPr>
                    <w:t>руб.</w:t>
                  </w:r>
                  <w:r>
                    <w:rPr>
                      <w:rFonts w:eastAsia="Times New Roman" w:cs="Times New Roman"/>
                      <w:sz w:val="24"/>
                      <w:szCs w:val="24"/>
                      <w:vertAlign w:val="superscript"/>
                      <w:lang w:eastAsia="ar-SA"/>
                    </w:rPr>
                    <w:t xml:space="preserve"> </w:t>
                  </w:r>
                  <w:r>
                    <w:rPr>
                      <w:rStyle w:val="FootnoteReference"/>
                      <w:rFonts w:eastAsia="Times New Roman" w:cs="Times New Roman"/>
                      <w:sz w:val="24"/>
                      <w:szCs w:val="24"/>
                      <w:vertAlign w:val="superscript"/>
                      <w:lang w:eastAsia="ar-SA"/>
                    </w:rPr>
                    <w:footnoteReference w:id="2"/>
                  </w:r>
                </w:p>
              </w:tc>
            </w:tr>
            <w:tr>
              <w:trPr/>
              <w:tc>
                <w:tcPr>
                  <w:tcW w:w="41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uppressAutoHyphens w:val="true"/>
                    <w:spacing w:lineRule="auto" w:line="240" w:before="0" w:after="0"/>
                    <w:jc w:val="center"/>
                    <w:rPr>
                      <w:rFonts w:ascii="Times New Roman" w:hAnsi="Times New Roman" w:eastAsia="Times New Roman" w:cs="Times New Roman"/>
                      <w:spacing w:val="-2"/>
                      <w:sz w:val="24"/>
                      <w:szCs w:val="24"/>
                      <w:lang w:eastAsia="ar-SA"/>
                    </w:rPr>
                  </w:pPr>
                  <w:r>
                    <w:rPr>
                      <w:rFonts w:eastAsia="Times New Roman" w:cs="Times New Roman"/>
                      <w:spacing w:val="-2"/>
                      <w:sz w:val="24"/>
                      <w:szCs w:val="24"/>
                      <w:lang w:eastAsia="ar-SA"/>
                    </w:rPr>
                    <w:t>1</w:t>
                  </w:r>
                </w:p>
              </w:tc>
              <w:tc>
                <w:tcPr>
                  <w:tcW w:w="41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tabs>
                      <w:tab w:val="clear" w:pos="709"/>
                      <w:tab w:val="left" w:pos="1134" w:leader="none"/>
                    </w:tabs>
                    <w:spacing w:lineRule="auto" w:line="240" w:before="0" w:after="0"/>
                    <w:rPr>
                      <w:rFonts w:ascii="Times New Roman" w:hAnsi="Times New Roman" w:eastAsia="Times New Roman" w:cs="Times New Roman"/>
                      <w:sz w:val="24"/>
                      <w:szCs w:val="24"/>
                      <w:lang w:eastAsia="ar-SA"/>
                    </w:rPr>
                  </w:pPr>
                  <w:r>
                    <w:rPr>
                      <w:rFonts w:eastAsia="Times New Roman" w:cs="Times New Roman"/>
                      <w:bCs/>
                      <w:sz w:val="24"/>
                      <w:szCs w:val="24"/>
                      <w:lang w:eastAsia="ar-SA"/>
                    </w:rPr>
                    <w:t xml:space="preserve">Оказание образовательных услуг по программе </w:t>
                  </w:r>
                  <w:r>
                    <w:rPr>
                      <w:rFonts w:eastAsia="Calibri" w:cs="Times New Roman"/>
                      <w:sz w:val="24"/>
                      <w:szCs w:val="24"/>
                    </w:rPr>
                    <w:t>«Новые нормативные акты об особенностях исполнения бюджетов для казенных учреждений в 2026-2027»</w:t>
                  </w:r>
                  <w:r>
                    <w:rPr>
                      <w:rFonts w:eastAsia="Times New Roman" w:cs="Times New Roman"/>
                      <w:sz w:val="24"/>
                      <w:szCs w:val="24"/>
                    </w:rPr>
                    <w:t xml:space="preserve"> трудоемкостью 26 академических часов по о</w:t>
                  </w:r>
                  <w:r>
                    <w:rPr>
                      <w:rFonts w:cs="Times New Roman"/>
                      <w:sz w:val="24"/>
                      <w:szCs w:val="24"/>
                    </w:rPr>
                    <w:t>чно-заочной форме обучения с применением дистанционных образовательных технологий</w:t>
                  </w:r>
                </w:p>
              </w:tc>
              <w:tc>
                <w:tcPr>
                  <w:tcW w:w="134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sz w:val="24"/>
                      <w:szCs w:val="24"/>
                      <w:lang w:eastAsia="ar-SA"/>
                    </w:rPr>
                    <w:t>4</w:t>
                  </w:r>
                </w:p>
              </w:tc>
              <w:tc>
                <w:tcPr>
                  <w:tcW w:w="15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sz w:val="24"/>
                      <w:szCs w:val="24"/>
                      <w:lang w:eastAsia="ar-SA"/>
                    </w:rPr>
                    <w:t>45 000,00</w:t>
                  </w:r>
                </w:p>
              </w:tc>
              <w:tc>
                <w:tcPr>
                  <w:tcW w:w="166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sz w:val="24"/>
                      <w:szCs w:val="24"/>
                      <w:lang w:eastAsia="ar-SA"/>
                    </w:rPr>
                    <w:t>180 000,00</w:t>
                  </w:r>
                </w:p>
              </w:tc>
            </w:tr>
            <w:tr>
              <w:trPr>
                <w:trHeight w:val="453" w:hRule="atLeast"/>
              </w:trPr>
              <w:tc>
                <w:tcPr>
                  <w:tcW w:w="7471" w:type="dxa"/>
                  <w:gridSpan w:val="4"/>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uppressAutoHyphens w:val="true"/>
                    <w:spacing w:lineRule="auto" w:line="240" w:before="0" w:after="0"/>
                    <w:jc w:val="end"/>
                    <w:rPr>
                      <w:rFonts w:ascii="Times New Roman" w:hAnsi="Times New Roman" w:eastAsia="Times New Roman" w:cs="Times New Roman"/>
                      <w:b/>
                      <w:bCs/>
                      <w:spacing w:val="-2"/>
                      <w:sz w:val="24"/>
                      <w:szCs w:val="24"/>
                      <w:lang w:eastAsia="ar-SA"/>
                    </w:rPr>
                  </w:pPr>
                  <w:r>
                    <w:rPr>
                      <w:rFonts w:eastAsia="Times New Roman" w:cs="Times New Roman"/>
                      <w:b/>
                      <w:bCs/>
                      <w:sz w:val="24"/>
                      <w:szCs w:val="24"/>
                      <w:lang w:eastAsia="ar-SA"/>
                    </w:rPr>
                    <w:t>Итого:</w:t>
                  </w:r>
                </w:p>
              </w:tc>
              <w:tc>
                <w:tcPr>
                  <w:tcW w:w="166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sz w:val="24"/>
                      <w:szCs w:val="24"/>
                      <w:lang w:eastAsia="ar-SA"/>
                    </w:rPr>
                    <w:t>180 000,00</w:t>
                  </w:r>
                </w:p>
              </w:tc>
            </w:tr>
          </w:tbl>
          <w:p>
            <w:pPr>
              <w:pStyle w:val="ListParagraph"/>
              <w:widowControl w:val="false"/>
              <w:numPr>
                <w:ilvl w:val="0"/>
                <w:numId w:val="3"/>
              </w:numPr>
              <w:spacing w:lineRule="auto" w:line="240" w:before="0" w:after="0"/>
              <w:contextualSpacing/>
              <w:jc w:val="both"/>
              <w:rPr>
                <w:rFonts w:ascii="Times New Roman" w:hAnsi="Times New Roman" w:eastAsia="Times New Roman" w:cs="Times New Roman"/>
                <w:sz w:val="24"/>
                <w:szCs w:val="24"/>
                <w:lang w:eastAsia="ar-SA"/>
              </w:rPr>
            </w:pPr>
            <w:r>
              <w:rPr>
                <w:rFonts w:eastAsia="Times New Roman" w:cs="Times New Roman"/>
                <w:sz w:val="24"/>
                <w:szCs w:val="24"/>
                <w:lang w:eastAsia="ar-SA"/>
              </w:rPr>
              <w:t>Качество оказанных услуг соответствует требованиям Контракта.</w:t>
            </w:r>
          </w:p>
          <w:p>
            <w:pPr>
              <w:pStyle w:val="ListParagraph"/>
              <w:widowControl w:val="false"/>
              <w:spacing w:lineRule="auto" w:line="240" w:before="0" w:after="0"/>
              <w:ind w:firstLine="720" w:start="1068"/>
              <w:contextualSpacing/>
              <w:jc w:val="both"/>
              <w:rPr>
                <w:rFonts w:ascii="Times New Roman" w:hAnsi="Times New Roman" w:eastAsia="Times New Roman" w:cs="Times New Roman"/>
                <w:sz w:val="24"/>
                <w:szCs w:val="24"/>
                <w:lang w:eastAsia="ar-SA"/>
              </w:rPr>
            </w:pPr>
            <w:r>
              <w:rPr>
                <w:rFonts w:eastAsia="Times New Roman" w:cs="Times New Roman"/>
                <w:sz w:val="24"/>
                <w:szCs w:val="24"/>
                <w:lang w:eastAsia="ar-SA"/>
              </w:rPr>
            </w:r>
          </w:p>
          <w:p>
            <w:pPr>
              <w:pStyle w:val="ListParagraph"/>
              <w:widowControl w:val="false"/>
              <w:numPr>
                <w:ilvl w:val="0"/>
                <w:numId w:val="3"/>
              </w:numPr>
              <w:spacing w:lineRule="auto" w:line="240" w:before="0" w:after="0"/>
              <w:contextualSpacing/>
              <w:jc w:val="both"/>
              <w:rPr>
                <w:rFonts w:ascii="Times New Roman" w:hAnsi="Times New Roman" w:eastAsia="Times New Roman" w:cs="Times New Roman"/>
                <w:sz w:val="24"/>
                <w:szCs w:val="24"/>
                <w:lang w:eastAsia="ar-SA"/>
              </w:rPr>
            </w:pPr>
            <w:r>
              <w:rPr>
                <w:rFonts w:eastAsia="Times New Roman" w:cs="Times New Roman"/>
                <w:sz w:val="24"/>
                <w:szCs w:val="24"/>
                <w:lang w:eastAsia="ar-SA"/>
              </w:rPr>
              <w:t>Цена по Контракту составляет 180 000 (Сто восемьдесят тысяч) рублей 00 копеек.</w:t>
            </w:r>
          </w:p>
          <w:p>
            <w:pPr>
              <w:pStyle w:val="ListParagraph"/>
              <w:rPr>
                <w:rFonts w:ascii="Times New Roman" w:hAnsi="Times New Roman" w:eastAsia="Times New Roman" w:cs="Times New Roman"/>
                <w:sz w:val="24"/>
                <w:szCs w:val="24"/>
                <w:lang w:eastAsia="ar-SA"/>
              </w:rPr>
            </w:pPr>
            <w:r>
              <w:rPr>
                <w:rFonts w:eastAsia="Times New Roman" w:cs="Times New Roman"/>
                <w:sz w:val="24"/>
                <w:szCs w:val="24"/>
                <w:lang w:eastAsia="ar-SA"/>
              </w:rPr>
            </w:r>
          </w:p>
          <w:p>
            <w:pPr>
              <w:pStyle w:val="ListParagraph"/>
              <w:widowControl w:val="false"/>
              <w:numPr>
                <w:ilvl w:val="0"/>
                <w:numId w:val="3"/>
              </w:numPr>
              <w:spacing w:lineRule="auto" w:line="240" w:before="0" w:after="0"/>
              <w:contextualSpacing/>
              <w:jc w:val="both"/>
              <w:rPr>
                <w:rFonts w:ascii="Times New Roman" w:hAnsi="Times New Roman" w:eastAsia="Times New Roman" w:cs="Times New Roman"/>
                <w:sz w:val="24"/>
                <w:szCs w:val="24"/>
                <w:lang w:eastAsia="ar-SA"/>
              </w:rPr>
            </w:pPr>
            <w:r>
              <w:rPr>
                <w:rFonts w:eastAsia="Times New Roman" w:cs="Times New Roman"/>
                <w:sz w:val="24"/>
                <w:szCs w:val="24"/>
                <w:lang w:eastAsia="ar-SA"/>
              </w:rPr>
              <w:t>Оказано услуг на сумму: 180 000 (Сто восемьдесят тысяч) рублей 00 копеек.</w:t>
            </w:r>
          </w:p>
          <w:p>
            <w:pPr>
              <w:pStyle w:val="Normal"/>
              <w:widowControl w:val="false"/>
              <w:spacing w:lineRule="auto" w:line="240" w:before="0" w:after="0"/>
              <w:jc w:val="both"/>
              <w:rPr>
                <w:rFonts w:ascii="Times New Roman" w:hAnsi="Times New Roman" w:eastAsia="Times New Roman" w:cs="Times New Roman"/>
                <w:sz w:val="24"/>
                <w:szCs w:val="24"/>
                <w:lang w:eastAsia="ar-SA"/>
              </w:rPr>
            </w:pPr>
            <w:r>
              <w:rPr>
                <w:rFonts w:eastAsia="Times New Roman" w:cs="Times New Roman"/>
                <w:sz w:val="24"/>
                <w:szCs w:val="24"/>
                <w:lang w:eastAsia="ar-SA"/>
              </w:rPr>
            </w:r>
          </w:p>
          <w:p>
            <w:pPr>
              <w:pStyle w:val="ListParagraph"/>
              <w:widowControl w:val="false"/>
              <w:numPr>
                <w:ilvl w:val="0"/>
                <w:numId w:val="3"/>
              </w:numPr>
              <w:tabs>
                <w:tab w:val="clear" w:pos="709"/>
                <w:tab w:val="left" w:pos="1080" w:leader="none"/>
              </w:tabs>
              <w:spacing w:lineRule="auto" w:line="240" w:before="0" w:after="0"/>
              <w:ind w:firstLine="670" w:start="37"/>
              <w:contextualSpacing/>
              <w:jc w:val="both"/>
              <w:rPr>
                <w:rFonts w:ascii="Times New Roman" w:hAnsi="Times New Roman" w:eastAsia="Calibri" w:cs="Times New Roman"/>
                <w:b/>
                <w:sz w:val="24"/>
                <w:szCs w:val="24"/>
              </w:rPr>
            </w:pPr>
            <w:r>
              <w:rPr>
                <w:rFonts w:eastAsia="Times New Roman" w:cs="Times New Roman"/>
                <w:sz w:val="24"/>
                <w:szCs w:val="24"/>
                <w:lang w:eastAsia="ar-SA"/>
              </w:rPr>
              <w:t>Настоящий Акт составлен в 2 (двух) экземплярах и служит в соответствии с условиями Контракта основанием для проведения расчетов Заказчика с Исполнителем за оказанные услуги.</w:t>
            </w:r>
          </w:p>
        </w:tc>
      </w:tr>
    </w:tbl>
    <w:p>
      <w:pPr>
        <w:pStyle w:val="Normal"/>
        <w:suppressAutoHyphens w:val="true"/>
        <w:spacing w:lineRule="auto" w:line="240" w:before="0" w:after="0"/>
        <w:jc w:val="both"/>
        <w:rPr>
          <w:rFonts w:ascii="Times New Roman" w:hAnsi="Times New Roman" w:eastAsia="Calibri" w:cs="Times New Roman"/>
          <w:sz w:val="24"/>
          <w:szCs w:val="24"/>
        </w:rPr>
      </w:pPr>
      <w:r>
        <w:rPr>
          <w:rFonts w:eastAsia="Calibri" w:cs="Times New Roman"/>
          <w:sz w:val="24"/>
          <w:szCs w:val="24"/>
        </w:rPr>
      </w:r>
    </w:p>
    <w:p>
      <w:pPr>
        <w:pStyle w:val="Normal"/>
        <w:suppressAutoHyphens w:val="true"/>
        <w:spacing w:lineRule="auto" w:line="240" w:before="0" w:after="0"/>
        <w:jc w:val="both"/>
        <w:rPr>
          <w:rFonts w:ascii="Times New Roman" w:hAnsi="Times New Roman" w:eastAsia="Calibri" w:cs="Times New Roman"/>
          <w:sz w:val="24"/>
          <w:szCs w:val="24"/>
        </w:rPr>
      </w:pPr>
      <w:r>
        <w:rPr>
          <w:rFonts w:eastAsia="Calibri" w:cs="Times New Roman"/>
          <w:sz w:val="24"/>
          <w:szCs w:val="24"/>
        </w:rPr>
      </w:r>
    </w:p>
    <w:p>
      <w:pPr>
        <w:pStyle w:val="Normal"/>
        <w:suppressAutoHyphens w:val="true"/>
        <w:spacing w:lineRule="auto" w:line="240" w:before="0" w:after="0"/>
        <w:jc w:val="both"/>
        <w:rPr>
          <w:rFonts w:ascii="Times New Roman" w:hAnsi="Times New Roman" w:eastAsia="Calibri" w:cs="Times New Roman"/>
          <w:sz w:val="24"/>
          <w:szCs w:val="24"/>
        </w:rPr>
      </w:pPr>
      <w:r>
        <w:rPr>
          <w:rFonts w:eastAsia="Calibri" w:cs="Times New Roman"/>
          <w:sz w:val="24"/>
          <w:szCs w:val="24"/>
        </w:rPr>
      </w:r>
    </w:p>
    <w:tbl>
      <w:tblPr>
        <w:tblW w:w="5000" w:type="pct"/>
        <w:jc w:val="start"/>
        <w:tblInd w:w="108" w:type="dxa"/>
        <w:tblLayout w:type="fixed"/>
        <w:tblCellMar>
          <w:top w:w="0" w:type="dxa"/>
          <w:start w:w="108" w:type="dxa"/>
          <w:bottom w:w="0" w:type="dxa"/>
          <w:end w:w="108" w:type="dxa"/>
        </w:tblCellMar>
        <w:tblLook w:val="04a0" w:noHBand="0" w:noVBand="1" w:firstColumn="1" w:lastRow="0" w:lastColumn="0" w:firstRow="1"/>
      </w:tblPr>
      <w:tblGrid>
        <w:gridCol w:w="4557"/>
        <w:gridCol w:w="4797"/>
      </w:tblGrid>
      <w:tr>
        <w:trPr>
          <w:trHeight w:val="299" w:hRule="atLeast"/>
        </w:trPr>
        <w:tc>
          <w:tcPr>
            <w:tcW w:w="4557" w:type="dxa"/>
            <w:tcBorders/>
          </w:tcPr>
          <w:p>
            <w:pPr>
              <w:pStyle w:val="Normal"/>
              <w:spacing w:lineRule="auto" w:line="240" w:before="0" w:after="0"/>
              <w:jc w:val="center"/>
              <w:rPr>
                <w:highlight w:val="none"/>
                <w:shd w:fill="auto" w:val="clear"/>
              </w:rPr>
            </w:pPr>
            <w:r>
              <w:rPr>
                <w:rFonts w:eastAsia="Times New Roman" w:cs="Times New Roman"/>
                <w:b/>
                <w:sz w:val="24"/>
                <w:szCs w:val="24"/>
                <w:shd w:fill="auto" w:val="clear"/>
                <w:lang w:eastAsia="ar-SA"/>
              </w:rPr>
              <w:t>От Заказчика:</w:t>
            </w:r>
          </w:p>
          <w:p>
            <w:pPr>
              <w:pStyle w:val="Normal"/>
              <w:spacing w:lineRule="auto" w:line="240" w:before="0" w:after="0"/>
              <w:rPr>
                <w:rFonts w:ascii="Times New Roman" w:hAnsi="Times New Roman" w:eastAsia="Times New Roman" w:cs="Times New Roman"/>
                <w:sz w:val="24"/>
                <w:szCs w:val="24"/>
                <w:highlight w:val="none"/>
                <w:shd w:fill="auto" w:val="clear"/>
                <w:lang w:eastAsia="ar-SA"/>
              </w:rPr>
            </w:pPr>
            <w:r>
              <w:rPr>
                <w:rFonts w:eastAsia="Times New Roman" w:cs="Times New Roman"/>
                <w:sz w:val="24"/>
                <w:szCs w:val="24"/>
                <w:shd w:fill="auto" w:val="clear"/>
                <w:lang w:eastAsia="ar-SA"/>
              </w:rPr>
            </w:r>
          </w:p>
        </w:tc>
        <w:tc>
          <w:tcPr>
            <w:tcW w:w="4797" w:type="dxa"/>
            <w:tcBorders/>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b/>
                <w:sz w:val="24"/>
                <w:szCs w:val="24"/>
                <w:lang w:eastAsia="ar-SA"/>
              </w:rPr>
              <w:t>От Исполнителя:</w:t>
            </w:r>
          </w:p>
        </w:tc>
      </w:tr>
      <w:tr>
        <w:trPr>
          <w:trHeight w:val="100" w:hRule="atLeast"/>
        </w:trPr>
        <w:tc>
          <w:tcPr>
            <w:tcW w:w="4557" w:type="dxa"/>
            <w:tcBorders/>
          </w:tcPr>
          <w:p>
            <w:pPr>
              <w:pStyle w:val="Normal"/>
              <w:spacing w:lineRule="auto" w:line="240" w:before="0" w:after="0"/>
              <w:jc w:val="center"/>
              <w:rPr>
                <w:highlight w:val="none"/>
                <w:shd w:fill="auto" w:val="clear"/>
              </w:rPr>
            </w:pPr>
            <w:r>
              <w:rPr>
                <w:rFonts w:eastAsia="Times New Roman" w:cs="Times New Roman"/>
                <w:sz w:val="24"/>
                <w:szCs w:val="24"/>
                <w:shd w:fill="auto" w:val="clear"/>
                <w:lang w:eastAsia="ar-SA"/>
              </w:rPr>
              <w:t>Руководитель-главный эксперт по МСЭ</w:t>
            </w:r>
          </w:p>
        </w:tc>
        <w:tc>
          <w:tcPr>
            <w:tcW w:w="4797" w:type="dxa"/>
            <w:tcBorders/>
          </w:tcPr>
          <w:p>
            <w:pPr>
              <w:pStyle w:val="Normal"/>
              <w:spacing w:lineRule="auto" w:line="240" w:before="0" w:after="0"/>
              <w:jc w:val="center"/>
              <w:rPr>
                <w:rFonts w:ascii="Times New Roman" w:hAnsi="Times New Roman" w:eastAsia="Times New Roman" w:cs="Times New Roman"/>
                <w:sz w:val="24"/>
                <w:szCs w:val="24"/>
                <w:lang w:eastAsia="ar-SA"/>
              </w:rPr>
            </w:pPr>
            <w:r>
              <w:rPr>
                <w:rFonts w:cs="Times New Roman"/>
                <w:spacing w:val="-2"/>
                <w:sz w:val="24"/>
                <w:szCs w:val="24"/>
              </w:rPr>
              <w:t>Директор МШБ (Института)</w:t>
            </w:r>
          </w:p>
        </w:tc>
      </w:tr>
      <w:tr>
        <w:trPr>
          <w:trHeight w:val="299" w:hRule="atLeast"/>
        </w:trPr>
        <w:tc>
          <w:tcPr>
            <w:tcW w:w="4557" w:type="dxa"/>
            <w:tcBorders/>
          </w:tcPr>
          <w:p>
            <w:pPr>
              <w:pStyle w:val="Normal"/>
              <w:spacing w:lineRule="auto" w:line="240" w:before="0" w:after="0"/>
              <w:jc w:val="center"/>
              <w:rPr>
                <w:rFonts w:ascii="Times New Roman" w:hAnsi="Times New Roman" w:eastAsia="Times New Roman" w:cs="Times New Roman"/>
                <w:sz w:val="24"/>
                <w:szCs w:val="24"/>
                <w:highlight w:val="none"/>
                <w:shd w:fill="auto" w:val="clear"/>
                <w:lang w:val="x-none" w:eastAsia="ar-SA"/>
              </w:rPr>
            </w:pPr>
            <w:r>
              <w:rPr>
                <w:rFonts w:eastAsia="Times New Roman" w:cs="Times New Roman"/>
                <w:sz w:val="24"/>
                <w:szCs w:val="24"/>
                <w:shd w:fill="auto" w:val="clear"/>
                <w:lang w:val="x-none" w:eastAsia="ar-SA"/>
              </w:rPr>
            </w:r>
          </w:p>
          <w:p>
            <w:pPr>
              <w:pStyle w:val="Normal"/>
              <w:spacing w:lineRule="auto" w:line="240" w:before="0" w:after="0"/>
              <w:jc w:val="center"/>
              <w:rPr>
                <w:highlight w:val="none"/>
                <w:shd w:fill="auto" w:val="clear"/>
              </w:rPr>
            </w:pPr>
            <w:r>
              <w:rPr>
                <w:rFonts w:eastAsia="Times New Roman" w:cs="Times New Roman"/>
                <w:sz w:val="24"/>
                <w:szCs w:val="24"/>
                <w:shd w:fill="auto" w:val="clear"/>
                <w:lang w:val="x-none" w:eastAsia="ar-SA"/>
              </w:rPr>
              <w:t xml:space="preserve"> </w:t>
            </w:r>
            <w:r>
              <w:rPr>
                <w:rFonts w:eastAsia="Times New Roman" w:cs="Times New Roman"/>
                <w:sz w:val="24"/>
                <w:szCs w:val="24"/>
                <w:shd w:fill="auto" w:val="clear"/>
                <w:lang w:val="x-none" w:eastAsia="ar-SA"/>
              </w:rPr>
              <w:t>________________/А.И. Гоголева</w:t>
            </w:r>
            <w:r>
              <w:rPr>
                <w:rFonts w:eastAsia="Times New Roman" w:cs="Times New Roman"/>
                <w:bCs/>
                <w:sz w:val="24"/>
                <w:szCs w:val="24"/>
                <w:shd w:fill="auto" w:val="clear"/>
                <w:lang w:val="en-US" w:eastAsia="ar-SA"/>
              </w:rPr>
              <w:t>/</w:t>
            </w:r>
          </w:p>
          <w:p>
            <w:pPr>
              <w:pStyle w:val="Normal"/>
              <w:spacing w:lineRule="auto" w:line="240" w:before="0" w:after="0"/>
              <w:jc w:val="center"/>
              <w:rPr>
                <w:rFonts w:ascii="Times New Roman" w:hAnsi="Times New Roman" w:eastAsia="Times New Roman" w:cs="Times New Roman"/>
                <w:sz w:val="24"/>
                <w:szCs w:val="24"/>
                <w:highlight w:val="none"/>
                <w:shd w:fill="auto" w:val="clear"/>
                <w:lang w:val="en-US" w:eastAsia="ar-SA"/>
              </w:rPr>
            </w:pPr>
            <w:r>
              <w:rPr>
                <w:rFonts w:eastAsia="Times New Roman" w:cs="Times New Roman"/>
                <w:sz w:val="24"/>
                <w:szCs w:val="24"/>
                <w:shd w:fill="auto" w:val="clear"/>
                <w:lang w:val="en-US" w:eastAsia="ar-SA"/>
              </w:rPr>
            </w:r>
          </w:p>
        </w:tc>
        <w:tc>
          <w:tcPr>
            <w:tcW w:w="4797" w:type="dxa"/>
            <w:tcBorders/>
          </w:tcPr>
          <w:p>
            <w:pPr>
              <w:pStyle w:val="Normal"/>
              <w:spacing w:lineRule="auto" w:line="240" w:before="0" w:after="0"/>
              <w:jc w:val="center"/>
              <w:rPr>
                <w:rFonts w:ascii="Times New Roman" w:hAnsi="Times New Roman" w:eastAsia="Times New Roman" w:cs="Times New Roman"/>
                <w:sz w:val="24"/>
                <w:szCs w:val="24"/>
                <w:lang w:val="x-none" w:eastAsia="ar-SA"/>
              </w:rPr>
            </w:pPr>
            <w:r>
              <w:rPr>
                <w:rFonts w:eastAsia="Times New Roman" w:cs="Times New Roman"/>
                <w:sz w:val="24"/>
                <w:szCs w:val="24"/>
                <w:lang w:val="x-none" w:eastAsia="ar-SA"/>
              </w:rPr>
            </w:r>
          </w:p>
          <w:p>
            <w:pPr>
              <w:pStyle w:val="Normal"/>
              <w:spacing w:lineRule="auto" w:line="240" w:before="0" w:after="0"/>
              <w:jc w:val="center"/>
              <w:rPr>
                <w:rFonts w:ascii="Times New Roman" w:hAnsi="Times New Roman" w:eastAsia="Times New Roman" w:cs="Times New Roman"/>
                <w:bCs/>
                <w:sz w:val="24"/>
                <w:szCs w:val="24"/>
                <w:lang w:val="en-US" w:eastAsia="ar-SA"/>
              </w:rPr>
            </w:pPr>
            <w:r>
              <w:rPr>
                <w:rFonts w:eastAsia="Times New Roman" w:cs="Times New Roman"/>
                <w:sz w:val="24"/>
                <w:szCs w:val="24"/>
                <w:lang w:val="x-none" w:eastAsia="ar-SA"/>
              </w:rPr>
              <w:t xml:space="preserve"> </w:t>
            </w:r>
            <w:r>
              <w:rPr>
                <w:rFonts w:eastAsia="Times New Roman" w:cs="Times New Roman"/>
                <w:sz w:val="24"/>
                <w:szCs w:val="24"/>
                <w:lang w:val="x-none" w:eastAsia="ar-SA"/>
              </w:rPr>
              <w:t>__________________/</w:t>
            </w:r>
            <w:r>
              <w:rPr>
                <w:rFonts w:cs="Times New Roman"/>
                <w:spacing w:val="-2"/>
                <w:sz w:val="24"/>
                <w:szCs w:val="24"/>
              </w:rPr>
              <w:t xml:space="preserve">.В.В. Моисеенко </w:t>
            </w:r>
            <w:r>
              <w:rPr>
                <w:rFonts w:eastAsia="Times New Roman" w:cs="Times New Roman"/>
                <w:bCs/>
                <w:sz w:val="24"/>
                <w:szCs w:val="24"/>
                <w:lang w:val="en-US" w:eastAsia="ar-SA"/>
              </w:rPr>
              <w:t>/</w:t>
            </w:r>
          </w:p>
          <w:p>
            <w:pPr>
              <w:pStyle w:val="Normal"/>
              <w:suppressAutoHyphens w:val="true"/>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sz w:val="24"/>
                <w:szCs w:val="24"/>
                <w:lang w:eastAsia="ar-SA"/>
              </w:rPr>
            </w:r>
            <w:bookmarkStart w:id="114" w:name="_Hlk220075212"/>
            <w:bookmarkStart w:id="115" w:name="_Hlk220075212"/>
            <w:bookmarkEnd w:id="115"/>
          </w:p>
        </w:tc>
      </w:tr>
      <w:tr>
        <w:trPr>
          <w:trHeight w:val="273" w:hRule="atLeast"/>
        </w:trPr>
        <w:tc>
          <w:tcPr>
            <w:tcW w:w="4557" w:type="dxa"/>
            <w:tcBorders/>
          </w:tcPr>
          <w:p>
            <w:pPr>
              <w:pStyle w:val="Normal"/>
              <w:suppressAutoHyphens w:val="true"/>
              <w:spacing w:lineRule="auto" w:line="240" w:before="0" w:after="0"/>
              <w:rPr>
                <w:rFonts w:ascii="Times New Roman" w:hAnsi="Times New Roman" w:eastAsia="Times New Roman" w:cs="Times New Roman"/>
                <w:sz w:val="24"/>
                <w:szCs w:val="24"/>
                <w:lang w:eastAsia="ar-SA"/>
              </w:rPr>
            </w:pPr>
            <w:r>
              <w:rPr>
                <w:rFonts w:eastAsia="Times New Roman" w:cs="Times New Roman"/>
                <w:sz w:val="24"/>
                <w:szCs w:val="24"/>
                <w:lang w:eastAsia="ar-SA"/>
              </w:rPr>
              <w:t>МП</w:t>
            </w:r>
          </w:p>
        </w:tc>
        <w:tc>
          <w:tcPr>
            <w:tcW w:w="4797" w:type="dxa"/>
            <w:tcBorders/>
          </w:tcPr>
          <w:p>
            <w:pPr>
              <w:pStyle w:val="Normal"/>
              <w:suppressAutoHyphens w:val="true"/>
              <w:spacing w:lineRule="auto" w:line="240" w:before="0" w:after="0"/>
              <w:rPr>
                <w:rFonts w:ascii="Times New Roman" w:hAnsi="Times New Roman" w:eastAsia="Times New Roman" w:cs="Times New Roman"/>
                <w:sz w:val="24"/>
                <w:szCs w:val="24"/>
                <w:lang w:eastAsia="ar-SA"/>
              </w:rPr>
            </w:pPr>
            <w:r>
              <w:rPr>
                <w:rFonts w:eastAsia="Times New Roman" w:cs="Times New Roman"/>
                <w:sz w:val="24"/>
                <w:szCs w:val="24"/>
                <w:lang w:eastAsia="ar-SA"/>
              </w:rPr>
              <w:t>МП</w:t>
            </w:r>
            <w:bookmarkStart w:id="116" w:name="_Hlk220075150"/>
            <w:bookmarkEnd w:id="116"/>
          </w:p>
        </w:tc>
      </w:tr>
    </w:tbl>
    <w:p>
      <w:pPr>
        <w:pStyle w:val="Normal"/>
        <w:suppressAutoHyphens w:val="true"/>
        <w:spacing w:lineRule="auto" w:line="240" w:before="0" w:after="0"/>
        <w:jc w:val="both"/>
        <w:rPr>
          <w:rFonts w:ascii="Times New Roman" w:hAnsi="Times New Roman" w:eastAsia="Calibri" w:cs="Times New Roman"/>
          <w:sz w:val="24"/>
          <w:szCs w:val="24"/>
        </w:rPr>
      </w:pPr>
      <w:r>
        <w:rPr>
          <w:rFonts w:eastAsia="Calibri" w:cs="Times New Roman"/>
          <w:sz w:val="24"/>
          <w:szCs w:val="24"/>
        </w:rPr>
      </w:r>
    </w:p>
    <w:p>
      <w:pPr>
        <w:pStyle w:val="Normal"/>
        <w:rPr/>
      </w:pPr>
      <w:r>
        <w:rPr/>
      </w:r>
    </w:p>
    <w:p>
      <w:pPr>
        <w:pStyle w:val="Normal"/>
        <w:spacing w:lineRule="auto" w:line="240" w:before="0" w:after="0"/>
        <w:ind w:firstLine="709"/>
        <w:jc w:val="both"/>
        <w:rPr>
          <w:rFonts w:ascii="Times New Roman" w:hAnsi="Times New Roman" w:eastAsia="Times New Roman" w:cs="Times New Roman"/>
          <w:b/>
          <w:color w:val="000000"/>
          <w:sz w:val="24"/>
          <w:szCs w:val="24"/>
          <w:lang w:val="en-US"/>
        </w:rPr>
      </w:pPr>
      <w:r>
        <w:rPr>
          <w:rFonts w:eastAsia="Times New Roman" w:cs="Times New Roman"/>
          <w:b/>
          <w:color w:val="000000"/>
          <w:sz w:val="24"/>
          <w:szCs w:val="24"/>
          <w:lang w:val="en-US"/>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p>
      <w:pPr>
        <w:pStyle w:val="Normal"/>
        <w:numPr>
          <w:ilvl w:val="0"/>
          <w:numId w:val="0"/>
        </w:numPr>
        <w:spacing w:before="0" w:after="0"/>
        <w:ind w:hanging="0" w:start="0"/>
        <w:jc w:val="end"/>
        <w:outlineLvl w:val="0"/>
        <w:rPr/>
      </w:pPr>
      <w:r>
        <w:rPr/>
      </w:r>
    </w:p>
    <w:sectPr>
      <w:footerReference w:type="even" r:id="rId10"/>
      <w:footerReference w:type="default" r:id="rId11"/>
      <w:footerReference w:type="first" r:id="rId12"/>
      <w:footnotePr>
        <w:numFmt w:val="decimal"/>
      </w:footnotePr>
      <w:type w:val="nextPage"/>
      <w:pgSz w:w="11906" w:h="16838"/>
      <w:pgMar w:left="1701" w:right="851" w:gutter="0" w:header="0" w:top="1134" w:footer="0" w:bottom="156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roman"/>
    <w:pitch w:val="default"/>
  </w:font>
  <w:font w:name="Times New Roman">
    <w:charset w:val="01"/>
    <w:family w:val="roman"/>
    <w:pitch w:val="default"/>
  </w:font>
  <w:font w:name="Cambria">
    <w:charset w:val="01"/>
    <w:family w:val="roman"/>
    <w:pitch w:val="default"/>
  </w:font>
  <w:font w:name="Arial">
    <w:charset w:val="01"/>
    <w:family w:val="swiss"/>
    <w:pitch w:val="default"/>
  </w:font>
  <w:font w:name="Courier New">
    <w:charset w:val="01"/>
    <w:family w:val="roman"/>
    <w:pitch w:val="default"/>
  </w:font>
  <w:font w:name="PT Astra Serif">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rPr>
          <w:rFonts w:ascii="Times New Roman" w:hAnsi="Times New Roman" w:cs="Times New Roman"/>
        </w:rPr>
      </w:pPr>
      <w:r>
        <w:rPr>
          <w:rStyle w:val="Style19"/>
        </w:rPr>
        <w:footnoteRef/>
      </w:r>
      <w:r>
        <w:rPr>
          <w:rFonts w:cs="Times New Roman"/>
        </w:rPr>
        <w:t xml:space="preserve"> </w:t>
      </w:r>
      <w:r>
        <w:rPr>
          <w:rFonts w:cs="Times New Roman"/>
        </w:rPr>
        <w:t>В</w:t>
      </w:r>
      <w:r>
        <w:rPr>
          <w:rFonts w:eastAsia="Calibri" w:cs="Times New Roman"/>
        </w:rPr>
        <w:t xml:space="preserve"> соответствии с подпунктом 14 пункта 2 статьи 149 Налогового кодекса Российской Федерации налогом на добавленную стоимость не облагается.</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851"/>
        </w:tabs>
        <w:ind w:start="851" w:hanging="851"/>
      </w:pPr>
      <w:rPr/>
    </w:lvl>
    <w:lvl w:ilvl="1">
      <w:start w:val="1"/>
      <w:numFmt w:val="decimal"/>
      <w:lvlText w:val="%1.%2."/>
      <w:lvlJc w:val="start"/>
      <w:pPr>
        <w:tabs>
          <w:tab w:val="num" w:pos="1418"/>
        </w:tabs>
        <w:ind w:start="1418" w:hanging="851"/>
      </w:pPr>
      <w:rPr/>
    </w:lvl>
    <w:lvl w:ilvl="2">
      <w:start w:val="1"/>
      <w:numFmt w:val="decimal"/>
      <w:lvlText w:val="%1.%2.%3."/>
      <w:lvlJc w:val="start"/>
      <w:pPr>
        <w:tabs>
          <w:tab w:val="num" w:pos="5531"/>
        </w:tabs>
        <w:ind w:start="5531" w:hanging="851"/>
      </w:pPr>
      <w:rPr>
        <w:color w:val="auto"/>
      </w:rPr>
    </w:lvl>
    <w:lvl w:ilvl="3">
      <w:start w:val="1"/>
      <w:numFmt w:val="bullet"/>
      <w:lvlText w:val=""/>
      <w:lvlJc w:val="start"/>
      <w:pPr>
        <w:tabs>
          <w:tab w:val="num" w:pos="1134"/>
        </w:tabs>
        <w:ind w:start="1134" w:hanging="283"/>
      </w:pPr>
      <w:rPr>
        <w:rFonts w:ascii="Symbol" w:hAnsi="Symbol" w:cs="Symbol" w:hint="default"/>
      </w:rPr>
    </w:lvl>
    <w:lvl w:ilvl="4">
      <w:start w:val="1"/>
      <w:numFmt w:val="decimal"/>
      <w:lvlText w:val="%1.%2.%3.%4.%5."/>
      <w:lvlJc w:val="start"/>
      <w:pPr>
        <w:tabs>
          <w:tab w:val="num" w:pos="2232"/>
        </w:tabs>
        <w:ind w:start="2232" w:hanging="792"/>
      </w:pPr>
      <w:rPr/>
    </w:lvl>
    <w:lvl w:ilvl="5">
      <w:start w:val="1"/>
      <w:numFmt w:val="decimal"/>
      <w:lvlText w:val="%1.%2.%3.%4.%5.%6."/>
      <w:lvlJc w:val="start"/>
      <w:pPr>
        <w:tabs>
          <w:tab w:val="num" w:pos="2736"/>
        </w:tabs>
        <w:ind w:start="2736" w:hanging="936"/>
      </w:pPr>
      <w:rPr/>
    </w:lvl>
    <w:lvl w:ilvl="6">
      <w:start w:val="1"/>
      <w:numFmt w:val="decimal"/>
      <w:lvlText w:val="%1.%2.%3.%4.%5.%6.%7."/>
      <w:lvlJc w:val="start"/>
      <w:pPr>
        <w:tabs>
          <w:tab w:val="num" w:pos="3240"/>
        </w:tabs>
        <w:ind w:start="3240" w:hanging="1080"/>
      </w:pPr>
      <w:rPr/>
    </w:lvl>
    <w:lvl w:ilvl="7">
      <w:start w:val="1"/>
      <w:numFmt w:val="decimal"/>
      <w:lvlText w:val="%1.%2.%3.%4.%5.%6.%7.%8."/>
      <w:lvlJc w:val="start"/>
      <w:pPr>
        <w:tabs>
          <w:tab w:val="num" w:pos="3744"/>
        </w:tabs>
        <w:ind w:start="3744" w:hanging="1224"/>
      </w:pPr>
      <w:rPr/>
    </w:lvl>
    <w:lvl w:ilvl="8">
      <w:start w:val="1"/>
      <w:numFmt w:val="decimal"/>
      <w:lvlText w:val="%1.%2.%3.%4.%5.%6.%7.%8.%9."/>
      <w:lvlJc w:val="start"/>
      <w:pPr>
        <w:tabs>
          <w:tab w:val="num" w:pos="4320"/>
        </w:tabs>
        <w:ind w:start="4320" w:hanging="1440"/>
      </w:pPr>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decimal"/>
      <w:lvlText w:val="%1."/>
      <w:lvlJc w:val="start"/>
      <w:pPr>
        <w:tabs>
          <w:tab w:val="num" w:pos="0"/>
        </w:tabs>
        <w:ind w:start="1068" w:hanging="360"/>
      </w:pPr>
      <w:rPr>
        <w:b w:val="false"/>
      </w:rPr>
    </w:lvl>
    <w:lvl w:ilvl="1">
      <w:start w:val="1"/>
      <w:numFmt w:val="lowerLetter"/>
      <w:lvlText w:val="%2."/>
      <w:lvlJc w:val="start"/>
      <w:pPr>
        <w:tabs>
          <w:tab w:val="num" w:pos="0"/>
        </w:tabs>
        <w:ind w:start="1788" w:hanging="360"/>
      </w:pPr>
      <w:rPr/>
    </w:lvl>
    <w:lvl w:ilvl="2">
      <w:start w:val="1"/>
      <w:numFmt w:val="lowerRoman"/>
      <w:lvlText w:val="%3."/>
      <w:lvlJc w:val="end"/>
      <w:pPr>
        <w:tabs>
          <w:tab w:val="num" w:pos="0"/>
        </w:tabs>
        <w:ind w:start="2508" w:hanging="180"/>
      </w:pPr>
      <w:rPr/>
    </w:lvl>
    <w:lvl w:ilvl="3">
      <w:start w:val="1"/>
      <w:numFmt w:val="decimal"/>
      <w:lvlText w:val="%4."/>
      <w:lvlJc w:val="start"/>
      <w:pPr>
        <w:tabs>
          <w:tab w:val="num" w:pos="0"/>
        </w:tabs>
        <w:ind w:start="3228" w:hanging="360"/>
      </w:pPr>
      <w:rPr/>
    </w:lvl>
    <w:lvl w:ilvl="4">
      <w:start w:val="1"/>
      <w:numFmt w:val="lowerLetter"/>
      <w:lvlText w:val="%5."/>
      <w:lvlJc w:val="start"/>
      <w:pPr>
        <w:tabs>
          <w:tab w:val="num" w:pos="0"/>
        </w:tabs>
        <w:ind w:start="3948" w:hanging="360"/>
      </w:pPr>
      <w:rPr/>
    </w:lvl>
    <w:lvl w:ilvl="5">
      <w:start w:val="1"/>
      <w:numFmt w:val="lowerRoman"/>
      <w:lvlText w:val="%6."/>
      <w:lvlJc w:val="end"/>
      <w:pPr>
        <w:tabs>
          <w:tab w:val="num" w:pos="0"/>
        </w:tabs>
        <w:ind w:start="4668" w:hanging="180"/>
      </w:pPr>
      <w:rPr/>
    </w:lvl>
    <w:lvl w:ilvl="6">
      <w:start w:val="1"/>
      <w:numFmt w:val="decimal"/>
      <w:lvlText w:val="%7."/>
      <w:lvlJc w:val="start"/>
      <w:pPr>
        <w:tabs>
          <w:tab w:val="num" w:pos="0"/>
        </w:tabs>
        <w:ind w:start="5388" w:hanging="360"/>
      </w:pPr>
      <w:rPr/>
    </w:lvl>
    <w:lvl w:ilvl="7">
      <w:start w:val="1"/>
      <w:numFmt w:val="lowerLetter"/>
      <w:lvlText w:val="%8."/>
      <w:lvlJc w:val="start"/>
      <w:pPr>
        <w:tabs>
          <w:tab w:val="num" w:pos="0"/>
        </w:tabs>
        <w:ind w:start="6108" w:hanging="360"/>
      </w:pPr>
      <w:rPr/>
    </w:lvl>
    <w:lvl w:ilvl="8">
      <w:start w:val="1"/>
      <w:numFmt w:val="lowerRoman"/>
      <w:lvlText w:val="%9."/>
      <w:lvlJc w:val="end"/>
      <w:pPr>
        <w:tabs>
          <w:tab w:val="num" w:pos="0"/>
        </w:tabs>
        <w:ind w:start="6828" w:hanging="180"/>
      </w:pPr>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uiPriority="0" w:semiHidden="0" w:unhideWhenUsed="0" w:qFormat="1"/>
    <w:lsdException w:name="Default Paragraph Font" w:uiPriority="1"/>
    <w:lsdException w:name="Body Text Indent" w:uiPriority="0"/>
    <w:lsdException w:name="Subtitle" w:uiPriority="11" w:semiHidden="0" w:unhideWhenUsed="0" w:qFormat="1"/>
    <w:lsdException w:name="Body Text 2" w:uiPriority="0"/>
    <w:lsdException w:name="Body Text Indent 2" w:uiPriority="0"/>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22ab8"/>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uiPriority w:val="9"/>
    <w:qFormat/>
    <w:rsid w:val="001a67e4"/>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2"/>
    <w:qFormat/>
    <w:rsid w:val="002f0ef7"/>
    <w:pPr>
      <w:keepNext w:val="true"/>
      <w:spacing w:before="240" w:after="60"/>
      <w:outlineLvl w:val="1"/>
    </w:pPr>
    <w:rPr>
      <w:rFonts w:ascii="Arial" w:hAnsi="Arial"/>
      <w:b/>
      <w:bCs/>
      <w:i/>
      <w:iCs/>
      <w:sz w:val="28"/>
      <w:szCs w:val="28"/>
    </w:rPr>
  </w:style>
  <w:style w:type="character" w:styleId="DefaultParagraphFont" w:default="1">
    <w:name w:val="Default Paragraph Font"/>
    <w:uiPriority w:val="1"/>
    <w:semiHidden/>
    <w:unhideWhenUsed/>
    <w:qFormat/>
    <w:rPr/>
  </w:style>
  <w:style w:type="character" w:styleId="2" w:customStyle="1">
    <w:name w:val="Заголовок 2 Знак"/>
    <w:basedOn w:val="DefaultParagraphFont"/>
    <w:qFormat/>
    <w:rsid w:val="002f0ef7"/>
    <w:rPr>
      <w:rFonts w:ascii="Arial" w:hAnsi="Arial" w:eastAsia="Times New Roman" w:cs="Times New Roman"/>
      <w:b/>
      <w:bCs/>
      <w:i/>
      <w:iCs/>
      <w:sz w:val="28"/>
      <w:szCs w:val="28"/>
      <w:lang w:eastAsia="ru-RU"/>
    </w:rPr>
  </w:style>
  <w:style w:type="character" w:styleId="Hyperlink">
    <w:name w:val="Hyperlink"/>
    <w:rsid w:val="002f0ef7"/>
    <w:rPr>
      <w:color w:val="0000FF"/>
      <w:u w:val="single"/>
    </w:rPr>
  </w:style>
  <w:style w:type="character" w:styleId="21" w:customStyle="1">
    <w:name w:val="Основной текст с отступом 2 Знак"/>
    <w:basedOn w:val="DefaultParagraphFont"/>
    <w:link w:val="BodyTextIndent2"/>
    <w:qFormat/>
    <w:rsid w:val="002f0ef7"/>
    <w:rPr>
      <w:rFonts w:ascii="Times New Roman" w:hAnsi="Times New Roman" w:eastAsia="Times New Roman" w:cs="Times New Roman"/>
      <w:sz w:val="24"/>
      <w:szCs w:val="24"/>
      <w:lang w:eastAsia="ru-RU"/>
    </w:rPr>
  </w:style>
  <w:style w:type="character" w:styleId="Style12" w:customStyle="1">
    <w:name w:val="Нижний колонтитул Знак"/>
    <w:basedOn w:val="DefaultParagraphFont"/>
    <w:uiPriority w:val="99"/>
    <w:qFormat/>
    <w:rsid w:val="002f0ef7"/>
    <w:rPr>
      <w:rFonts w:ascii="Times New Roman" w:hAnsi="Times New Roman" w:eastAsia="Times New Roman" w:cs="Times New Roman"/>
      <w:sz w:val="24"/>
      <w:szCs w:val="24"/>
      <w:lang w:eastAsia="ru-RU"/>
    </w:rPr>
  </w:style>
  <w:style w:type="character" w:styleId="Style13" w:customStyle="1">
    <w:name w:val="Основной текст с отступом Знак"/>
    <w:basedOn w:val="DefaultParagraphFont"/>
    <w:qFormat/>
    <w:rsid w:val="002f0ef7"/>
    <w:rPr>
      <w:rFonts w:ascii="Times New Roman" w:hAnsi="Times New Roman" w:eastAsia="Times New Roman" w:cs="Times New Roman"/>
      <w:sz w:val="24"/>
      <w:szCs w:val="24"/>
      <w:lang w:eastAsia="ru-RU"/>
    </w:rPr>
  </w:style>
  <w:style w:type="character" w:styleId="22" w:customStyle="1">
    <w:name w:val="Основной текст 2 Знак"/>
    <w:basedOn w:val="DefaultParagraphFont"/>
    <w:link w:val="BodyText2"/>
    <w:qFormat/>
    <w:rsid w:val="002f0ef7"/>
    <w:rPr>
      <w:rFonts w:ascii="Times New Roman" w:hAnsi="Times New Roman" w:eastAsia="Times New Roman" w:cs="Times New Roman"/>
      <w:sz w:val="24"/>
      <w:szCs w:val="24"/>
      <w:lang w:eastAsia="ru-RU"/>
    </w:rPr>
  </w:style>
  <w:style w:type="character" w:styleId="Style14" w:customStyle="1">
    <w:name w:val="Название Знак"/>
    <w:basedOn w:val="DefaultParagraphFont"/>
    <w:qFormat/>
    <w:rsid w:val="002f0ef7"/>
    <w:rPr>
      <w:rFonts w:ascii="Times New Roman" w:hAnsi="Times New Roman" w:eastAsia="Times New Roman" w:cs="Times New Roman"/>
      <w:b/>
      <w:sz w:val="26"/>
      <w:szCs w:val="20"/>
      <w:lang w:eastAsia="ru-RU"/>
    </w:rPr>
  </w:style>
  <w:style w:type="character" w:styleId="ConsPlusNormal" w:customStyle="1">
    <w:name w:val="ConsPlusNormal Знак"/>
    <w:link w:val="ConsPlusNormal1"/>
    <w:qFormat/>
    <w:locked/>
    <w:rsid w:val="002f0ef7"/>
    <w:rPr>
      <w:rFonts w:ascii="Arial" w:hAnsi="Arial" w:eastAsia="Times New Roman" w:cs="Arial"/>
      <w:sz w:val="20"/>
      <w:szCs w:val="20"/>
      <w:lang w:eastAsia="ru-RU"/>
    </w:rPr>
  </w:style>
  <w:style w:type="character" w:styleId="Style15" w:customStyle="1">
    <w:name w:val="Абзац списка Знак"/>
    <w:link w:val="ListParagraph"/>
    <w:uiPriority w:val="34"/>
    <w:qFormat/>
    <w:locked/>
    <w:rsid w:val="002f0ef7"/>
    <w:rPr>
      <w:rFonts w:ascii="Times New Roman" w:hAnsi="Times New Roman" w:eastAsia="Calibri" w:cs="Times New Roman"/>
      <w:sz w:val="28"/>
    </w:rPr>
  </w:style>
  <w:style w:type="character" w:styleId="apple-style-span" w:customStyle="1">
    <w:name w:val="apple-style-span"/>
    <w:qFormat/>
    <w:rsid w:val="002f0ef7"/>
    <w:rPr>
      <w:rFonts w:cs="Times New Roman"/>
    </w:rPr>
  </w:style>
  <w:style w:type="character" w:styleId="ConsPlusNonformat" w:customStyle="1">
    <w:name w:val="ConsPlusNonformat Знак"/>
    <w:link w:val="ConsPlusNonformat1"/>
    <w:qFormat/>
    <w:locked/>
    <w:rsid w:val="002f0ef7"/>
    <w:rPr>
      <w:rFonts w:ascii="Courier New" w:hAnsi="Courier New" w:eastAsia="Times New Roman" w:cs="Courier New"/>
      <w:sz w:val="20"/>
      <w:szCs w:val="20"/>
      <w:lang w:eastAsia="ru-RU"/>
    </w:rPr>
  </w:style>
  <w:style w:type="character" w:styleId="1" w:customStyle="1">
    <w:name w:val="Заголовок 1 Знак"/>
    <w:basedOn w:val="DefaultParagraphFont"/>
    <w:uiPriority w:val="9"/>
    <w:qFormat/>
    <w:rsid w:val="001a67e4"/>
    <w:rPr>
      <w:rFonts w:ascii="Cambria" w:hAnsi="Cambria" w:eastAsia="" w:cs="" w:asciiTheme="majorHAnsi" w:cstheme="majorBidi" w:eastAsiaTheme="majorEastAsia" w:hAnsiTheme="majorHAnsi"/>
      <w:b/>
      <w:bCs/>
      <w:color w:themeColor="accent1" w:themeShade="bf" w:val="365F91"/>
      <w:sz w:val="28"/>
      <w:szCs w:val="28"/>
      <w:lang w:eastAsia="ru-RU"/>
    </w:rPr>
  </w:style>
  <w:style w:type="character" w:styleId="Style16" w:customStyle="1">
    <w:name w:val="Верхний колонтитул Знак"/>
    <w:basedOn w:val="DefaultParagraphFont"/>
    <w:uiPriority w:val="99"/>
    <w:qFormat/>
    <w:rsid w:val="00975a61"/>
    <w:rPr>
      <w:rFonts w:ascii="Times New Roman" w:hAnsi="Times New Roman" w:eastAsia="Times New Roman" w:cs="Times New Roman"/>
      <w:sz w:val="24"/>
      <w:szCs w:val="24"/>
      <w:lang w:eastAsia="ru-RU"/>
    </w:rPr>
  </w:style>
  <w:style w:type="character" w:styleId="Style17" w:customStyle="1">
    <w:name w:val="Текст выноски Знак"/>
    <w:basedOn w:val="DefaultParagraphFont"/>
    <w:link w:val="BalloonText"/>
    <w:uiPriority w:val="99"/>
    <w:semiHidden/>
    <w:qFormat/>
    <w:rsid w:val="008b1089"/>
    <w:rPr>
      <w:rFonts w:ascii="Arial" w:hAnsi="Arial" w:eastAsia="Times New Roman" w:cs="Arial"/>
      <w:sz w:val="16"/>
      <w:szCs w:val="16"/>
      <w:lang w:eastAsia="ru-RU"/>
    </w:rPr>
  </w:style>
  <w:style w:type="character" w:styleId="Style18" w:customStyle="1">
    <w:name w:val="Название объекта Знак"/>
    <w:qFormat/>
    <w:locked/>
    <w:rsid w:val="00342022"/>
    <w:rPr>
      <w:rFonts w:ascii="Times New Roman" w:hAnsi="Times New Roman" w:eastAsia="Times New Roman" w:cs="Times New Roman"/>
      <w:b/>
      <w:sz w:val="28"/>
      <w:szCs w:val="24"/>
    </w:rPr>
  </w:style>
  <w:style w:type="character" w:styleId="11" w:customStyle="1">
    <w:name w:val="Обычный1 Знак"/>
    <w:link w:val="12"/>
    <w:qFormat/>
    <w:rsid w:val="00254839"/>
    <w:rPr>
      <w:rFonts w:ascii="Times New Roman" w:hAnsi="Times New Roman" w:eastAsia="Times New Roman" w:cs="Times New Roman"/>
      <w:sz w:val="24"/>
      <w:szCs w:val="24"/>
      <w:lang w:eastAsia="ru-RU"/>
    </w:rPr>
  </w:style>
  <w:style w:type="character" w:styleId="user">
    <w:name w:val="Символ сноски (user)"/>
    <w:qFormat/>
    <w:rPr/>
  </w:style>
  <w:style w:type="character" w:styleId="Style19">
    <w:name w:val="Символ сноски"/>
    <w:qFormat/>
    <w:rPr>
      <w:vertAlign w:val="superscript"/>
    </w:rPr>
  </w:style>
  <w:style w:type="character" w:styleId="FootnoteReference">
    <w:name w:val="footnote reference"/>
    <w:rPr>
      <w:vertAlign w:val="superscript"/>
    </w:rPr>
  </w:style>
  <w:style w:type="character" w:styleId="Style20">
    <w:name w:val="Символ концевой сноски"/>
    <w:qFormat/>
    <w:rPr>
      <w:vertAlign w:val="superscript"/>
    </w:rPr>
  </w:style>
  <w:style w:type="character" w:styleId="EndnoteReference">
    <w:name w:val="endnote reference"/>
    <w:rPr>
      <w:vertAlign w:val="superscript"/>
    </w:rPr>
  </w:style>
  <w:style w:type="character" w:styleId="user1">
    <w:name w:val="Символ концевой сноски (user)"/>
    <w:qFormat/>
    <w:rPr/>
  </w:style>
  <w:style w:type="paragraph" w:styleId="Style21">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link w:val="Style18"/>
    <w:qFormat/>
    <w:rsid w:val="00342022"/>
    <w:pPr>
      <w:tabs>
        <w:tab w:val="clear" w:pos="709"/>
        <w:tab w:val="left" w:pos="3780" w:leader="none"/>
        <w:tab w:val="left" w:pos="7540" w:leader="none"/>
      </w:tabs>
      <w:jc w:val="center"/>
    </w:pPr>
    <w:rPr>
      <w:b/>
      <w:sz w:val="28"/>
      <w:lang w:eastAsia="en-US"/>
    </w:rPr>
  </w:style>
  <w:style w:type="paragraph" w:styleId="Style22">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BodyTextIndent2">
    <w:name w:val="Body Text Indent 2"/>
    <w:basedOn w:val="Normal"/>
    <w:link w:val="21"/>
    <w:qFormat/>
    <w:rsid w:val="002f0ef7"/>
    <w:pPr>
      <w:spacing w:lineRule="auto" w:line="480" w:before="0" w:after="120"/>
      <w:ind w:start="283"/>
    </w:pPr>
    <w:rPr/>
  </w:style>
  <w:style w:type="paragraph" w:styleId="user4">
    <w:name w:val="Колонтитулы (user)"/>
    <w:basedOn w:val="Normal"/>
    <w:qFormat/>
    <w:pPr/>
    <w:rPr/>
  </w:style>
  <w:style w:type="paragraph" w:styleId="Style23">
    <w:name w:val="Колонтитулы"/>
    <w:basedOn w:val="Normal"/>
    <w:qFormat/>
    <w:pPr/>
    <w:rPr/>
  </w:style>
  <w:style w:type="paragraph" w:styleId="Footer">
    <w:name w:val="footer"/>
    <w:basedOn w:val="Normal"/>
    <w:link w:val="Style12"/>
    <w:uiPriority w:val="99"/>
    <w:rsid w:val="002f0ef7"/>
    <w:pPr>
      <w:tabs>
        <w:tab w:val="clear" w:pos="709"/>
        <w:tab w:val="center" w:pos="4677" w:leader="none"/>
        <w:tab w:val="right" w:pos="9355" w:leader="none"/>
      </w:tabs>
    </w:pPr>
    <w:rPr/>
  </w:style>
  <w:style w:type="paragraph" w:styleId="BodyTextIndent">
    <w:name w:val="Body Text Indent"/>
    <w:basedOn w:val="Normal"/>
    <w:link w:val="Style13"/>
    <w:rsid w:val="002f0ef7"/>
    <w:pPr>
      <w:spacing w:before="0" w:after="120"/>
      <w:ind w:start="283"/>
      <w:jc w:val="both"/>
    </w:pPr>
    <w:rPr/>
  </w:style>
  <w:style w:type="paragraph" w:styleId="BodyText2">
    <w:name w:val="Body Text 2"/>
    <w:basedOn w:val="Normal"/>
    <w:link w:val="22"/>
    <w:qFormat/>
    <w:rsid w:val="002f0ef7"/>
    <w:pPr>
      <w:spacing w:lineRule="auto" w:line="480" w:before="0" w:after="120"/>
      <w:jc w:val="both"/>
    </w:pPr>
    <w:rPr/>
  </w:style>
  <w:style w:type="paragraph" w:styleId="Title">
    <w:name w:val="Title"/>
    <w:basedOn w:val="Normal"/>
    <w:link w:val="Style14"/>
    <w:qFormat/>
    <w:rsid w:val="002f0ef7"/>
    <w:pPr>
      <w:jc w:val="center"/>
    </w:pPr>
    <w:rPr>
      <w:b/>
      <w:sz w:val="26"/>
      <w:szCs w:val="20"/>
    </w:rPr>
  </w:style>
  <w:style w:type="paragraph" w:styleId="ConsPlusNormal1" w:customStyle="1">
    <w:name w:val="ConsPlusNormal"/>
    <w:link w:val="ConsPlusNormal"/>
    <w:qFormat/>
    <w:rsid w:val="002f0ef7"/>
    <w:pPr>
      <w:widowControl w:val="false"/>
      <w:suppressAutoHyphens w:val="true"/>
      <w:bidi w:val="0"/>
      <w:spacing w:lineRule="auto" w:line="240" w:before="0" w:after="0"/>
      <w:ind w:firstLine="720"/>
      <w:jc w:val="start"/>
    </w:pPr>
    <w:rPr>
      <w:rFonts w:ascii="Arial" w:hAnsi="Arial" w:eastAsia="Times New Roman" w:cs="Arial"/>
      <w:color w:val="auto"/>
      <w:kern w:val="0"/>
      <w:sz w:val="20"/>
      <w:szCs w:val="20"/>
      <w:lang w:val="ru-RU" w:eastAsia="ru-RU" w:bidi="ar-SA"/>
    </w:rPr>
  </w:style>
  <w:style w:type="paragraph" w:styleId="ListParagraph">
    <w:name w:val="List Paragraph"/>
    <w:basedOn w:val="Normal"/>
    <w:link w:val="Style15"/>
    <w:uiPriority w:val="34"/>
    <w:qFormat/>
    <w:rsid w:val="002f0ef7"/>
    <w:pPr>
      <w:spacing w:before="0" w:after="0"/>
      <w:ind w:firstLine="720" w:start="720"/>
      <w:contextualSpacing/>
      <w:jc w:val="both"/>
    </w:pPr>
    <w:rPr>
      <w:rFonts w:eastAsia="Calibri"/>
      <w:sz w:val="28"/>
      <w:szCs w:val="22"/>
      <w:lang w:eastAsia="en-US"/>
    </w:rPr>
  </w:style>
  <w:style w:type="paragraph" w:styleId="ConsPlusNonformat1" w:customStyle="1">
    <w:name w:val="ConsPlusNonformat"/>
    <w:link w:val="ConsPlusNonformat"/>
    <w:qFormat/>
    <w:rsid w:val="002f0ef7"/>
    <w:pPr>
      <w:widowControl/>
      <w:suppressAutoHyphens w:val="true"/>
      <w:bidi w:val="0"/>
      <w:spacing w:lineRule="auto" w:line="240" w:before="0" w:after="0"/>
      <w:jc w:val="start"/>
    </w:pPr>
    <w:rPr>
      <w:rFonts w:ascii="Courier New" w:hAnsi="Courier New" w:eastAsia="Times New Roman" w:cs="Courier New"/>
      <w:color w:val="auto"/>
      <w:kern w:val="0"/>
      <w:sz w:val="20"/>
      <w:szCs w:val="20"/>
      <w:lang w:val="ru-RU" w:eastAsia="ru-RU" w:bidi="ar-SA"/>
    </w:rPr>
  </w:style>
  <w:style w:type="paragraph" w:styleId="NoSpacing">
    <w:name w:val="No Spacing"/>
    <w:uiPriority w:val="1"/>
    <w:qFormat/>
    <w:rsid w:val="002f0ef7"/>
    <w:pPr>
      <w:widowControl/>
      <w:suppressAutoHyphens w:val="true"/>
      <w:bidi w:val="0"/>
      <w:spacing w:lineRule="auto" w:line="240" w:before="0" w:after="0"/>
      <w:jc w:val="start"/>
    </w:pPr>
    <w:rPr>
      <w:rFonts w:ascii="Calibri" w:hAnsi="Calibri" w:eastAsia="Times New Roman" w:cs="Times New Roman" w:asciiTheme="minorHAnsi" w:hAnsiTheme="minorHAnsi"/>
      <w:color w:val="auto"/>
      <w:kern w:val="0"/>
      <w:sz w:val="22"/>
      <w:szCs w:val="22"/>
      <w:lang w:val="ru-RU" w:eastAsia="ru-RU" w:bidi="ar-SA"/>
    </w:rPr>
  </w:style>
  <w:style w:type="paragraph" w:styleId="4" w:customStyle="1">
    <w:name w:val="ТТ список 4"/>
    <w:basedOn w:val="Normal"/>
    <w:qFormat/>
    <w:rsid w:val="002f0ef7"/>
    <w:pPr>
      <w:numPr>
        <w:ilvl w:val="3"/>
        <w:numId w:val="1"/>
      </w:numPr>
      <w:spacing w:before="60" w:after="0"/>
      <w:ind w:end="141"/>
      <w:jc w:val="both"/>
    </w:pPr>
    <w:rPr/>
  </w:style>
  <w:style w:type="paragraph" w:styleId="Style24" w:customStyle="1">
    <w:name w:val="заголовок"/>
    <w:basedOn w:val="Heading1"/>
    <w:qFormat/>
    <w:rsid w:val="001a67e4"/>
    <w:pPr>
      <w:keepLines w:val="false"/>
      <w:widowControl w:val="false"/>
      <w:spacing w:lineRule="auto" w:line="360" w:before="0" w:after="0"/>
      <w:ind w:end="-142"/>
      <w:jc w:val="center"/>
    </w:pPr>
    <w:rPr>
      <w:rFonts w:ascii="Arial" w:hAnsi="Arial" w:eastAsia="Times New Roman" w:cs="Times New Roman"/>
      <w:b w:val="false"/>
      <w:color w:val="auto"/>
      <w:szCs w:val="20"/>
    </w:rPr>
  </w:style>
  <w:style w:type="paragraph" w:styleId="Header">
    <w:name w:val="header"/>
    <w:basedOn w:val="Normal"/>
    <w:link w:val="Style16"/>
    <w:uiPriority w:val="99"/>
    <w:unhideWhenUsed/>
    <w:rsid w:val="00975a61"/>
    <w:pPr>
      <w:tabs>
        <w:tab w:val="clear" w:pos="709"/>
        <w:tab w:val="center" w:pos="4677" w:leader="none"/>
        <w:tab w:val="right" w:pos="9355" w:leader="none"/>
      </w:tabs>
    </w:pPr>
    <w:rPr/>
  </w:style>
  <w:style w:type="paragraph" w:styleId="BalloonText">
    <w:name w:val="Balloon Text"/>
    <w:basedOn w:val="Normal"/>
    <w:link w:val="Style17"/>
    <w:uiPriority w:val="99"/>
    <w:semiHidden/>
    <w:unhideWhenUsed/>
    <w:qFormat/>
    <w:rsid w:val="008b1089"/>
    <w:pPr/>
    <w:rPr>
      <w:rFonts w:ascii="Arial" w:hAnsi="Arial" w:cs="Arial"/>
      <w:sz w:val="16"/>
      <w:szCs w:val="16"/>
    </w:rPr>
  </w:style>
  <w:style w:type="paragraph" w:styleId="Default" w:customStyle="1">
    <w:name w:val="Default"/>
    <w:qFormat/>
    <w:rsid w:val="00b60039"/>
    <w:pPr>
      <w:widowControl/>
      <w:suppressAutoHyphens w:val="true"/>
      <w:bidi w:val="0"/>
      <w:spacing w:lineRule="auto" w:line="240" w:before="0" w:after="0"/>
      <w:jc w:val="start"/>
    </w:pPr>
    <w:rPr>
      <w:rFonts w:ascii="Times New Roman" w:hAnsi="Times New Roman" w:eastAsia="Times New Roman" w:cs="Times New Roman"/>
      <w:color w:val="000000"/>
      <w:kern w:val="0"/>
      <w:sz w:val="24"/>
      <w:szCs w:val="24"/>
      <w:lang w:val="ru-RU" w:eastAsia="ru-RU" w:bidi="ar-SA"/>
    </w:rPr>
  </w:style>
  <w:style w:type="paragraph" w:styleId="12" w:customStyle="1">
    <w:name w:val="Обычный1"/>
    <w:link w:val="11"/>
    <w:qFormat/>
    <w:rsid w:val="00254839"/>
    <w:pPr>
      <w:widowControl w:val="false"/>
      <w:suppressAutoHyphens w:val="true"/>
      <w:bidi w:val="0"/>
      <w:spacing w:lineRule="auto" w:line="240" w:before="0" w:after="0"/>
      <w:ind w:firstLine="720"/>
      <w:jc w:val="both"/>
    </w:pPr>
    <w:rPr>
      <w:rFonts w:ascii="Times New Roman" w:hAnsi="Times New Roman" w:eastAsia="Times New Roman" w:cs="Times New Roman"/>
      <w:color w:val="auto"/>
      <w:kern w:val="0"/>
      <w:sz w:val="24"/>
      <w:szCs w:val="24"/>
      <w:lang w:val="ru-RU" w:eastAsia="ru-RU" w:bidi="ar-SA"/>
    </w:rPr>
  </w:style>
  <w:style w:type="paragraph" w:styleId="FootnoteText">
    <w:name w:val="footnote text"/>
    <w:basedOn w:val="Normal"/>
    <w:pPr>
      <w:suppressLineNumbers/>
      <w:ind w:hanging="340" w:start="340"/>
    </w:pPr>
    <w:rPr>
      <w:sz w:val="20"/>
      <w:szCs w:val="20"/>
    </w:rPr>
  </w:style>
  <w:style w:type="numbering" w:styleId="user5"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uiPriority w:val="59"/>
    <w:rsid w:val="0009437d"/>
    <w:pPr>
      <w:spacing w:after="60" w:line="240" w:lineRule="auto"/>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se_ykt@mail.ru" TargetMode="External"/><Relationship Id="rId3" Type="http://schemas.openxmlformats.org/officeDocument/2006/relationships/hyperlink" Target="mailto:isbpriem@fa.ru"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9CBC0-3C81-4EE0-891A-54A572AB6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Application>LibreOffice/25.8.3.2$Linux_X86_64 LibreOffice_project/580$Build-2</Application>
  <AppVersion>15.0000</AppVersion>
  <Pages>14</Pages>
  <Words>3710</Words>
  <Characters>26676</Characters>
  <CharactersWithSpaces>30845</CharactersWithSpaces>
  <Paragraphs>244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2024-11-06T07:36:00Z</dcterms:created>
  <dc:creator>Милана Агатицкая Анатольевна</dc:creator>
  <dc:description/>
  <dc:language>ru-RU</dc:language>
  <cp:lastModifiedBy/>
  <cp:lastPrinted>2026-09-15T16:36:49Z</cp:lastPrinted>
  <dcterms:modified xsi:type="dcterms:W3CDTF">2026-09-17T10:41:32Z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file>