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footer6.xml" ContentType="application/vnd.openxmlformats-officedocument.wordprocessingml.footer+xml"/>
  <Override PartName="/word/footer5.xml" ContentType="application/vnd.openxmlformats-officedocument.wordprocessingml.footer+xml"/>
  <Override PartName="/word/media/image1.png" ContentType="image/png"/>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false"/>
        <w:keepLines w:val="false"/>
        <w:numPr>
          <w:ilvl w:val="0"/>
          <w:numId w:val="2"/>
        </w:numPr>
        <w:spacing w:before="0" w:after="0"/>
        <w:ind w:hanging="0" w:left="0"/>
        <w:jc w:val="center"/>
        <w:rPr>
          <w:rFonts w:ascii="Times New Roman" w:hAnsi="Times New Roman" w:cs="Times New Roman"/>
          <w:color w:val="000000"/>
          <w:sz w:val="24"/>
          <w:szCs w:val="24"/>
        </w:rPr>
      </w:pPr>
      <w:r>
        <w:rPr>
          <w:rFonts w:cs="Times New Roman" w:ascii="Times New Roman" w:hAnsi="Times New Roman"/>
          <w:color w:val="000000"/>
          <w:sz w:val="24"/>
          <w:szCs w:val="24"/>
        </w:rPr>
        <w:t>ГОСУДАРСТВЕННЫЙ КОНТРАКТ № _________</w:t>
      </w:r>
    </w:p>
    <w:p>
      <w:pPr>
        <w:pStyle w:val="Normal"/>
        <w:widowControl w:val="false"/>
        <w:jc w:val="center"/>
        <w:rPr>
          <w:b/>
          <w:bCs/>
          <w:color w:val="000000"/>
        </w:rPr>
      </w:pPr>
      <w:r>
        <w:rPr>
          <w:b/>
          <w:bCs/>
          <w:color w:val="000000"/>
        </w:rPr>
        <w:t xml:space="preserve">на закупку услуг на право использования электронной базы данных </w:t>
      </w:r>
      <w:r>
        <w:rPr>
          <w:b/>
          <w:bCs/>
        </w:rPr>
        <w:t>Электронная система «Госзаказ», тариф «Премиальный» и сервисное обслуживание (сопровождение ПО, обучение пользователей и консультирование)</w:t>
      </w:r>
      <w:r>
        <w:rPr>
          <w:b/>
          <w:bCs/>
          <w:color w:val="000000"/>
        </w:rPr>
        <w:t xml:space="preserve"> на условиях простой (неисключительной) лицензии</w:t>
      </w:r>
    </w:p>
    <w:p>
      <w:pPr>
        <w:pStyle w:val="Normal"/>
        <w:jc w:val="center"/>
        <w:rPr>
          <w:b/>
          <w:bCs/>
          <w:color w:val="000000"/>
        </w:rPr>
      </w:pPr>
      <w:r>
        <w:rPr>
          <w:b/>
          <w:bCs/>
          <w:color w:val="000000"/>
        </w:rPr>
      </w:r>
    </w:p>
    <w:p>
      <w:pPr>
        <w:pStyle w:val="Normal"/>
        <w:jc w:val="center"/>
        <w:rPr/>
      </w:pPr>
      <w:r>
        <w:rPr>
          <w:b/>
        </w:rPr>
        <w:t>(Идентификационный код закупки № 261770317288877030100100430000000242)</w:t>
      </w:r>
    </w:p>
    <w:p>
      <w:pPr>
        <w:pStyle w:val="Normal"/>
        <w:jc w:val="center"/>
        <w:rPr>
          <w:b/>
        </w:rPr>
      </w:pPr>
      <w:r>
        <w:rPr>
          <w:b/>
        </w:rPr>
      </w:r>
    </w:p>
    <w:p>
      <w:pPr>
        <w:pStyle w:val="Normal"/>
        <w:jc w:val="center"/>
        <w:rPr>
          <w:b/>
        </w:rPr>
      </w:pPr>
      <w:r>
        <w:rPr>
          <w:b/>
        </w:rPr>
      </w:r>
    </w:p>
    <w:p>
      <w:pPr>
        <w:pStyle w:val="Normal"/>
        <w:jc w:val="both"/>
        <w:rPr>
          <w:bCs/>
        </w:rPr>
      </w:pPr>
      <w:r>
        <w:rPr>
          <w:bCs/>
        </w:rPr>
        <w:t>г. Москва</w:t>
        <w:tab/>
        <w:tab/>
        <w:tab/>
        <w:tab/>
        <w:tab/>
        <w:tab/>
        <w:tab/>
        <w:t xml:space="preserve">                «____» ___________ 2026 года</w:t>
      </w:r>
    </w:p>
    <w:p>
      <w:pPr>
        <w:pStyle w:val="Normal"/>
        <w:jc w:val="both"/>
        <w:rPr>
          <w:bCs/>
        </w:rPr>
      </w:pPr>
      <w:r>
        <w:rPr>
          <w:bCs/>
        </w:rPr>
      </w:r>
    </w:p>
    <w:p>
      <w:pPr>
        <w:pStyle w:val="Normal"/>
        <w:tabs>
          <w:tab w:val="clear" w:pos="708"/>
          <w:tab w:val="left" w:pos="2977" w:leader="none"/>
        </w:tabs>
        <w:jc w:val="both"/>
        <w:rPr/>
      </w:pPr>
      <w:r>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действующее от имени Российской Федерации, именуемое в дальнейшем «Государственный заказчик/Субсублицензиат» в лице заместителя генерального директора Полухина Сергея Николаевича, действующего на основании приказа от 25.07.2022 № 12-ОД, с одной стороны, и ____________________________________ (____________________), именуемое в дальнейшем</w:t>
      </w:r>
      <w:r>
        <w:rPr>
          <w:lang w:eastAsia="ar-SA"/>
        </w:rPr>
        <w:t xml:space="preserve"> «Сублицензиат» </w:t>
      </w:r>
      <w:r>
        <w:rPr/>
        <w:t>в лице ______________________________, действующего на основании Устава, с другой стороны, именуемые в дальнейшем «Стороны», с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______________ 2026г. № ______________________, заключили настоящий  Государственный контракт (далее – Контракт) о нижеследующем:</w:t>
      </w:r>
    </w:p>
    <w:p>
      <w:pPr>
        <w:pStyle w:val="ConsPlusNormal1"/>
        <w:widowControl/>
        <w:ind w:firstLine="851" w:right="0"/>
        <w:jc w:val="both"/>
        <w:rPr>
          <w:rFonts w:ascii="Times New Roman" w:hAnsi="Times New Roman" w:cs="Times New Roman"/>
          <w:b/>
          <w:iCs/>
          <w:sz w:val="24"/>
          <w:szCs w:val="24"/>
        </w:rPr>
      </w:pPr>
      <w:r>
        <w:rPr>
          <w:rFonts w:cs="Times New Roman" w:ascii="Times New Roman" w:hAnsi="Times New Roman"/>
          <w:b/>
          <w:iCs/>
          <w:sz w:val="24"/>
          <w:szCs w:val="24"/>
        </w:rPr>
      </w:r>
    </w:p>
    <w:p>
      <w:pPr>
        <w:pStyle w:val="ConsPlusNormal1"/>
        <w:widowControl/>
        <w:ind w:firstLine="851" w:right="0"/>
        <w:jc w:val="both"/>
        <w:rPr>
          <w:rFonts w:ascii="Times New Roman" w:hAnsi="Times New Roman" w:cs="Times New Roman"/>
          <w:b/>
          <w:iCs/>
          <w:sz w:val="24"/>
          <w:szCs w:val="24"/>
        </w:rPr>
      </w:pPr>
      <w:r>
        <w:rPr>
          <w:rFonts w:cs="Times New Roman" w:ascii="Times New Roman" w:hAnsi="Times New Roman"/>
          <w:b/>
          <w:iCs/>
          <w:sz w:val="24"/>
          <w:szCs w:val="24"/>
        </w:rPr>
      </w:r>
    </w:p>
    <w:p>
      <w:pPr>
        <w:pStyle w:val="ParagraphStyle"/>
        <w:widowControl/>
        <w:numPr>
          <w:ilvl w:val="0"/>
          <w:numId w:val="12"/>
        </w:numPr>
        <w:tabs>
          <w:tab w:val="clear" w:pos="708"/>
        </w:tabs>
        <w:ind w:hanging="360" w:left="0" w:right="0"/>
        <w:jc w:val="center"/>
        <w:outlineLvl w:val="0"/>
        <w:rPr>
          <w:rStyle w:val="Heading"/>
          <w:bCs/>
          <w:sz w:val="24"/>
        </w:rPr>
      </w:pPr>
      <w:r>
        <w:rPr>
          <w:rStyle w:val="Heading"/>
          <w:bCs/>
          <w:sz w:val="24"/>
        </w:rPr>
        <w:t>ПРЕДМЕТ КОНТРАКТА</w:t>
      </w:r>
    </w:p>
    <w:p>
      <w:pPr>
        <w:pStyle w:val="ParagraphStyle"/>
        <w:widowControl/>
        <w:numPr>
          <w:ilvl w:val="0"/>
          <w:numId w:val="0"/>
        </w:numPr>
        <w:ind w:hanging="0" w:left="0"/>
        <w:outlineLvl w:val="0"/>
        <w:rPr>
          <w:rStyle w:val="Heading"/>
          <w:bCs/>
          <w:sz w:val="24"/>
        </w:rPr>
      </w:pPr>
      <w:r>
        <w:rPr>
          <w:bCs/>
          <w:sz w:val="24"/>
        </w:rPr>
      </w:r>
    </w:p>
    <w:p>
      <w:pPr>
        <w:pStyle w:val="ParagraphStyle"/>
        <w:widowControl/>
        <w:numPr>
          <w:ilvl w:val="1"/>
          <w:numId w:val="12"/>
        </w:numPr>
        <w:tabs>
          <w:tab w:val="clear" w:pos="708"/>
        </w:tabs>
        <w:ind w:firstLine="851" w:left="0" w:right="0"/>
        <w:jc w:val="both"/>
        <w:outlineLvl w:val="2"/>
        <w:rPr>
          <w:rStyle w:val="Normaltext"/>
          <w:sz w:val="24"/>
        </w:rPr>
      </w:pPr>
      <w:r>
        <w:rPr>
          <w:rStyle w:val="Normaltext"/>
          <w:sz w:val="24"/>
        </w:rPr>
        <w:t xml:space="preserve">Сублицензиат обязуется предоставить Субсублицензиату за вознаграждение неисключительные права (простая неисключительная лицензия) использования Базы данных Электронная система «Госзаказ», тариф «Премиальный» и сервисное обслуживание (сопровождение ПО, обучение пользователей и консультирование), в объеме, указанном в «Спецификации» (Приложение № 1) и Техническом задании (Приложение № 2), на условиях, предусмотренных в настоящем Контракте. </w:t>
      </w:r>
    </w:p>
    <w:p>
      <w:pPr>
        <w:pStyle w:val="ParagraphStyle"/>
        <w:widowControl/>
        <w:numPr>
          <w:ilvl w:val="1"/>
          <w:numId w:val="12"/>
        </w:numPr>
        <w:tabs>
          <w:tab w:val="clear" w:pos="708"/>
        </w:tabs>
        <w:ind w:firstLine="851" w:left="0" w:right="0"/>
        <w:jc w:val="both"/>
        <w:outlineLvl w:val="2"/>
        <w:rPr>
          <w:rStyle w:val="Normaltext"/>
          <w:sz w:val="24"/>
        </w:rPr>
      </w:pPr>
      <w:r>
        <w:rPr>
          <w:rStyle w:val="Normaltext"/>
          <w:sz w:val="24"/>
        </w:rPr>
        <w:t xml:space="preserve">Под Базой данных (далее - БД) в настоящем Контракте понимается многофункциональная справочно-экспертная система (включающая в себя также сервис «Экспертная поддержка»), предназначенная для предоставления подробной информации в сфере отдельной отрасли права, указанной в «Спецификации», доступ к которой осуществляется через телекоммуникационную сеть общего пользования - Интернет. </w:t>
      </w:r>
    </w:p>
    <w:p>
      <w:pPr>
        <w:pStyle w:val="ParagraphStyle"/>
        <w:widowControl/>
        <w:numPr>
          <w:ilvl w:val="1"/>
          <w:numId w:val="12"/>
        </w:numPr>
        <w:tabs>
          <w:tab w:val="clear" w:pos="708"/>
        </w:tabs>
        <w:ind w:firstLine="851" w:left="0" w:right="0"/>
        <w:jc w:val="both"/>
        <w:outlineLvl w:val="2"/>
        <w:rPr>
          <w:rStyle w:val="Normaltext"/>
          <w:sz w:val="24"/>
        </w:rPr>
      </w:pPr>
      <w:r>
        <w:rPr>
          <w:rStyle w:val="Normaltext"/>
          <w:sz w:val="24"/>
        </w:rPr>
        <w:t>Субсублицензиат приобретает неисключительные права использования БД в соответствии с его функциональными возможностями, а именно, Субсублицензиат имеет право использовать БД исключительно для своей внутренней деятельности, включая следующие способы:</w:t>
      </w:r>
    </w:p>
    <w:p>
      <w:pPr>
        <w:pStyle w:val="ParagraphStyle"/>
        <w:widowControl/>
        <w:numPr>
          <w:ilvl w:val="2"/>
          <w:numId w:val="12"/>
        </w:numPr>
        <w:tabs>
          <w:tab w:val="clear" w:pos="708"/>
          <w:tab w:val="left" w:pos="1701" w:leader="none"/>
        </w:tabs>
        <w:ind w:firstLine="851" w:left="0" w:right="0"/>
        <w:jc w:val="both"/>
        <w:rPr>
          <w:rStyle w:val="Normaltext"/>
          <w:sz w:val="24"/>
        </w:rPr>
      </w:pPr>
      <w:r>
        <w:rPr/>
        <w:t>Подключаться к БД через сеть Интернет, при этом количество пользователей, не должно превышать количества лицензий, указанных в Спецификации.</w:t>
      </w:r>
    </w:p>
    <w:p>
      <w:pPr>
        <w:pStyle w:val="ParagraphStyle"/>
        <w:widowControl/>
        <w:numPr>
          <w:ilvl w:val="2"/>
          <w:numId w:val="12"/>
        </w:numPr>
        <w:tabs>
          <w:tab w:val="clear" w:pos="708"/>
          <w:tab w:val="left" w:pos="1701" w:leader="none"/>
        </w:tabs>
        <w:ind w:firstLine="851" w:left="0" w:right="0"/>
        <w:jc w:val="both"/>
        <w:rPr>
          <w:rStyle w:val="Normaltext"/>
          <w:sz w:val="24"/>
        </w:rPr>
      </w:pPr>
      <w:r>
        <w:rPr>
          <w:rStyle w:val="Normaltext"/>
          <w:sz w:val="24"/>
        </w:rPr>
        <w:t xml:space="preserve">Использовать для собственных нужд материалы и информацию, содержащуюся в БД без получения дополнительного согласия Сублицензиата либо третьих лиц. Право доступа к БД предоставляется Субсублицензиату круглосуточно на все время действия лицензии. </w:t>
      </w:r>
    </w:p>
    <w:p>
      <w:pPr>
        <w:pStyle w:val="ParagraphStyle"/>
        <w:widowControl/>
        <w:numPr>
          <w:ilvl w:val="1"/>
          <w:numId w:val="12"/>
        </w:numPr>
        <w:tabs>
          <w:tab w:val="clear" w:pos="708"/>
          <w:tab w:val="left" w:pos="567" w:leader="none"/>
        </w:tabs>
        <w:ind w:firstLine="851" w:left="0" w:right="0"/>
        <w:jc w:val="both"/>
        <w:outlineLvl w:val="1"/>
        <w:rPr>
          <w:rStyle w:val="Normaltext"/>
          <w:sz w:val="24"/>
        </w:rPr>
      </w:pPr>
      <w:r>
        <w:rPr>
          <w:rStyle w:val="Normaltext"/>
          <w:sz w:val="24"/>
        </w:rPr>
        <w:t>Неисключительные права использования БД предоставляются Субсублицензиату с момента направления последнему по электронной почте кода доступа к БД и на срок, указанный в «Спецификации» (Приложение №1 к Контракту).</w:t>
      </w:r>
    </w:p>
    <w:p>
      <w:pPr>
        <w:pStyle w:val="ParagraphStyle"/>
        <w:widowControl/>
        <w:numPr>
          <w:ilvl w:val="1"/>
          <w:numId w:val="12"/>
        </w:numPr>
        <w:tabs>
          <w:tab w:val="clear" w:pos="708"/>
          <w:tab w:val="left" w:pos="567" w:leader="none"/>
        </w:tabs>
        <w:ind w:firstLine="851" w:left="0" w:right="0"/>
        <w:jc w:val="both"/>
        <w:outlineLvl w:val="2"/>
        <w:rPr>
          <w:rStyle w:val="Normaltext"/>
          <w:sz w:val="24"/>
        </w:rPr>
      </w:pPr>
      <w:r>
        <w:rPr>
          <w:rStyle w:val="Normaltext"/>
          <w:sz w:val="24"/>
        </w:rPr>
        <w:t>Субсублицензиат не приобретает каких-либо прав на БД, за исключением оговоренных в настоящем Контракте.</w:t>
      </w:r>
    </w:p>
    <w:p>
      <w:pPr>
        <w:pStyle w:val="HTML1"/>
        <w:numPr>
          <w:ilvl w:val="1"/>
          <w:numId w:val="12"/>
        </w:numPr>
        <w:tabs>
          <w:tab w:val="clear" w:pos="1832"/>
          <w:tab w:val="left" w:pos="916" w:leader="none"/>
          <w:tab w:val="left" w:pos="1418"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851" w:left="0" w:right="0"/>
        <w:jc w:val="both"/>
        <w:rPr>
          <w:rStyle w:val="Normaltext"/>
          <w:rFonts w:ascii="Times New Roman" w:hAnsi="Times New Roman" w:cs="Times New Roman"/>
          <w:sz w:val="24"/>
          <w:szCs w:val="24"/>
        </w:rPr>
      </w:pPr>
      <w:r>
        <w:rPr>
          <w:rStyle w:val="Normaltext"/>
          <w:rFonts w:cs="Times New Roman" w:ascii="Times New Roman" w:hAnsi="Times New Roman"/>
          <w:sz w:val="24"/>
          <w:szCs w:val="24"/>
        </w:rPr>
        <w:t>Субсублицензиат не имеет права частично или полностью публиковать и/или передавать третьим лицам любые материалы БД, включая материалы (ответы, разъяснения и прочее), полученные при использовании сервиса «Экспертная поддержка».</w:t>
      </w:r>
    </w:p>
    <w:p>
      <w:pPr>
        <w:pStyle w:val="ParagraphStyle"/>
        <w:widowControl/>
        <w:numPr>
          <w:ilvl w:val="1"/>
          <w:numId w:val="12"/>
        </w:numPr>
        <w:tabs>
          <w:tab w:val="clear" w:pos="708"/>
          <w:tab w:val="left" w:pos="567" w:leader="none"/>
        </w:tabs>
        <w:ind w:firstLine="851" w:left="0" w:right="0"/>
        <w:jc w:val="both"/>
        <w:outlineLvl w:val="2"/>
        <w:rPr>
          <w:rStyle w:val="Normaltext"/>
          <w:sz w:val="24"/>
        </w:rPr>
      </w:pPr>
      <w:r>
        <w:rPr>
          <w:rStyle w:val="Normaltext"/>
          <w:sz w:val="24"/>
        </w:rPr>
        <w:t>Субсублицензиат не имеет права использовать сервис «Экспертная поддержка» в аудиторской, консалтинговой деятельности, в интересах третьих лиц.</w:t>
      </w:r>
    </w:p>
    <w:p>
      <w:pPr>
        <w:pStyle w:val="ParagraphStyle"/>
        <w:widowControl/>
        <w:numPr>
          <w:ilvl w:val="1"/>
          <w:numId w:val="12"/>
        </w:numPr>
        <w:tabs>
          <w:tab w:val="clear" w:pos="708"/>
          <w:tab w:val="left" w:pos="567" w:leader="none"/>
        </w:tabs>
        <w:ind w:firstLine="851" w:left="0" w:right="0"/>
        <w:jc w:val="both"/>
        <w:outlineLvl w:val="2"/>
        <w:rPr>
          <w:rStyle w:val="Normaltext"/>
          <w:sz w:val="24"/>
        </w:rPr>
      </w:pPr>
      <w:r>
        <w:rPr>
          <w:rStyle w:val="Normaltext"/>
          <w:sz w:val="24"/>
        </w:rPr>
        <w:t xml:space="preserve">Субсублицензиат обязуется принять и оплатить права использования БД в соответствии с условиями настоящего Контракта. </w:t>
      </w:r>
    </w:p>
    <w:p>
      <w:pPr>
        <w:pStyle w:val="ParagraphStyle"/>
        <w:widowControl/>
        <w:numPr>
          <w:ilvl w:val="0"/>
          <w:numId w:val="0"/>
        </w:numPr>
        <w:ind w:hanging="0" w:left="851" w:right="0"/>
        <w:jc w:val="both"/>
        <w:outlineLvl w:val="2"/>
        <w:rPr>
          <w:rStyle w:val="Normaltext"/>
          <w:sz w:val="24"/>
        </w:rPr>
      </w:pPr>
      <w:r>
        <w:rPr>
          <w:sz w:val="24"/>
        </w:rPr>
      </w:r>
    </w:p>
    <w:p>
      <w:pPr>
        <w:pStyle w:val="Heading2"/>
        <w:keepNext w:val="false"/>
        <w:widowControl/>
        <w:numPr>
          <w:ilvl w:val="0"/>
          <w:numId w:val="12"/>
        </w:numPr>
        <w:tabs>
          <w:tab w:val="clear" w:pos="708"/>
          <w:tab w:val="left" w:pos="426" w:leader="none"/>
          <w:tab w:val="left" w:pos="1560" w:leader="none"/>
        </w:tabs>
        <w:ind w:hanging="0" w:left="0"/>
        <w:jc w:val="center"/>
        <w:rPr>
          <w:sz w:val="24"/>
          <w:szCs w:val="24"/>
        </w:rPr>
      </w:pPr>
      <w:r>
        <w:rPr>
          <w:sz w:val="24"/>
          <w:szCs w:val="24"/>
        </w:rPr>
        <w:t>ПОРЯДОК ПЕРЕДАЧИ ПРАВА ДОСТУПА</w:t>
      </w:r>
    </w:p>
    <w:p>
      <w:pPr>
        <w:pStyle w:val="Heading2"/>
        <w:keepNext w:val="false"/>
        <w:widowControl/>
        <w:numPr>
          <w:ilvl w:val="0"/>
          <w:numId w:val="0"/>
        </w:numPr>
        <w:ind w:hanging="0" w:left="0"/>
        <w:jc w:val="center"/>
        <w:rPr>
          <w:sz w:val="24"/>
          <w:szCs w:val="24"/>
        </w:rPr>
      </w:pPr>
      <w:r>
        <w:rPr>
          <w:sz w:val="24"/>
          <w:szCs w:val="24"/>
        </w:rPr>
        <w:t>И ИСПОЛЬЗОВАНИЯ БД</w:t>
      </w:r>
    </w:p>
    <w:p>
      <w:pPr>
        <w:pStyle w:val="Normal"/>
        <w:rPr>
          <w:sz w:val="24"/>
          <w:szCs w:val="24"/>
        </w:rPr>
      </w:pPr>
      <w:r>
        <w:rPr>
          <w:sz w:val="24"/>
          <w:szCs w:val="24"/>
        </w:rPr>
      </w:r>
    </w:p>
    <w:p>
      <w:pPr>
        <w:pStyle w:val="Heading2"/>
        <w:keepNext w:val="false"/>
        <w:widowControl/>
        <w:numPr>
          <w:ilvl w:val="1"/>
          <w:numId w:val="12"/>
        </w:numPr>
        <w:tabs>
          <w:tab w:val="clear" w:pos="708"/>
          <w:tab w:val="left" w:pos="0" w:leader="none"/>
          <w:tab w:val="left" w:pos="1418" w:leader="none"/>
        </w:tabs>
        <w:ind w:firstLine="851" w:left="0" w:right="0"/>
        <w:rPr>
          <w:b w:val="false"/>
          <w:color w:val="000000"/>
          <w:sz w:val="24"/>
          <w:szCs w:val="24"/>
        </w:rPr>
      </w:pPr>
      <w:r>
        <w:rPr>
          <w:b w:val="false"/>
          <w:color w:val="000000"/>
          <w:sz w:val="24"/>
          <w:szCs w:val="24"/>
        </w:rPr>
        <w:t>Сублицензиат в срок не позднее</w:t>
      </w:r>
      <w:r>
        <w:rPr>
          <w:b w:val="false"/>
          <w:color w:val="FF0000"/>
          <w:sz w:val="24"/>
          <w:szCs w:val="24"/>
        </w:rPr>
        <w:t xml:space="preserve"> </w:t>
      </w:r>
      <w:r>
        <w:rPr>
          <w:b w:val="false"/>
          <w:color w:val="000000"/>
          <w:sz w:val="24"/>
          <w:szCs w:val="24"/>
        </w:rPr>
        <w:t xml:space="preserve">7 (семь) рабочих дней с момента заключения Контракта направляет Субсублицензиату по адресу его электронной почты: </w:t>
      </w:r>
      <w:r>
        <w:rPr>
          <w:b w:val="false"/>
          <w:bCs w:val="false"/>
          <w:sz w:val="24"/>
          <w:szCs w:val="24"/>
        </w:rPr>
        <w:t>n.butuzova@meteorf.ru</w:t>
      </w:r>
      <w:r>
        <w:rPr>
          <w:b w:val="false"/>
          <w:color w:val="000000"/>
          <w:sz w:val="24"/>
          <w:szCs w:val="24"/>
        </w:rPr>
        <w:t xml:space="preserve"> уникальный код доступа для предоставления права доступа к базам данных.</w:t>
      </w:r>
    </w:p>
    <w:p>
      <w:pPr>
        <w:pStyle w:val="Heading2"/>
        <w:keepNext w:val="false"/>
        <w:widowControl/>
        <w:numPr>
          <w:ilvl w:val="1"/>
          <w:numId w:val="12"/>
        </w:numPr>
        <w:tabs>
          <w:tab w:val="clear" w:pos="708"/>
          <w:tab w:val="left" w:pos="0" w:leader="none"/>
          <w:tab w:val="left" w:pos="1418" w:leader="none"/>
        </w:tabs>
        <w:ind w:firstLine="851" w:left="0" w:right="0"/>
        <w:rPr>
          <w:b w:val="false"/>
          <w:color w:val="000000"/>
          <w:sz w:val="24"/>
          <w:szCs w:val="24"/>
        </w:rPr>
      </w:pPr>
      <w:r>
        <w:rPr>
          <w:b w:val="false"/>
          <w:color w:val="000000"/>
          <w:sz w:val="24"/>
          <w:szCs w:val="24"/>
        </w:rPr>
        <w:t>Сублицензиат в течение 5 (пяти) рабочих дней после отправки электронного письма направляет Субсублицензиату дополнительно по почте по адресу, указанному в разделе 8, Контракт</w:t>
      </w:r>
      <w:r>
        <w:rPr>
          <w:sz w:val="24"/>
          <w:szCs w:val="24"/>
        </w:rPr>
        <w:t xml:space="preserve"> </w:t>
      </w:r>
      <w:r>
        <w:rPr>
          <w:b w:val="false"/>
          <w:color w:val="000000"/>
          <w:sz w:val="24"/>
          <w:szCs w:val="24"/>
        </w:rPr>
        <w:t>и Акт передачи прав использования БД, подписанные Сублицензиатом.</w:t>
      </w:r>
    </w:p>
    <w:p>
      <w:pPr>
        <w:pStyle w:val="Heading2"/>
        <w:keepNext w:val="false"/>
        <w:widowControl/>
        <w:numPr>
          <w:ilvl w:val="1"/>
          <w:numId w:val="12"/>
        </w:numPr>
        <w:tabs>
          <w:tab w:val="clear" w:pos="708"/>
          <w:tab w:val="left" w:pos="0" w:leader="none"/>
          <w:tab w:val="left" w:pos="1418" w:leader="none"/>
        </w:tabs>
        <w:ind w:firstLine="851" w:left="0" w:right="0"/>
        <w:rPr>
          <w:b w:val="false"/>
          <w:bCs w:val="false"/>
          <w:color w:val="000000"/>
          <w:sz w:val="24"/>
          <w:szCs w:val="24"/>
        </w:rPr>
      </w:pPr>
      <w:r>
        <w:rPr>
          <w:b w:val="false"/>
          <w:bCs w:val="false"/>
          <w:color w:val="000000"/>
          <w:sz w:val="24"/>
          <w:szCs w:val="24"/>
        </w:rPr>
        <w:t xml:space="preserve">Субсублицензиат в течение 5 (пяти) рабочих дней после получения Акта передачи прав использования БД обязан подписать его со своей стороны и передать его Сублицензиату по почте по адресу, указанному в разделе 8 настоящего Контракта. </w:t>
      </w:r>
    </w:p>
    <w:p>
      <w:pPr>
        <w:pStyle w:val="Normal"/>
        <w:rPr>
          <w:b/>
          <w:bCs/>
          <w:color w:val="000000"/>
          <w:sz w:val="24"/>
          <w:szCs w:val="24"/>
        </w:rPr>
      </w:pPr>
      <w:r>
        <w:rPr>
          <w:b/>
          <w:bCs/>
          <w:color w:val="000000"/>
          <w:sz w:val="24"/>
          <w:szCs w:val="24"/>
        </w:rPr>
      </w:r>
    </w:p>
    <w:p>
      <w:pPr>
        <w:pStyle w:val="Heading2"/>
        <w:keepNext w:val="false"/>
        <w:widowControl/>
        <w:numPr>
          <w:ilvl w:val="0"/>
          <w:numId w:val="12"/>
        </w:numPr>
        <w:tabs>
          <w:tab w:val="clear" w:pos="708"/>
          <w:tab w:val="left" w:pos="426" w:leader="none"/>
        </w:tabs>
        <w:ind w:hanging="0" w:left="0"/>
        <w:jc w:val="center"/>
        <w:rPr>
          <w:sz w:val="24"/>
          <w:szCs w:val="24"/>
        </w:rPr>
      </w:pPr>
      <w:r>
        <w:rPr>
          <w:sz w:val="24"/>
          <w:szCs w:val="24"/>
        </w:rPr>
        <w:t>ЦЕНА КОНТРАКТА И ПОРЯДОК РАСЧЕТОВ</w:t>
      </w:r>
    </w:p>
    <w:p>
      <w:pPr>
        <w:pStyle w:val="Normal"/>
        <w:rPr>
          <w:sz w:val="24"/>
          <w:szCs w:val="24"/>
        </w:rPr>
      </w:pPr>
      <w:r>
        <w:rPr>
          <w:sz w:val="24"/>
          <w:szCs w:val="24"/>
        </w:rPr>
      </w:r>
    </w:p>
    <w:p>
      <w:pPr>
        <w:pStyle w:val="BodyText"/>
        <w:numPr>
          <w:ilvl w:val="1"/>
          <w:numId w:val="12"/>
        </w:numPr>
        <w:tabs>
          <w:tab w:val="clear" w:pos="708"/>
        </w:tabs>
        <w:spacing w:before="0" w:after="0"/>
        <w:ind w:firstLine="851" w:left="0" w:right="0"/>
        <w:rPr>
          <w:sz w:val="24"/>
          <w:szCs w:val="24"/>
        </w:rPr>
      </w:pPr>
      <w:bookmarkStart w:id="0" w:name="_Ref189296392"/>
      <w:bookmarkEnd w:id="0"/>
      <w:r>
        <w:rPr>
          <w:sz w:val="24"/>
          <w:szCs w:val="24"/>
        </w:rPr>
        <w:t>Цена Контракта составляет ____________ (___________________) рублей _____копеек , НДС / не облагается.</w:t>
      </w:r>
      <w:bookmarkStart w:id="1" w:name="Par1445"/>
      <w:bookmarkEnd w:id="1"/>
    </w:p>
    <w:p>
      <w:pPr>
        <w:pStyle w:val="BodyText"/>
        <w:numPr>
          <w:ilvl w:val="1"/>
          <w:numId w:val="12"/>
        </w:numPr>
        <w:tabs>
          <w:tab w:val="clear" w:pos="708"/>
        </w:tabs>
        <w:spacing w:before="0" w:after="0"/>
        <w:ind w:firstLine="851" w:left="0" w:right="0"/>
        <w:rPr>
          <w:sz w:val="24"/>
          <w:szCs w:val="24"/>
        </w:rPr>
      </w:pPr>
      <w:bookmarkStart w:id="2" w:name="_Ref189296392_Копия_1"/>
      <w:bookmarkEnd w:id="2"/>
      <w:r>
        <w:rPr>
          <w:sz w:val="24"/>
          <w:szCs w:val="24"/>
        </w:rPr>
        <w:t>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иным действующим законодательством Российской Федерации, и включает в себя все возможные затраты Сублицензиата, связанные с исполнением обязательств, предусмотренных Контрактом. В цену Контракта входит стоимость пользования сервисом «Экспертная поддержка».</w:t>
      </w:r>
    </w:p>
    <w:p>
      <w:pPr>
        <w:pStyle w:val="BodyText"/>
        <w:numPr>
          <w:ilvl w:val="1"/>
          <w:numId w:val="12"/>
        </w:numPr>
        <w:tabs>
          <w:tab w:val="clear" w:pos="708"/>
        </w:tabs>
        <w:spacing w:before="0" w:after="0"/>
        <w:ind w:firstLine="851" w:left="0" w:right="0"/>
        <w:rPr>
          <w:sz w:val="24"/>
          <w:szCs w:val="24"/>
        </w:rPr>
      </w:pPr>
      <w:r>
        <w:rPr>
          <w:sz w:val="24"/>
          <w:szCs w:val="24"/>
        </w:rPr>
        <w:t>Сумма, подлежащая уплате Государственным заказчиком Сублицензиату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BodyText"/>
        <w:numPr>
          <w:ilvl w:val="1"/>
          <w:numId w:val="12"/>
        </w:numPr>
        <w:tabs>
          <w:tab w:val="clear" w:pos="708"/>
        </w:tabs>
        <w:spacing w:before="0" w:after="0"/>
        <w:ind w:firstLine="851" w:left="0" w:right="0"/>
        <w:rPr>
          <w:sz w:val="24"/>
          <w:szCs w:val="24"/>
        </w:rPr>
      </w:pPr>
      <w:r>
        <w:rPr>
          <w:sz w:val="24"/>
          <w:szCs w:val="24"/>
        </w:rPr>
        <w:t xml:space="preserve">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 </w:t>
      </w:r>
    </w:p>
    <w:p>
      <w:pPr>
        <w:pStyle w:val="BodyText"/>
        <w:numPr>
          <w:ilvl w:val="1"/>
          <w:numId w:val="12"/>
        </w:numPr>
        <w:tabs>
          <w:tab w:val="clear" w:pos="708"/>
        </w:tabs>
        <w:spacing w:before="0" w:after="0"/>
        <w:ind w:firstLine="851" w:left="0" w:right="0"/>
        <w:rPr>
          <w:sz w:val="24"/>
          <w:szCs w:val="24"/>
        </w:rPr>
      </w:pPr>
      <w:r>
        <w:rPr>
          <w:sz w:val="24"/>
          <w:szCs w:val="24"/>
        </w:rPr>
        <w:t>Источник финансирования Контракта - средства федерального бюджета.</w:t>
      </w:r>
    </w:p>
    <w:p>
      <w:pPr>
        <w:pStyle w:val="Heading2"/>
        <w:numPr>
          <w:ilvl w:val="0"/>
          <w:numId w:val="0"/>
        </w:numPr>
        <w:ind w:hanging="0" w:left="0"/>
        <w:rPr>
          <w:b w:val="false"/>
          <w:bCs w:val="false"/>
          <w:sz w:val="24"/>
          <w:szCs w:val="24"/>
        </w:rPr>
      </w:pPr>
      <w:r>
        <w:rPr>
          <w:b w:val="false"/>
          <w:bCs w:val="false"/>
          <w:sz w:val="24"/>
          <w:szCs w:val="24"/>
        </w:rPr>
      </w:r>
    </w:p>
    <w:p>
      <w:pPr>
        <w:pStyle w:val="Heading2"/>
        <w:numPr>
          <w:ilvl w:val="0"/>
          <w:numId w:val="0"/>
        </w:numPr>
        <w:spacing w:before="0" w:after="240"/>
        <w:ind w:hanging="0" w:left="0"/>
        <w:rPr>
          <w:b w:val="false"/>
          <w:bCs w:val="false"/>
          <w:sz w:val="24"/>
          <w:szCs w:val="24"/>
        </w:rPr>
      </w:pPr>
      <w:r>
        <w:rPr>
          <w:b w:val="false"/>
          <w:bCs w:val="false"/>
          <w:sz w:val="24"/>
          <w:szCs w:val="24"/>
        </w:rPr>
        <w:t>КБК: 16906051240390059242</w:t>
      </w:r>
    </w:p>
    <w:p>
      <w:pPr>
        <w:pStyle w:val="BodyText"/>
        <w:numPr>
          <w:ilvl w:val="1"/>
          <w:numId w:val="12"/>
        </w:numPr>
        <w:tabs>
          <w:tab w:val="clear" w:pos="708"/>
        </w:tabs>
        <w:spacing w:before="0" w:after="0"/>
        <w:ind w:firstLine="851" w:left="0" w:right="0"/>
        <w:rPr>
          <w:sz w:val="24"/>
          <w:szCs w:val="24"/>
        </w:rPr>
      </w:pPr>
      <w:bookmarkStart w:id="3" w:name="Par1462"/>
      <w:bookmarkEnd w:id="3"/>
      <w:r>
        <w:rPr>
          <w:sz w:val="24"/>
          <w:szCs w:val="24"/>
        </w:rPr>
        <w:t>Расчеты между Государственным заказчиком и Сублицензиатом производятся на основании выставленного Сублицензиатом счета, счет-фактуры (при необходимости) и Акта передачи прав использования БД, путем перечисления на счет Сублицензиата цены Контракта, указанной в п. 3.1. настоящего Контракта не позднее 7 (семи) календарных дней с даты подписания Государственным заказчиком Акта передачи прав использования БД.</w:t>
      </w:r>
    </w:p>
    <w:p>
      <w:pPr>
        <w:pStyle w:val="BodyText"/>
        <w:numPr>
          <w:ilvl w:val="1"/>
          <w:numId w:val="12"/>
        </w:numPr>
        <w:tabs>
          <w:tab w:val="clear" w:pos="708"/>
        </w:tabs>
        <w:spacing w:before="0" w:after="0"/>
        <w:ind w:firstLine="851" w:left="0" w:right="0"/>
        <w:rPr>
          <w:sz w:val="24"/>
          <w:szCs w:val="24"/>
        </w:rPr>
      </w:pPr>
      <w:bookmarkStart w:id="4" w:name="Par1475"/>
      <w:bookmarkEnd w:id="4"/>
      <w:r>
        <w:rPr>
          <w:sz w:val="24"/>
          <w:szCs w:val="24"/>
        </w:rPr>
        <w:t>Оплата по Контракту осуществляется в рублях Российской Федерации по безналичному расчету платежными поручениями путем перечисления Государственным заказчиком денежных средств на расчетный счет Сублицензиата, указанный в Контракте. В случае изменения расчетного счета Сублицензиат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Сублицензиата, несет Сублицензиат.</w:t>
      </w:r>
      <w:bookmarkStart w:id="5" w:name="_Hlk118998155"/>
    </w:p>
    <w:p>
      <w:pPr>
        <w:pStyle w:val="BodyText"/>
        <w:numPr>
          <w:ilvl w:val="1"/>
          <w:numId w:val="12"/>
        </w:numPr>
        <w:tabs>
          <w:tab w:val="clear" w:pos="708"/>
        </w:tabs>
        <w:spacing w:before="0" w:after="0"/>
        <w:ind w:firstLine="851" w:left="0" w:right="0"/>
        <w:rPr>
          <w:sz w:val="24"/>
          <w:szCs w:val="24"/>
        </w:rPr>
      </w:pPr>
      <w:r>
        <w:rPr>
          <w:sz w:val="24"/>
          <w:szCs w:val="24"/>
        </w:rPr>
        <w:t>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(работы, услуги), предусмотренных Контрактом с учетом требований Закона № 44-ФЗ.</w:t>
      </w:r>
      <w:bookmarkEnd w:id="5"/>
    </w:p>
    <w:p>
      <w:pPr>
        <w:pStyle w:val="BodyText"/>
        <w:spacing w:before="0" w:after="0"/>
        <w:rPr>
          <w:sz w:val="24"/>
          <w:szCs w:val="24"/>
        </w:rPr>
      </w:pPr>
      <w:r>
        <w:rPr>
          <w:sz w:val="24"/>
          <w:szCs w:val="24"/>
        </w:rPr>
      </w:r>
    </w:p>
    <w:p>
      <w:pPr>
        <w:pStyle w:val="Heading2"/>
        <w:keepNext w:val="false"/>
        <w:widowControl/>
        <w:numPr>
          <w:ilvl w:val="0"/>
          <w:numId w:val="12"/>
        </w:numPr>
        <w:tabs>
          <w:tab w:val="clear" w:pos="708"/>
          <w:tab w:val="left" w:pos="567" w:leader="none"/>
        </w:tabs>
        <w:ind w:hanging="0" w:left="0"/>
        <w:jc w:val="center"/>
        <w:rPr>
          <w:sz w:val="24"/>
          <w:szCs w:val="24"/>
        </w:rPr>
      </w:pPr>
      <w:r>
        <w:rPr>
          <w:sz w:val="24"/>
          <w:szCs w:val="24"/>
        </w:rPr>
        <w:t>ЗАЩИТА В СЛУЧАЕ НАРУШЕНИЙ</w:t>
      </w:r>
    </w:p>
    <w:p>
      <w:pPr>
        <w:pStyle w:val="Heading2"/>
        <w:keepNext w:val="false"/>
        <w:widowControl/>
        <w:numPr>
          <w:ilvl w:val="0"/>
          <w:numId w:val="0"/>
        </w:numPr>
        <w:ind w:hanging="0" w:left="0"/>
        <w:jc w:val="center"/>
        <w:rPr>
          <w:sz w:val="24"/>
          <w:szCs w:val="24"/>
        </w:rPr>
      </w:pPr>
      <w:r>
        <w:rPr>
          <w:sz w:val="24"/>
          <w:szCs w:val="24"/>
        </w:rPr>
        <w:t>ИНТЕЛЛЕКТУАЛЬНЫХ ПРАВ ТРЕТЬИХ ЛИЦ</w:t>
      </w:r>
    </w:p>
    <w:p>
      <w:pPr>
        <w:pStyle w:val="Normal"/>
        <w:rPr>
          <w:sz w:val="24"/>
          <w:szCs w:val="24"/>
        </w:rPr>
      </w:pPr>
      <w:r>
        <w:rPr>
          <w:sz w:val="24"/>
          <w:szCs w:val="24"/>
        </w:rPr>
      </w:r>
    </w:p>
    <w:p>
      <w:pPr>
        <w:pStyle w:val="BodyText"/>
        <w:numPr>
          <w:ilvl w:val="1"/>
          <w:numId w:val="12"/>
        </w:numPr>
        <w:tabs>
          <w:tab w:val="clear" w:pos="708"/>
        </w:tabs>
        <w:spacing w:before="0" w:after="0"/>
        <w:ind w:firstLine="851" w:left="0" w:right="0"/>
        <w:rPr>
          <w:sz w:val="24"/>
          <w:szCs w:val="24"/>
        </w:rPr>
      </w:pPr>
      <w:r>
        <w:rPr>
          <w:sz w:val="24"/>
          <w:szCs w:val="24"/>
        </w:rPr>
        <w:t xml:space="preserve">Сублицензиат будет защищать интересы Субсублицензиата в случае предъявления к нему третьим лицом претензии о том, что использование им БД нарушает интеллектуальные права данных лиц. </w:t>
      </w:r>
    </w:p>
    <w:p>
      <w:pPr>
        <w:pStyle w:val="BodyText"/>
        <w:numPr>
          <w:ilvl w:val="1"/>
          <w:numId w:val="12"/>
        </w:numPr>
        <w:tabs>
          <w:tab w:val="clear" w:pos="708"/>
        </w:tabs>
        <w:spacing w:before="0" w:after="0"/>
        <w:ind w:firstLine="851" w:left="0" w:right="0"/>
        <w:rPr>
          <w:sz w:val="24"/>
          <w:szCs w:val="24"/>
        </w:rPr>
      </w:pPr>
      <w:r>
        <w:rPr>
          <w:sz w:val="24"/>
          <w:szCs w:val="24"/>
        </w:rPr>
        <w:t xml:space="preserve">В случае предъявления претензии Субсублицензиат должен незамедлительно письменно уведомить об этом Сублицензиата. </w:t>
      </w:r>
    </w:p>
    <w:p>
      <w:pPr>
        <w:pStyle w:val="BodyText"/>
        <w:numPr>
          <w:ilvl w:val="1"/>
          <w:numId w:val="12"/>
        </w:numPr>
        <w:tabs>
          <w:tab w:val="clear" w:pos="708"/>
        </w:tabs>
        <w:spacing w:before="0" w:after="0"/>
        <w:ind w:firstLine="851" w:left="0" w:right="0"/>
        <w:rPr>
          <w:sz w:val="24"/>
          <w:szCs w:val="24"/>
        </w:rPr>
      </w:pPr>
      <w:r>
        <w:rPr>
          <w:sz w:val="24"/>
          <w:szCs w:val="24"/>
        </w:rPr>
        <w:t>Обязательства Сублицензиата не распространяются на случаи нарушения Субсублицензиатом условий использования БД, предусмотренных настоящим Контрактом и действующим законодательством.</w:t>
      </w:r>
    </w:p>
    <w:p>
      <w:pPr>
        <w:pStyle w:val="BodyText"/>
        <w:spacing w:before="0" w:after="0"/>
        <w:ind w:left="539" w:right="0"/>
        <w:rPr>
          <w:sz w:val="24"/>
          <w:szCs w:val="24"/>
        </w:rPr>
      </w:pPr>
      <w:r>
        <w:rPr>
          <w:sz w:val="24"/>
          <w:szCs w:val="24"/>
        </w:rPr>
      </w:r>
    </w:p>
    <w:p>
      <w:pPr>
        <w:pStyle w:val="Heading2"/>
        <w:keepNext w:val="false"/>
        <w:widowControl/>
        <w:numPr>
          <w:ilvl w:val="0"/>
          <w:numId w:val="12"/>
        </w:numPr>
        <w:tabs>
          <w:tab w:val="clear" w:pos="708"/>
          <w:tab w:val="left" w:pos="567" w:leader="none"/>
        </w:tabs>
        <w:ind w:hanging="0" w:left="0"/>
        <w:jc w:val="center"/>
        <w:rPr>
          <w:sz w:val="24"/>
          <w:szCs w:val="24"/>
        </w:rPr>
      </w:pPr>
      <w:r>
        <w:rPr>
          <w:sz w:val="24"/>
          <w:szCs w:val="24"/>
        </w:rPr>
        <w:t>ОТВЕТСТВЕННОСТЬ СТОРОН</w:t>
      </w:r>
    </w:p>
    <w:p>
      <w:pPr>
        <w:pStyle w:val="Heading2"/>
        <w:keepNext w:val="false"/>
        <w:widowControl/>
        <w:numPr>
          <w:ilvl w:val="0"/>
          <w:numId w:val="0"/>
        </w:numPr>
        <w:ind w:hanging="0" w:left="0"/>
        <w:jc w:val="center"/>
        <w:rPr>
          <w:sz w:val="24"/>
          <w:szCs w:val="24"/>
        </w:rPr>
      </w:pPr>
      <w:r>
        <w:rPr>
          <w:sz w:val="24"/>
          <w:szCs w:val="24"/>
        </w:rPr>
        <w:t>И ПОРЯДОК РАССМОТРЕНИЯ СПОРОВ</w:t>
      </w:r>
    </w:p>
    <w:p>
      <w:pPr>
        <w:pStyle w:val="Normal"/>
        <w:rPr>
          <w:sz w:val="24"/>
          <w:szCs w:val="24"/>
        </w:rPr>
      </w:pPr>
      <w:r>
        <w:rPr>
          <w:sz w:val="24"/>
          <w:szCs w:val="24"/>
        </w:rPr>
      </w:r>
    </w:p>
    <w:p>
      <w:pPr>
        <w:pStyle w:val="Normal"/>
        <w:ind w:firstLine="708" w:right="0"/>
        <w:jc w:val="both"/>
        <w:rPr/>
      </w:pPr>
      <w:r>
        <w:rPr>
          <w:b/>
          <w:bCs/>
        </w:rPr>
        <w:t xml:space="preserve">5.1. </w:t>
      </w:r>
      <w:r>
        <w:rPr>
          <w:bCs/>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pPr>
        <w:pStyle w:val="Normal"/>
        <w:ind w:firstLine="708" w:right="0"/>
        <w:jc w:val="both"/>
        <w:rPr/>
      </w:pPr>
      <w:r>
        <w:rPr>
          <w:b/>
        </w:rPr>
        <w:t>5.2.</w:t>
      </w:r>
      <w:r>
        <w:rPr/>
        <w:t xml:space="preserve"> В случае неисполнения Сублицензиатом условий Контракта Субсублицензиат вправе обратиться в суд с требованием о расторжении настоящего Контракта.</w:t>
      </w:r>
    </w:p>
    <w:p>
      <w:pPr>
        <w:pStyle w:val="Normal"/>
        <w:ind w:firstLine="708" w:right="0"/>
        <w:jc w:val="both"/>
        <w:rPr/>
      </w:pPr>
      <w:r>
        <w:rPr>
          <w:b/>
        </w:rPr>
        <w:t>5.3.</w:t>
      </w:r>
      <w:r>
        <w:rPr/>
        <w:t xml:space="preserve">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pPr>
        <w:pStyle w:val="Normal"/>
        <w:ind w:firstLine="708" w:right="0"/>
        <w:jc w:val="both"/>
        <w:rPr/>
      </w:pPr>
      <w:r>
        <w:rPr>
          <w:b/>
        </w:rPr>
        <w:t>5.4.</w:t>
      </w:r>
      <w:r>
        <w:rPr/>
        <w:t xml:space="preserve"> В случае просрочки исполнения Сублицензиатом обязательств (в том числе гарантийного обязательства), предусмотренных Контрактом, Сублицензиатом уплачивает Государственному заказчику пени. Пеня начисляется за каждый день просрочки исполнения Сублицензиатом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Сублицензиатом.</w:t>
      </w:r>
    </w:p>
    <w:p>
      <w:pPr>
        <w:pStyle w:val="Normal"/>
        <w:ind w:firstLine="708" w:right="0"/>
        <w:jc w:val="both"/>
        <w:rPr/>
      </w:pPr>
      <w:r>
        <w:rPr>
          <w:b/>
        </w:rPr>
        <w:t>5.5.</w:t>
      </w:r>
      <w:r>
        <w:rPr/>
        <w:t xml:space="preserve"> В случае просрочки исполнения Государственным заказчиком обязательств, предусмотренных Контрактом, Сублицензиат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ind w:firstLine="708" w:right="0"/>
        <w:jc w:val="both"/>
        <w:rPr/>
      </w:pPr>
      <w:r>
        <w:rPr>
          <w:b/>
        </w:rPr>
        <w:t>5.6</w:t>
      </w:r>
      <w:r>
        <w:rPr/>
        <w:t xml:space="preserve">. Размер штрафа устанавливается Контрактом в соответствии с </w:t>
      </w:r>
      <w:hyperlink r:id="rId2">
        <w:r>
          <w:rPr>
            <w:rStyle w:val="Hyperlink"/>
            <w:color w:val="000000"/>
            <w:u w:val="none"/>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ind w:firstLine="708" w:right="0"/>
        <w:jc w:val="both"/>
        <w:rPr/>
      </w:pPr>
      <w:r>
        <w:rPr>
          <w:b/>
        </w:rPr>
        <w:t>5.7.</w:t>
      </w:r>
      <w:r>
        <w:rPr/>
        <w:t xml:space="preserve"> За каждый факт неисполнения или ненадлежащего исполнения Сублицензиатом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Сублицензиат уплачивает Субсублицензиату штраф. Размер штрафа устанавливается в следующем порядке:</w:t>
      </w:r>
    </w:p>
    <w:p>
      <w:pPr>
        <w:pStyle w:val="Normal"/>
        <w:ind w:firstLine="567" w:right="0"/>
        <w:jc w:val="both"/>
        <w:rPr/>
      </w:pPr>
      <w:r>
        <w:rPr/>
        <w:t>а) 10 процентов цены Контракта (этапа) в случае, если цена Контракта (этапа) не превышает 3 млн. рублей.</w:t>
      </w:r>
    </w:p>
    <w:p>
      <w:pPr>
        <w:pStyle w:val="Normal"/>
        <w:ind w:firstLine="540" w:right="0"/>
        <w:jc w:val="both"/>
        <w:rPr/>
      </w:pPr>
      <w:r>
        <w:rPr>
          <w:b/>
        </w:rPr>
        <w:t>5.8.</w:t>
      </w:r>
      <w:r>
        <w:rPr/>
        <w:t xml:space="preserve"> За каждый факт неисполнения или ненадлежащего исполнения Сублицензиатом обязательства, предусмотренного Контрактом, которое не имеет стоимостного выражения Сублицензиат уплачивает Субсублицензиату штраф (при наличии в Контракте таких обязательств). Размер штрафа устанавливается в следующем порядке:</w:t>
      </w:r>
    </w:p>
    <w:p>
      <w:pPr>
        <w:pStyle w:val="Normal"/>
        <w:ind w:firstLine="540" w:right="0"/>
        <w:jc w:val="both"/>
        <w:rPr/>
      </w:pPr>
      <w:r>
        <w:rPr/>
        <w:t>а) 1000 рублей, если цена Контракта не превышает 3 млн. рублей.</w:t>
      </w:r>
    </w:p>
    <w:p>
      <w:pPr>
        <w:pStyle w:val="Normal"/>
        <w:ind w:firstLine="540" w:right="0"/>
        <w:jc w:val="both"/>
        <w:rPr/>
      </w:pPr>
      <w:r>
        <w:rPr>
          <w:b/>
        </w:rPr>
        <w:t xml:space="preserve">5.9. </w:t>
      </w:r>
      <w:r>
        <w:rPr/>
        <w:t>За каждый факт неисполнения Субсублицензиатом обязательств, предусмотренных Контрактом, за исключением просрочки исполнения обязательств, предусмотренных Контрактом, Субсублицензиат уплачивает Сублицензиату штраф. Размер штрафа устанавливается в следующем порядке:</w:t>
      </w:r>
    </w:p>
    <w:p>
      <w:pPr>
        <w:pStyle w:val="Normal"/>
        <w:ind w:firstLine="540" w:right="0"/>
        <w:jc w:val="both"/>
        <w:rPr/>
      </w:pPr>
      <w:r>
        <w:rPr/>
        <w:t>а) 1000 рублей, если цена Контракта не превышает 3 млн. рублей.</w:t>
      </w:r>
    </w:p>
    <w:p>
      <w:pPr>
        <w:pStyle w:val="Normal"/>
        <w:ind w:firstLine="708" w:right="0"/>
        <w:jc w:val="both"/>
        <w:rPr/>
      </w:pPr>
      <w:r>
        <w:rPr>
          <w:b/>
        </w:rPr>
        <w:t>5.10.</w:t>
      </w:r>
      <w:r>
        <w:rPr/>
        <w:t xml:space="preserve"> Применение неустойки (штрафа, пени) не освобождает Стороны от исполнения обязательств по настоящему Контракту.</w:t>
      </w:r>
    </w:p>
    <w:p>
      <w:pPr>
        <w:pStyle w:val="Normal"/>
        <w:ind w:firstLine="708" w:right="0"/>
        <w:jc w:val="both"/>
        <w:rPr/>
      </w:pPr>
      <w:r>
        <w:rPr>
          <w:b/>
        </w:rPr>
        <w:t xml:space="preserve">5.11. </w:t>
      </w:r>
      <w:r>
        <w:rPr/>
        <w:t>Общая сумма начисленных штрафов за неисполнение или ненадлежащее исполнение Сублицензиатом обязательств, предусмотренных Контрактом, не может превышать цену Контракта.</w:t>
      </w:r>
    </w:p>
    <w:p>
      <w:pPr>
        <w:pStyle w:val="Normal"/>
        <w:ind w:firstLine="708" w:right="0"/>
        <w:jc w:val="both"/>
        <w:rPr/>
      </w:pPr>
      <w:r>
        <w:rPr>
          <w:b/>
        </w:rPr>
        <w:t xml:space="preserve">5.12. </w:t>
      </w:r>
      <w:r>
        <w:rPr/>
        <w:t>Общая сумма начисленных штрафов за ненадлежащее исполнение Субсублицензиатом обязательств, предусмотренных Контрактом, не может превышать цену Контракта.</w:t>
      </w:r>
    </w:p>
    <w:p>
      <w:pPr>
        <w:pStyle w:val="Normal"/>
        <w:ind w:firstLine="708" w:right="0"/>
        <w:jc w:val="both"/>
        <w:rPr/>
      </w:pPr>
      <w:r>
        <w:rPr>
          <w:b/>
        </w:rPr>
        <w:t>5.13.</w:t>
      </w:r>
      <w:r>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708" w:right="0"/>
        <w:jc w:val="both"/>
        <w:rPr/>
      </w:pPr>
      <w:r>
        <w:rPr>
          <w:b/>
        </w:rPr>
        <w:t>5.14.</w:t>
      </w:r>
      <w:r>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708" w:right="0"/>
        <w:jc w:val="both"/>
        <w:rPr/>
      </w:pPr>
      <w:r>
        <w:rPr>
          <w:b/>
          <w:bCs/>
          <w:color w:val="000000"/>
        </w:rPr>
        <w:t>5.15.</w:t>
      </w:r>
      <w:r>
        <w:rPr>
          <w:bCs/>
        </w:rPr>
        <w:t xml:space="preserve"> </w:t>
      </w:r>
      <w:r>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
        <w:ind w:firstLine="708" w:right="0"/>
        <w:jc w:val="both"/>
        <w:rPr/>
      </w:pPr>
      <w:r>
        <w:rPr>
          <w:b/>
        </w:rPr>
        <w:t>5.16.</w:t>
      </w:r>
      <w:r>
        <w:rPr/>
        <w:t xml:space="preserve"> </w:t>
      </w:r>
      <w:r>
        <w:rPr>
          <w:bCs/>
          <w:lang w:eastAsia="en-US"/>
        </w:rPr>
        <w:t>При возникновении споров по настоящему Контракту обязательным является предъявление претензии, срок рассмотрения которой устанавливается в   10 (десять) рабочих дней с даты ее вручения другой стороне.</w:t>
      </w:r>
    </w:p>
    <w:p>
      <w:pPr>
        <w:pStyle w:val="Normal"/>
        <w:ind w:firstLine="708" w:right="0"/>
        <w:jc w:val="both"/>
        <w:rPr/>
      </w:pPr>
      <w:r>
        <w:rPr>
          <w:b/>
          <w:bCs/>
          <w:lang w:eastAsia="en-US"/>
        </w:rPr>
        <w:t>5.17.</w:t>
      </w:r>
      <w:r>
        <w:rPr>
          <w:bCs/>
          <w:lang w:eastAsia="en-US"/>
        </w:rPr>
        <w:t xml:space="preserve"> Претензия и отзыв на нее вручаются либо под расписку, либо почтовым отправлением с уведомлением о вручении. </w:t>
      </w:r>
    </w:p>
    <w:p>
      <w:pPr>
        <w:pStyle w:val="Normal"/>
        <w:ind w:firstLine="708" w:right="0"/>
        <w:jc w:val="both"/>
        <w:rPr/>
      </w:pPr>
      <w:r>
        <w:rPr>
          <w:b/>
          <w:bCs/>
          <w:lang w:eastAsia="en-US"/>
        </w:rPr>
        <w:t xml:space="preserve">5.18. </w:t>
      </w:r>
      <w:r>
        <w:rPr/>
        <w:t>В случае невозможности урегулирования споров и разногласий в претензионном порядке, Стороны вправе передать их на рассмотрение в Арбитражный суд г. Москвы.</w:t>
      </w:r>
    </w:p>
    <w:p>
      <w:pPr>
        <w:pStyle w:val="Normal"/>
        <w:ind w:firstLine="708" w:right="0"/>
        <w:jc w:val="both"/>
        <w:rPr/>
      </w:pPr>
      <w:r>
        <w:rPr/>
      </w:r>
    </w:p>
    <w:p>
      <w:pPr>
        <w:pStyle w:val="BodyText"/>
        <w:numPr>
          <w:ilvl w:val="0"/>
          <w:numId w:val="0"/>
        </w:numPr>
        <w:spacing w:before="0" w:after="0"/>
        <w:ind w:hanging="0" w:left="0"/>
        <w:outlineLvl w:val="0"/>
        <w:rPr>
          <w:bCs/>
          <w:sz w:val="24"/>
          <w:szCs w:val="24"/>
        </w:rPr>
      </w:pPr>
      <w:r>
        <w:rPr>
          <w:bCs/>
          <w:sz w:val="24"/>
          <w:szCs w:val="24"/>
        </w:rPr>
      </w:r>
    </w:p>
    <w:p>
      <w:pPr>
        <w:pStyle w:val="Heading2"/>
        <w:keepNext w:val="false"/>
        <w:widowControl/>
        <w:numPr>
          <w:ilvl w:val="0"/>
          <w:numId w:val="12"/>
        </w:numPr>
        <w:tabs>
          <w:tab w:val="clear" w:pos="708"/>
          <w:tab w:val="left" w:pos="567" w:leader="none"/>
        </w:tabs>
        <w:ind w:hanging="0" w:left="0"/>
        <w:jc w:val="center"/>
        <w:rPr>
          <w:sz w:val="24"/>
          <w:szCs w:val="24"/>
        </w:rPr>
      </w:pPr>
      <w:r>
        <w:rPr>
          <w:sz w:val="24"/>
          <w:szCs w:val="24"/>
        </w:rPr>
        <w:t>КОНФИДЕНЦИАЛЬНОСТЬ</w:t>
      </w:r>
    </w:p>
    <w:p>
      <w:pPr>
        <w:pStyle w:val="Normal"/>
        <w:rPr>
          <w:sz w:val="24"/>
          <w:szCs w:val="24"/>
        </w:rPr>
      </w:pPr>
      <w:r>
        <w:rPr>
          <w:sz w:val="24"/>
          <w:szCs w:val="24"/>
        </w:rPr>
      </w:r>
    </w:p>
    <w:p>
      <w:pPr>
        <w:pStyle w:val="BodyText"/>
        <w:numPr>
          <w:ilvl w:val="1"/>
          <w:numId w:val="12"/>
        </w:numPr>
        <w:tabs>
          <w:tab w:val="clear" w:pos="708"/>
          <w:tab w:val="left" w:pos="-1418" w:leader="none"/>
        </w:tabs>
        <w:spacing w:before="0" w:after="0"/>
        <w:ind w:firstLine="851" w:left="0" w:right="0"/>
        <w:rPr>
          <w:sz w:val="24"/>
          <w:szCs w:val="24"/>
        </w:rPr>
      </w:pPr>
      <w:r>
        <w:rPr>
          <w:sz w:val="24"/>
          <w:szCs w:val="24"/>
        </w:rPr>
        <w:t>Стороны обязуются не разглашать конфиденциальную информацию и не использовать ее, кроме как в целях исполнения обязательств по настоящему Контракту.</w:t>
      </w:r>
    </w:p>
    <w:p>
      <w:pPr>
        <w:pStyle w:val="BodyText"/>
        <w:numPr>
          <w:ilvl w:val="1"/>
          <w:numId w:val="12"/>
        </w:numPr>
        <w:tabs>
          <w:tab w:val="clear" w:pos="708"/>
          <w:tab w:val="left" w:pos="-1418" w:leader="none"/>
        </w:tabs>
        <w:spacing w:before="0" w:after="0"/>
        <w:ind w:firstLine="851" w:left="0" w:right="0"/>
        <w:rPr>
          <w:sz w:val="24"/>
          <w:szCs w:val="24"/>
        </w:rPr>
      </w:pPr>
      <w:r>
        <w:rPr>
          <w:sz w:val="24"/>
          <w:szCs w:val="24"/>
        </w:rPr>
        <w:t>Конфиденциальной считается информация, полученная в рамках выполнения настоящего Контракта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Контракта, должны иметь пометку «Конфиденциально».</w:t>
      </w:r>
    </w:p>
    <w:p>
      <w:pPr>
        <w:pStyle w:val="BodyText"/>
        <w:numPr>
          <w:ilvl w:val="1"/>
          <w:numId w:val="12"/>
        </w:numPr>
        <w:tabs>
          <w:tab w:val="clear" w:pos="708"/>
          <w:tab w:val="left" w:pos="-1418" w:leader="none"/>
        </w:tabs>
        <w:spacing w:before="0" w:after="0"/>
        <w:ind w:firstLine="851" w:left="0" w:right="0"/>
        <w:rPr>
          <w:sz w:val="24"/>
          <w:szCs w:val="24"/>
        </w:rPr>
      </w:pPr>
      <w:r>
        <w:rPr>
          <w:sz w:val="24"/>
          <w:szCs w:val="24"/>
        </w:rPr>
        <w:t>Сторона, не выполнившая условия конфиденциальности, несет ответственность в соответствии с законодательством Российской Федерации.</w:t>
      </w:r>
    </w:p>
    <w:p>
      <w:pPr>
        <w:pStyle w:val="BodyText"/>
        <w:numPr>
          <w:ilvl w:val="1"/>
          <w:numId w:val="12"/>
        </w:numPr>
        <w:tabs>
          <w:tab w:val="clear" w:pos="708"/>
          <w:tab w:val="left" w:pos="-1418" w:leader="none"/>
        </w:tabs>
        <w:spacing w:before="0" w:after="0"/>
        <w:ind w:firstLine="851" w:left="0" w:right="0"/>
        <w:rPr>
          <w:sz w:val="24"/>
          <w:szCs w:val="24"/>
        </w:rPr>
      </w:pPr>
      <w:r>
        <w:rPr>
          <w:sz w:val="24"/>
          <w:szCs w:val="24"/>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pPr>
        <w:pStyle w:val="BodyText"/>
        <w:numPr>
          <w:ilvl w:val="1"/>
          <w:numId w:val="12"/>
        </w:numPr>
        <w:tabs>
          <w:tab w:val="clear" w:pos="708"/>
          <w:tab w:val="left" w:pos="-1418" w:leader="none"/>
        </w:tabs>
        <w:spacing w:before="0" w:after="0"/>
        <w:ind w:firstLine="851" w:left="0" w:right="0"/>
        <w:rPr>
          <w:sz w:val="24"/>
          <w:szCs w:val="24"/>
        </w:rPr>
      </w:pPr>
      <w:r>
        <w:rPr>
          <w:sz w:val="24"/>
          <w:szCs w:val="24"/>
        </w:rPr>
        <w:t>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pPr>
        <w:pStyle w:val="Heading2"/>
        <w:keepNext w:val="false"/>
        <w:widowControl/>
        <w:numPr>
          <w:ilvl w:val="0"/>
          <w:numId w:val="0"/>
        </w:numPr>
        <w:ind w:hanging="0" w:left="0"/>
        <w:rPr>
          <w:sz w:val="24"/>
          <w:szCs w:val="24"/>
        </w:rPr>
      </w:pPr>
      <w:r>
        <w:rPr>
          <w:sz w:val="24"/>
          <w:szCs w:val="24"/>
        </w:rPr>
      </w:r>
    </w:p>
    <w:p>
      <w:pPr>
        <w:pStyle w:val="Heading2"/>
        <w:keepNext w:val="false"/>
        <w:widowControl/>
        <w:numPr>
          <w:ilvl w:val="0"/>
          <w:numId w:val="12"/>
        </w:numPr>
        <w:tabs>
          <w:tab w:val="clear" w:pos="708"/>
          <w:tab w:val="left" w:pos="567" w:leader="none"/>
        </w:tabs>
        <w:ind w:hanging="0" w:left="0"/>
        <w:jc w:val="center"/>
        <w:rPr>
          <w:sz w:val="24"/>
          <w:szCs w:val="24"/>
        </w:rPr>
      </w:pPr>
      <w:r>
        <w:rPr>
          <w:sz w:val="24"/>
          <w:szCs w:val="24"/>
        </w:rPr>
        <w:t>ПРОЧИЕ УСЛОВИЯ</w:t>
      </w:r>
    </w:p>
    <w:p>
      <w:pPr>
        <w:pStyle w:val="Normal"/>
        <w:widowControl w:val="false"/>
        <w:jc w:val="both"/>
        <w:rPr>
          <w:b/>
          <w:sz w:val="24"/>
          <w:szCs w:val="24"/>
        </w:rPr>
      </w:pPr>
      <w:r>
        <w:rPr>
          <w:b/>
          <w:sz w:val="24"/>
          <w:szCs w:val="24"/>
        </w:rPr>
      </w:r>
    </w:p>
    <w:p>
      <w:pPr>
        <w:pStyle w:val="Normal"/>
        <w:widowControl w:val="false"/>
        <w:ind w:firstLine="708" w:right="0"/>
        <w:jc w:val="both"/>
        <w:rPr/>
      </w:pPr>
      <w:r>
        <w:rPr>
          <w:b/>
        </w:rPr>
        <w:t>7.1.</w:t>
      </w:r>
      <w:r>
        <w:rPr/>
        <w:t xml:space="preserve"> Настоящий Контракт вступает в силу с момента подписания и действует до исполнения Сторонами всех взятых на себя обязательств. Срок действия лицензии – </w:t>
      </w:r>
      <w:r>
        <w:rPr/>
        <w:t xml:space="preserve">24 </w:t>
      </w:r>
      <w:r>
        <w:rPr/>
        <w:t xml:space="preserve"> месяц</w:t>
      </w:r>
      <w:r>
        <w:rPr/>
        <w:t>а</w:t>
      </w:r>
      <w:r>
        <w:rPr/>
        <w:t>.</w:t>
      </w:r>
    </w:p>
    <w:p>
      <w:pPr>
        <w:pStyle w:val="Normal"/>
        <w:widowControl w:val="false"/>
        <w:ind w:firstLine="708" w:right="0"/>
        <w:jc w:val="both"/>
        <w:rPr/>
      </w:pPr>
      <w:r>
        <w:rPr>
          <w:b/>
        </w:rPr>
        <w:t>7.2.</w:t>
      </w:r>
      <w:r>
        <w:rPr/>
        <w:t>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pPr>
        <w:pStyle w:val="Normal"/>
        <w:widowControl w:val="false"/>
        <w:ind w:firstLine="708" w:right="0"/>
        <w:jc w:val="both"/>
        <w:rPr/>
      </w:pPr>
      <w:r>
        <w:rPr>
          <w:b/>
        </w:rPr>
        <w:t>7.3.</w:t>
      </w:r>
      <w:r>
        <w:rPr/>
        <w:t xml:space="preserve"> При исполнении настоящего Контракта не допускается перемена Сублицензиата, за исключением случаев, если новый Сублицензиат является правопреемником Сублицензиата по настоящему Контракту вследствие реорганизации юридического лица в форме преобразования, слияния или присоединения.</w:t>
      </w:r>
    </w:p>
    <w:p>
      <w:pPr>
        <w:pStyle w:val="Normal"/>
        <w:widowControl w:val="false"/>
        <w:ind w:firstLine="708" w:right="0"/>
        <w:jc w:val="both"/>
        <w:rPr/>
      </w:pPr>
      <w:r>
        <w:rPr/>
        <w:t>О наступлении такого события, Сублицензиат обязан сообщить Субсублицензиату в письменной форме в течение 5 (пяти) календарных дней после реорганизации юридического лица в форме преобразования, слияния или присоединения.</w:t>
      </w:r>
    </w:p>
    <w:p>
      <w:pPr>
        <w:pStyle w:val="Normal"/>
        <w:widowControl w:val="false"/>
        <w:ind w:firstLine="708" w:right="0"/>
        <w:jc w:val="both"/>
        <w:rPr/>
      </w:pPr>
      <w:r>
        <w:rPr/>
        <w:t>Передача прав и обязанностей по настоящему Контракту правопреемнику Сублицензиата осуществляется путем заключения соответствующего дополнительного соглашения к настоящему Контракту.</w:t>
      </w:r>
    </w:p>
    <w:p>
      <w:pPr>
        <w:pStyle w:val="Standard"/>
        <w:ind w:firstLine="708" w:right="0"/>
        <w:jc w:val="both"/>
        <w:rPr/>
      </w:pPr>
      <w:r>
        <w:rPr>
          <w:b/>
          <w:spacing w:val="-4"/>
        </w:rPr>
        <w:t>7.4.</w:t>
      </w:r>
      <w:r>
        <w:rPr>
          <w:spacing w:val="-4"/>
        </w:rPr>
        <w:t xml:space="preserve"> </w:t>
      </w:r>
      <w:r>
        <w:rPr/>
        <w:t>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Стороны Контракта. Уведомления считаются направленными надлежащим образом, если переданы по электронной почте info.hms@meteorf.ru (Субсублицензиат), __________________ (Сублицензиат) или доставлены курьером, отправлены почтой по адресам Сторон, указанным в Контракте, с получением под расписку Сторонами или их представителями.</w:t>
      </w:r>
    </w:p>
    <w:p>
      <w:pPr>
        <w:pStyle w:val="Style28"/>
        <w:ind w:firstLine="709" w:left="0" w:right="0"/>
        <w:jc w:val="both"/>
        <w:rPr>
          <w:bCs/>
        </w:rPr>
      </w:pPr>
      <w:r>
        <w:rPr>
          <w:bCs/>
        </w:rPr>
        <w:t>Стороны обязаны в трехдневный срок извещать друг друга обо всех изменениях в почтовых реквизитах. Действия, совершенные по почтовым адресам, указанным в настоящем Контракте, до поступления уведомлений об их изменении, засчитываются в надлежащее исполнение обязательств.</w:t>
      </w:r>
    </w:p>
    <w:p>
      <w:pPr>
        <w:pStyle w:val="Style28"/>
        <w:ind w:firstLine="708" w:left="0" w:right="0"/>
        <w:jc w:val="both"/>
        <w:rPr/>
      </w:pPr>
      <w:r>
        <w:rPr>
          <w:b/>
          <w:bCs/>
        </w:rPr>
        <w:t>7.5.</w:t>
      </w:r>
      <w:r>
        <w:rPr>
          <w:bCs/>
        </w:rPr>
        <w:t xml:space="preserve"> </w:t>
      </w:r>
      <w:r>
        <w:rPr/>
        <w:t>Сообщения по Контракту влекут гражданско-правовые последствия для Стороны, которой они направлены (далее - Адресат), с момента доставки данных сообщений Адресату. Такие последствия возникают и в том случае, когда сообщение не было вручено Адресату по зависящим от него обстоятельствам.</w:t>
      </w:r>
    </w:p>
    <w:p>
      <w:pPr>
        <w:pStyle w:val="Style28"/>
        <w:ind w:hanging="0" w:left="0" w:right="0"/>
        <w:jc w:val="both"/>
        <w:rPr/>
      </w:pPr>
      <w:r>
        <w:rPr/>
        <w:t>Сообщения считаются доставленными, если они:</w:t>
      </w:r>
    </w:p>
    <w:p>
      <w:pPr>
        <w:pStyle w:val="Style28"/>
        <w:ind w:hanging="0" w:left="0" w:right="0"/>
        <w:jc w:val="both"/>
        <w:rPr/>
      </w:pPr>
      <w:r>
        <w:rPr/>
        <w:t>- поступили Адресату, но по обстоятельствам, зависящим от него, не были вручены или Адресат не ознакомился с ними;</w:t>
      </w:r>
    </w:p>
    <w:p>
      <w:pPr>
        <w:pStyle w:val="Style28"/>
        <w:ind w:hanging="0" w:left="0" w:right="0"/>
        <w:jc w:val="both"/>
        <w:rPr/>
      </w:pPr>
      <w:r>
        <w:rPr/>
        <w:t>- доставлены по адресу, указанному в Контракте или названному самим Адресатом, даже если он не находится по такому адресу.</w:t>
      </w:r>
    </w:p>
    <w:p>
      <w:pPr>
        <w:pStyle w:val="Standard"/>
        <w:ind w:firstLine="708" w:right="0"/>
        <w:jc w:val="both"/>
        <w:rPr/>
      </w:pPr>
      <w:r>
        <w:rPr>
          <w:b/>
        </w:rPr>
        <w:t>7.6.</w:t>
      </w:r>
      <w:r>
        <w:rPr/>
        <w:t xml:space="preserve"> Стороны Контракта договорились, что вся корреспонденция, относящаяся к исполнению Контракта, оформляется в соответствии с требованиями, установленными действующими государственными стандартами при их наличии.</w:t>
      </w:r>
    </w:p>
    <w:p>
      <w:pPr>
        <w:pStyle w:val="Standard"/>
        <w:ind w:firstLine="708" w:right="0"/>
        <w:jc w:val="both"/>
        <w:rPr/>
      </w:pPr>
      <w:r>
        <w:rPr>
          <w:b/>
        </w:rPr>
        <w:t>7.7.</w:t>
      </w:r>
      <w:r>
        <w:rPr/>
        <w:t> Во всем ином, не урегулированном в настоящем Контракте, Стороны будут руководствоваться нормами законодательства Российской Федерации.</w:t>
      </w:r>
    </w:p>
    <w:p>
      <w:pPr>
        <w:pStyle w:val="ConsPlusNormal1"/>
        <w:ind w:firstLine="708" w:right="0"/>
        <w:jc w:val="both"/>
        <w:rPr/>
      </w:pPr>
      <w:r>
        <w:rPr>
          <w:rFonts w:cs="Times New Roman" w:ascii="Times New Roman" w:hAnsi="Times New Roman"/>
          <w:b/>
          <w:sz w:val="24"/>
          <w:szCs w:val="24"/>
        </w:rPr>
        <w:t>7.8.</w:t>
      </w:r>
      <w:r>
        <w:rPr>
          <w:rFonts w:cs="Times New Roman" w:ascii="Times New Roman" w:hAnsi="Times New Roman"/>
          <w:sz w:val="24"/>
          <w:szCs w:val="24"/>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ind w:firstLine="708" w:right="0"/>
        <w:jc w:val="both"/>
        <w:rPr/>
      </w:pPr>
      <w:r>
        <w:rPr>
          <w:rFonts w:cs="Times New Roman" w:ascii="Times New Roman" w:hAnsi="Times New Roman"/>
          <w:b/>
          <w:sz w:val="24"/>
          <w:szCs w:val="24"/>
        </w:rPr>
        <w:t>7.9.</w:t>
      </w:r>
      <w:r>
        <w:rPr>
          <w:rFonts w:cs="Times New Roman" w:ascii="Times New Roman" w:hAnsi="Times New Roman"/>
          <w:sz w:val="24"/>
          <w:szCs w:val="24"/>
        </w:rPr>
        <w:t xml:space="preserve"> Изменение условий Контракта при его исполнении не допускается, за исключением случаев, предусмотренных </w:t>
      </w:r>
      <w:hyperlink r:id="rId3">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pPr>
        <w:pStyle w:val="BodyText"/>
        <w:spacing w:before="0" w:after="0"/>
        <w:ind w:firstLine="708" w:right="0"/>
        <w:rPr/>
      </w:pPr>
      <w:r>
        <w:rPr>
          <w:b/>
          <w:sz w:val="24"/>
          <w:szCs w:val="24"/>
        </w:rPr>
        <w:t>7.10.</w:t>
      </w:r>
      <w:r>
        <w:rPr>
          <w:sz w:val="24"/>
          <w:szCs w:val="24"/>
        </w:rPr>
        <w:t xml:space="preserve"> Настоящий Контракт может быть расторгнут по соглашению сторон или по решению суда в случае одностороннего отказа стороны Контракта от исполнения Контракта в соответствии с законодательством РФ.</w:t>
      </w:r>
    </w:p>
    <w:p>
      <w:pPr>
        <w:pStyle w:val="ConsPlusNormal1"/>
        <w:ind w:firstLine="708" w:right="0"/>
        <w:jc w:val="both"/>
        <w:rPr/>
      </w:pPr>
      <w:r>
        <w:rPr>
          <w:rFonts w:cs="Times New Roman" w:ascii="Times New Roman" w:hAnsi="Times New Roman"/>
          <w:b/>
          <w:sz w:val="24"/>
          <w:szCs w:val="24"/>
        </w:rPr>
        <w:t>7.11.</w:t>
      </w:r>
      <w:r>
        <w:rPr>
          <w:rFonts w:cs="Times New Roman" w:ascii="Times New Roman" w:hAnsi="Times New Roman"/>
          <w:sz w:val="24"/>
          <w:szCs w:val="24"/>
        </w:rPr>
        <w:t xml:space="preserve"> Контракт составлен в двух экземплярах, идентичных по содержанию и имеющих одинаковую юридическую силу, один из которых передан Сублицензиату, второй - находится у Субсублицензиата.</w:t>
      </w:r>
    </w:p>
    <w:p>
      <w:pPr>
        <w:pStyle w:val="BodyText"/>
        <w:spacing w:before="0" w:after="0"/>
        <w:ind w:firstLine="851" w:right="0"/>
        <w:rPr/>
      </w:pPr>
      <w:r>
        <w:rPr>
          <w:b/>
          <w:bCs/>
          <w:sz w:val="24"/>
          <w:szCs w:val="24"/>
        </w:rPr>
        <w:t>7.12.</w:t>
      </w:r>
      <w:r>
        <w:rPr>
          <w:sz w:val="24"/>
          <w:szCs w:val="24"/>
        </w:rPr>
        <w:t xml:space="preserve"> Приложения к настоящему Контракту, являющиеся его неотъемлемой частью:</w:t>
      </w:r>
    </w:p>
    <w:p>
      <w:pPr>
        <w:pStyle w:val="Heading2"/>
        <w:keepNext w:val="false"/>
        <w:widowControl/>
        <w:numPr>
          <w:ilvl w:val="0"/>
          <w:numId w:val="5"/>
        </w:numPr>
        <w:tabs>
          <w:tab w:val="clear" w:pos="708"/>
          <w:tab w:val="left" w:pos="900" w:leader="none"/>
        </w:tabs>
        <w:ind w:firstLine="851" w:left="0" w:right="0"/>
        <w:rPr>
          <w:b w:val="false"/>
          <w:color w:val="000000"/>
          <w:sz w:val="24"/>
          <w:szCs w:val="24"/>
        </w:rPr>
      </w:pPr>
      <w:r>
        <w:rPr>
          <w:b w:val="false"/>
          <w:color w:val="000000"/>
          <w:sz w:val="24"/>
          <w:szCs w:val="24"/>
        </w:rPr>
        <w:t>Приложение № 1 – «Спецификация»</w:t>
      </w:r>
    </w:p>
    <w:p>
      <w:pPr>
        <w:pStyle w:val="Heading2"/>
        <w:keepNext w:val="false"/>
        <w:widowControl/>
        <w:numPr>
          <w:ilvl w:val="0"/>
          <w:numId w:val="5"/>
        </w:numPr>
        <w:tabs>
          <w:tab w:val="clear" w:pos="708"/>
          <w:tab w:val="left" w:pos="900" w:leader="none"/>
        </w:tabs>
        <w:ind w:firstLine="851" w:left="0" w:right="0"/>
        <w:rPr>
          <w:b w:val="false"/>
          <w:color w:val="000000"/>
          <w:sz w:val="24"/>
          <w:szCs w:val="24"/>
        </w:rPr>
      </w:pPr>
      <w:r>
        <w:rPr>
          <w:b w:val="false"/>
          <w:color w:val="000000"/>
          <w:sz w:val="24"/>
          <w:szCs w:val="24"/>
        </w:rPr>
        <w:t>Приложение № 2 – «Техническое задание»</w:t>
      </w:r>
    </w:p>
    <w:p>
      <w:pPr>
        <w:pStyle w:val="Normal"/>
        <w:jc w:val="center"/>
        <w:rPr>
          <w:b/>
          <w:color w:val="000000"/>
          <w:sz w:val="24"/>
          <w:szCs w:val="24"/>
        </w:rPr>
      </w:pPr>
      <w:r>
        <w:rPr>
          <w:b/>
          <w:color w:val="000000"/>
          <w:sz w:val="24"/>
          <w:szCs w:val="24"/>
        </w:rPr>
      </w:r>
    </w:p>
    <w:p>
      <w:pPr>
        <w:pStyle w:val="Normal"/>
        <w:jc w:val="center"/>
        <w:rPr/>
      </w:pPr>
      <w:r>
        <w:rPr/>
      </w:r>
    </w:p>
    <w:p>
      <w:pPr>
        <w:pStyle w:val="Heading2"/>
        <w:keepNext w:val="false"/>
        <w:widowControl/>
        <w:numPr>
          <w:ilvl w:val="0"/>
          <w:numId w:val="12"/>
        </w:numPr>
        <w:tabs>
          <w:tab w:val="clear" w:pos="708"/>
          <w:tab w:val="left" w:pos="567" w:leader="none"/>
        </w:tabs>
        <w:ind w:hanging="0" w:left="0"/>
        <w:jc w:val="center"/>
        <w:rPr>
          <w:sz w:val="24"/>
          <w:szCs w:val="24"/>
        </w:rPr>
      </w:pPr>
      <w:r>
        <w:rPr>
          <w:sz w:val="24"/>
          <w:szCs w:val="24"/>
        </w:rPr>
        <w:t>АДРЕСА И РЕКВИЗИТЫ СТОРОН</w:t>
      </w:r>
    </w:p>
    <w:p>
      <w:pPr>
        <w:pStyle w:val="Normal"/>
        <w:rPr>
          <w:sz w:val="24"/>
          <w:szCs w:val="24"/>
        </w:rPr>
      </w:pPr>
      <w:r>
        <w:rPr>
          <w:sz w:val="24"/>
          <w:szCs w:val="24"/>
        </w:rPr>
      </w:r>
    </w:p>
    <w:tbl>
      <w:tblPr>
        <w:tblW w:w="9865" w:type="dxa"/>
        <w:jc w:val="left"/>
        <w:tblInd w:w="0" w:type="dxa"/>
        <w:tblLayout w:type="fixed"/>
        <w:tblCellMar>
          <w:top w:w="0" w:type="dxa"/>
          <w:left w:w="0" w:type="dxa"/>
          <w:bottom w:w="0" w:type="dxa"/>
          <w:right w:w="0" w:type="dxa"/>
        </w:tblCellMar>
      </w:tblPr>
      <w:tblGrid>
        <w:gridCol w:w="4988"/>
        <w:gridCol w:w="4876"/>
      </w:tblGrid>
      <w:tr>
        <w:trPr/>
        <w:tc>
          <w:tcPr>
            <w:tcW w:w="4988" w:type="dxa"/>
            <w:tcBorders/>
          </w:tcPr>
          <w:p>
            <w:pPr>
              <w:pStyle w:val="Normal"/>
              <w:rPr/>
            </w:pPr>
            <w:r>
              <w:rPr/>
              <w:t>ГОСУДАРСТВЕННЫЙ ЗАКАЗЧИК:</w:t>
            </w:r>
          </w:p>
        </w:tc>
        <w:tc>
          <w:tcPr>
            <w:tcW w:w="4876" w:type="dxa"/>
            <w:tcBorders/>
          </w:tcPr>
          <w:p>
            <w:pPr>
              <w:pStyle w:val="Normal"/>
              <w:rPr/>
            </w:pPr>
            <w:r>
              <w:rPr/>
              <w:t>СУБЛИЦЕНЗИАТ:</w:t>
            </w:r>
          </w:p>
        </w:tc>
      </w:tr>
      <w:tr>
        <w:trPr/>
        <w:tc>
          <w:tcPr>
            <w:tcW w:w="4988" w:type="dxa"/>
            <w:tcBorders/>
          </w:tcPr>
          <w:p>
            <w:pPr>
              <w:pStyle w:val="Normal"/>
              <w:rPr/>
            </w:pPr>
            <w:r>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tc>
        <w:tc>
          <w:tcPr>
            <w:tcW w:w="4876" w:type="dxa"/>
            <w:tcBorders/>
          </w:tcPr>
          <w:p>
            <w:pPr>
              <w:pStyle w:val="Normal"/>
              <w:snapToGrid w:val="false"/>
              <w:rPr/>
            </w:pPr>
            <w:r>
              <w:rPr/>
            </w:r>
          </w:p>
          <w:p>
            <w:pPr>
              <w:pStyle w:val="Normal"/>
              <w:rPr/>
            </w:pPr>
            <w:r>
              <w:rPr/>
            </w:r>
          </w:p>
        </w:tc>
      </w:tr>
      <w:tr>
        <w:trPr/>
        <w:tc>
          <w:tcPr>
            <w:tcW w:w="4988" w:type="dxa"/>
            <w:tcBorders/>
          </w:tcPr>
          <w:p>
            <w:pPr>
              <w:pStyle w:val="Normal"/>
              <w:rPr/>
            </w:pPr>
            <w:r>
              <w:rPr/>
              <w:t>Адрес:</w:t>
            </w:r>
          </w:p>
          <w:p>
            <w:pPr>
              <w:pStyle w:val="Normal"/>
              <w:rPr/>
            </w:pPr>
            <w:r>
              <w:rPr/>
              <w:t>123242, г. Москва, Нововаганьковский пер. д. 8</w:t>
            </w:r>
          </w:p>
        </w:tc>
        <w:tc>
          <w:tcPr>
            <w:tcW w:w="4876" w:type="dxa"/>
            <w:tcBorders/>
          </w:tcPr>
          <w:p>
            <w:pPr>
              <w:pStyle w:val="Normal"/>
              <w:rPr/>
            </w:pPr>
            <w:r>
              <w:rPr/>
              <w:t>Адрес:</w:t>
            </w:r>
          </w:p>
        </w:tc>
      </w:tr>
      <w:tr>
        <w:trPr/>
        <w:tc>
          <w:tcPr>
            <w:tcW w:w="4988" w:type="dxa"/>
            <w:tcBorders/>
          </w:tcPr>
          <w:p>
            <w:pPr>
              <w:pStyle w:val="Normal"/>
              <w:rPr/>
            </w:pPr>
            <w:r>
              <w:rPr/>
              <w:t>ИНН 7703172888</w:t>
            </w:r>
          </w:p>
        </w:tc>
        <w:tc>
          <w:tcPr>
            <w:tcW w:w="4876" w:type="dxa"/>
            <w:tcBorders/>
          </w:tcPr>
          <w:p>
            <w:pPr>
              <w:pStyle w:val="Normal"/>
              <w:rPr/>
            </w:pPr>
            <w:r>
              <w:rPr/>
              <w:t>ИНН</w:t>
            </w:r>
          </w:p>
        </w:tc>
      </w:tr>
      <w:tr>
        <w:trPr/>
        <w:tc>
          <w:tcPr>
            <w:tcW w:w="4988" w:type="dxa"/>
            <w:tcBorders/>
          </w:tcPr>
          <w:p>
            <w:pPr>
              <w:pStyle w:val="Normal"/>
              <w:rPr/>
            </w:pPr>
            <w:r>
              <w:rPr/>
              <w:t>КПП 770301001</w:t>
            </w:r>
          </w:p>
        </w:tc>
        <w:tc>
          <w:tcPr>
            <w:tcW w:w="4876" w:type="dxa"/>
            <w:tcBorders/>
          </w:tcPr>
          <w:p>
            <w:pPr>
              <w:pStyle w:val="Normal"/>
              <w:rPr/>
            </w:pPr>
            <w:r>
              <w:rPr/>
              <w:t>КПП</w:t>
            </w:r>
          </w:p>
        </w:tc>
      </w:tr>
      <w:tr>
        <w:trPr/>
        <w:tc>
          <w:tcPr>
            <w:tcW w:w="4988" w:type="dxa"/>
            <w:tcBorders/>
          </w:tcPr>
          <w:p>
            <w:pPr>
              <w:pStyle w:val="Normal"/>
              <w:rPr/>
            </w:pPr>
            <w:r>
              <w:rPr>
                <w:color w:val="000000"/>
              </w:rPr>
              <w:t>Банк: ОКЦ № 1 ГУ Банка России по ЦФО</w:t>
            </w:r>
            <w:r>
              <w:rPr/>
              <w:t xml:space="preserve">//УФК ПО Г. МОСКВЕ </w:t>
            </w:r>
            <w:r>
              <w:rPr>
                <w:color w:val="000000"/>
              </w:rPr>
              <w:t>г. Москва</w:t>
            </w:r>
          </w:p>
          <w:p>
            <w:pPr>
              <w:pStyle w:val="Normal"/>
              <w:rPr>
                <w:color w:val="000000"/>
              </w:rPr>
            </w:pPr>
            <w:r>
              <w:rPr>
                <w:color w:val="000000"/>
              </w:rPr>
              <w:t xml:space="preserve">Единый казначейский счет: </w:t>
            </w:r>
            <w:r>
              <w:rPr/>
              <w:t>40102810545370000003</w:t>
            </w:r>
          </w:p>
          <w:p>
            <w:pPr>
              <w:pStyle w:val="Normal"/>
              <w:rPr>
                <w:color w:val="000000"/>
                <w:highlight w:val="yellow"/>
              </w:rPr>
            </w:pPr>
            <w:r>
              <w:rPr>
                <w:color w:val="000000"/>
              </w:rPr>
              <w:t xml:space="preserve">Казначейский счет: </w:t>
            </w:r>
            <w:r>
              <w:rPr/>
              <w:t>03211643000000017300</w:t>
            </w:r>
          </w:p>
        </w:tc>
        <w:tc>
          <w:tcPr>
            <w:tcW w:w="4876" w:type="dxa"/>
            <w:vMerge w:val="restart"/>
            <w:tcBorders/>
          </w:tcPr>
          <w:p>
            <w:pPr>
              <w:pStyle w:val="Normal"/>
              <w:rPr/>
            </w:pPr>
            <w:r>
              <w:rPr/>
              <w:t>Банковские реквизиты:</w:t>
            </w:r>
          </w:p>
          <w:p>
            <w:pPr>
              <w:pStyle w:val="Normal"/>
              <w:rPr/>
            </w:pPr>
            <w:r>
              <w:rPr/>
            </w:r>
          </w:p>
        </w:tc>
      </w:tr>
      <w:tr>
        <w:trPr/>
        <w:tc>
          <w:tcPr>
            <w:tcW w:w="4988" w:type="dxa"/>
            <w:tcBorders/>
          </w:tcPr>
          <w:p>
            <w:pPr>
              <w:pStyle w:val="Normal"/>
              <w:rPr>
                <w:lang w:eastAsia="en-US"/>
              </w:rPr>
            </w:pPr>
            <w:r>
              <w:rPr/>
              <w:t>УФК по г. Москве (ФКУ «Гидрометсервис»,</w:t>
            </w:r>
          </w:p>
          <w:p>
            <w:pPr>
              <w:pStyle w:val="Normal"/>
              <w:rPr>
                <w:color w:val="000000"/>
                <w:highlight w:val="yellow"/>
                <w:lang w:val="en-US"/>
              </w:rPr>
            </w:pPr>
            <w:r>
              <w:rPr/>
              <w:t xml:space="preserve"> </w:t>
            </w:r>
            <w:r>
              <w:rPr/>
              <w:t>л/с 03731F19030)</w:t>
            </w:r>
          </w:p>
        </w:tc>
        <w:tc>
          <w:tcPr>
            <w:tcW w:w="4876" w:type="dxa"/>
            <w:vMerge w:val="continue"/>
            <w:tcBorders/>
          </w:tcPr>
          <w:p>
            <w:pPr>
              <w:pStyle w:val="Normal"/>
              <w:snapToGrid w:val="false"/>
              <w:rPr>
                <w:color w:val="000000"/>
                <w:highlight w:val="yellow"/>
                <w:lang w:val="en-US"/>
              </w:rPr>
            </w:pPr>
            <w:r>
              <w:rPr>
                <w:color w:val="000000"/>
                <w:highlight w:val="yellow"/>
                <w:lang w:val="en-US"/>
              </w:rPr>
            </w:r>
          </w:p>
        </w:tc>
      </w:tr>
      <w:tr>
        <w:trPr/>
        <w:tc>
          <w:tcPr>
            <w:tcW w:w="4988" w:type="dxa"/>
            <w:tcBorders/>
          </w:tcPr>
          <w:p>
            <w:pPr>
              <w:pStyle w:val="Normal"/>
              <w:snapToGrid w:val="false"/>
              <w:rPr>
                <w:rFonts w:ascii="Calibri" w:hAnsi="Calibri" w:eastAsia="Calibri" w:cs="Calibri"/>
                <w:color w:val="000000"/>
                <w:sz w:val="20"/>
                <w:szCs w:val="20"/>
                <w:lang w:val="en-US"/>
              </w:rPr>
            </w:pPr>
            <w:r>
              <w:rPr>
                <w:rFonts w:eastAsia="Calibri" w:cs="Calibri" w:ascii="Calibri" w:hAnsi="Calibri"/>
                <w:color w:val="000000"/>
                <w:sz w:val="20"/>
                <w:szCs w:val="20"/>
                <w:lang w:val="en-US"/>
              </w:rPr>
            </w:r>
          </w:p>
        </w:tc>
        <w:tc>
          <w:tcPr>
            <w:tcW w:w="4876" w:type="dxa"/>
            <w:tcBorders/>
          </w:tcPr>
          <w:p>
            <w:pPr>
              <w:pStyle w:val="Normal"/>
              <w:rPr/>
            </w:pPr>
            <w:r>
              <w:rPr/>
              <w:t>р/с</w:t>
            </w:r>
          </w:p>
        </w:tc>
      </w:tr>
      <w:tr>
        <w:trPr/>
        <w:tc>
          <w:tcPr>
            <w:tcW w:w="4988" w:type="dxa"/>
            <w:tcBorders/>
          </w:tcPr>
          <w:p>
            <w:pPr>
              <w:pStyle w:val="Normal"/>
              <w:rPr>
                <w:color w:val="000000"/>
              </w:rPr>
            </w:pPr>
            <w:r>
              <w:rPr>
                <w:color w:val="000000"/>
              </w:rPr>
            </w:r>
          </w:p>
        </w:tc>
        <w:tc>
          <w:tcPr>
            <w:tcW w:w="4876" w:type="dxa"/>
            <w:tcBorders/>
          </w:tcPr>
          <w:p>
            <w:pPr>
              <w:pStyle w:val="Normal"/>
              <w:rPr/>
            </w:pPr>
            <w:r>
              <w:rPr/>
              <w:t>к/с</w:t>
            </w:r>
          </w:p>
        </w:tc>
      </w:tr>
      <w:tr>
        <w:trPr/>
        <w:tc>
          <w:tcPr>
            <w:tcW w:w="4988" w:type="dxa"/>
            <w:tcBorders/>
          </w:tcPr>
          <w:p>
            <w:pPr>
              <w:pStyle w:val="Normal"/>
              <w:rPr>
                <w:color w:val="000000"/>
              </w:rPr>
            </w:pPr>
            <w:r>
              <w:rPr>
                <w:color w:val="000000"/>
              </w:rPr>
              <w:t>БИК ТОФК 004525988</w:t>
            </w:r>
          </w:p>
        </w:tc>
        <w:tc>
          <w:tcPr>
            <w:tcW w:w="4876" w:type="dxa"/>
            <w:tcBorders/>
          </w:tcPr>
          <w:p>
            <w:pPr>
              <w:pStyle w:val="Normal"/>
              <w:rPr/>
            </w:pPr>
            <w:r>
              <w:rPr/>
              <w:t>БИК</w:t>
            </w:r>
          </w:p>
        </w:tc>
      </w:tr>
      <w:tr>
        <w:trPr/>
        <w:tc>
          <w:tcPr>
            <w:tcW w:w="4988" w:type="dxa"/>
            <w:tcBorders/>
          </w:tcPr>
          <w:p>
            <w:pPr>
              <w:pStyle w:val="Normal"/>
              <w:rPr/>
            </w:pPr>
            <w:hyperlink r:id="rId4">
              <w:r>
                <w:rPr>
                  <w:rStyle w:val="Hyperlink"/>
                  <w:color w:val="000000"/>
                </w:rPr>
                <w:t>ОКОПФ</w:t>
              </w:r>
            </w:hyperlink>
            <w:r>
              <w:rPr>
                <w:color w:val="000000"/>
              </w:rPr>
              <w:t xml:space="preserve"> 81</w:t>
            </w:r>
          </w:p>
        </w:tc>
        <w:tc>
          <w:tcPr>
            <w:tcW w:w="4876" w:type="dxa"/>
            <w:tcBorders/>
          </w:tcPr>
          <w:p>
            <w:pPr>
              <w:pStyle w:val="Normal"/>
              <w:rPr/>
            </w:pPr>
            <w:hyperlink r:id="rId5">
              <w:r>
                <w:rPr>
                  <w:rStyle w:val="Hyperlink"/>
                  <w:color w:val="000000"/>
                </w:rPr>
                <w:t>ОКОПФ</w:t>
              </w:r>
            </w:hyperlink>
          </w:p>
        </w:tc>
      </w:tr>
      <w:tr>
        <w:trPr/>
        <w:tc>
          <w:tcPr>
            <w:tcW w:w="4988" w:type="dxa"/>
            <w:tcBorders/>
          </w:tcPr>
          <w:p>
            <w:pPr>
              <w:pStyle w:val="Normal"/>
              <w:rPr/>
            </w:pPr>
            <w:hyperlink r:id="rId6">
              <w:r>
                <w:rPr>
                  <w:rStyle w:val="Hyperlink"/>
                  <w:color w:val="000000"/>
                </w:rPr>
                <w:t>ОКВЭД</w:t>
              </w:r>
            </w:hyperlink>
            <w:r>
              <w:rPr>
                <w:color w:val="000000"/>
              </w:rPr>
              <w:t>2 71.12.5</w:t>
            </w:r>
          </w:p>
          <w:p>
            <w:pPr>
              <w:pStyle w:val="Normal"/>
              <w:rPr>
                <w:color w:val="000000"/>
              </w:rPr>
            </w:pPr>
            <w:r>
              <w:rPr>
                <w:color w:val="000000"/>
              </w:rPr>
              <w:t>ОКПО 47291772</w:t>
            </w:r>
          </w:p>
          <w:p>
            <w:pPr>
              <w:pStyle w:val="Normal"/>
              <w:rPr>
                <w:color w:val="000000"/>
              </w:rPr>
            </w:pPr>
            <w:r>
              <w:rPr>
                <w:color w:val="000000"/>
              </w:rPr>
              <w:t>ОКТМО 45380000</w:t>
            </w:r>
          </w:p>
          <w:p>
            <w:pPr>
              <w:pStyle w:val="Normal"/>
              <w:rPr>
                <w:color w:val="000000"/>
              </w:rPr>
            </w:pPr>
            <w:r>
              <w:rPr>
                <w:color w:val="000000"/>
              </w:rPr>
              <w:t>ОГРН 1037739512821</w:t>
            </w:r>
          </w:p>
        </w:tc>
        <w:tc>
          <w:tcPr>
            <w:tcW w:w="4876" w:type="dxa"/>
            <w:tcBorders/>
          </w:tcPr>
          <w:p>
            <w:pPr>
              <w:pStyle w:val="Normal"/>
              <w:rPr/>
            </w:pPr>
            <w:r>
              <w:rPr/>
              <w:t>ОГРН</w:t>
            </w:r>
          </w:p>
          <w:p>
            <w:pPr>
              <w:pStyle w:val="Normal"/>
              <w:rPr/>
            </w:pPr>
            <w:r>
              <w:rPr/>
              <w:t>ОКПО</w:t>
            </w:r>
          </w:p>
          <w:p>
            <w:pPr>
              <w:pStyle w:val="Normal"/>
              <w:rPr/>
            </w:pPr>
            <w:hyperlink r:id="rId7">
              <w:r>
                <w:rPr>
                  <w:rStyle w:val="Hyperlink"/>
                  <w:color w:val="000000"/>
                </w:rPr>
                <w:t>ОКАТО</w:t>
              </w:r>
            </w:hyperlink>
          </w:p>
          <w:p>
            <w:pPr>
              <w:pStyle w:val="Normal"/>
              <w:rPr/>
            </w:pPr>
            <w:hyperlink r:id="rId8">
              <w:r>
                <w:rPr>
                  <w:rStyle w:val="Hyperlink"/>
                  <w:color w:val="000000"/>
                </w:rPr>
                <w:t>ОКТМО</w:t>
              </w:r>
            </w:hyperlink>
          </w:p>
        </w:tc>
      </w:tr>
      <w:tr>
        <w:trPr/>
        <w:tc>
          <w:tcPr>
            <w:tcW w:w="4988" w:type="dxa"/>
            <w:tcBorders/>
          </w:tcPr>
          <w:p>
            <w:pPr>
              <w:pStyle w:val="Normal"/>
              <w:rPr/>
            </w:pPr>
            <w:r>
              <w:rPr/>
              <w:t>Адрес электронной почты:</w:t>
            </w:r>
          </w:p>
        </w:tc>
        <w:tc>
          <w:tcPr>
            <w:tcW w:w="4876" w:type="dxa"/>
            <w:tcBorders/>
          </w:tcPr>
          <w:p>
            <w:pPr>
              <w:pStyle w:val="Normal"/>
              <w:rPr/>
            </w:pPr>
            <w:r>
              <w:rPr/>
              <w:t>Для бюджетных учреждений (дополнительно):</w:t>
            </w:r>
          </w:p>
        </w:tc>
      </w:tr>
      <w:tr>
        <w:trPr/>
        <w:tc>
          <w:tcPr>
            <w:tcW w:w="4988" w:type="dxa"/>
            <w:tcBorders/>
          </w:tcPr>
          <w:p>
            <w:pPr>
              <w:pStyle w:val="Normal"/>
              <w:rPr/>
            </w:pPr>
            <w:hyperlink r:id="rId9">
              <w:r>
                <w:rPr>
                  <w:rStyle w:val="Hyperlink"/>
                </w:rPr>
                <w:t>info.hms@meteorf.ru</w:t>
              </w:r>
            </w:hyperlink>
          </w:p>
        </w:tc>
        <w:tc>
          <w:tcPr>
            <w:tcW w:w="4876" w:type="dxa"/>
            <w:tcBorders/>
          </w:tcPr>
          <w:p>
            <w:pPr>
              <w:pStyle w:val="Normal"/>
              <w:rPr/>
            </w:pPr>
            <w:r>
              <w:rPr/>
              <w:t>Наименование органа Федерального</w:t>
            </w:r>
          </w:p>
        </w:tc>
      </w:tr>
      <w:tr>
        <w:trPr/>
        <w:tc>
          <w:tcPr>
            <w:tcW w:w="4988" w:type="dxa"/>
            <w:tcBorders/>
          </w:tcPr>
          <w:p>
            <w:pPr>
              <w:pStyle w:val="Normal"/>
              <w:rPr/>
            </w:pPr>
            <w:r>
              <w:rPr/>
              <w:t>Телефон: +7 499 795 24 16</w:t>
            </w:r>
          </w:p>
        </w:tc>
        <w:tc>
          <w:tcPr>
            <w:tcW w:w="4876" w:type="dxa"/>
            <w:tcBorders/>
          </w:tcPr>
          <w:p>
            <w:pPr>
              <w:pStyle w:val="Normal"/>
              <w:rPr/>
            </w:pPr>
            <w:r>
              <w:rPr/>
              <w:t>казначейства ____________________</w:t>
            </w:r>
          </w:p>
        </w:tc>
      </w:tr>
      <w:tr>
        <w:trPr/>
        <w:tc>
          <w:tcPr>
            <w:tcW w:w="4988" w:type="dxa"/>
            <w:tcBorders/>
          </w:tcPr>
          <w:p>
            <w:pPr>
              <w:pStyle w:val="Normal"/>
              <w:rPr>
                <w:lang w:val="en-US"/>
              </w:rPr>
            </w:pPr>
            <w:r>
              <w:rPr>
                <w:lang w:val="en-US"/>
              </w:rPr>
            </w:r>
          </w:p>
        </w:tc>
        <w:tc>
          <w:tcPr>
            <w:tcW w:w="4876" w:type="dxa"/>
            <w:tcBorders/>
          </w:tcPr>
          <w:p>
            <w:pPr>
              <w:pStyle w:val="Normal"/>
              <w:snapToGrid w:val="false"/>
              <w:rPr>
                <w:lang w:val="en-US"/>
              </w:rPr>
            </w:pPr>
            <w:r>
              <w:rPr>
                <w:lang w:val="en-US"/>
              </w:rPr>
            </w:r>
          </w:p>
        </w:tc>
      </w:tr>
      <w:tr>
        <w:trPr/>
        <w:tc>
          <w:tcPr>
            <w:tcW w:w="4988" w:type="dxa"/>
            <w:tcBorders/>
          </w:tcPr>
          <w:p>
            <w:pPr>
              <w:pStyle w:val="Normal"/>
              <w:rPr>
                <w:lang w:val="en-US"/>
              </w:rPr>
            </w:pPr>
            <w:r>
              <w:rPr>
                <w:lang w:val="en-US"/>
              </w:rPr>
            </w:r>
          </w:p>
        </w:tc>
        <w:tc>
          <w:tcPr>
            <w:tcW w:w="4876" w:type="dxa"/>
            <w:tcBorders/>
          </w:tcPr>
          <w:p>
            <w:pPr>
              <w:pStyle w:val="Normal"/>
              <w:rPr/>
            </w:pPr>
            <w:r>
              <w:rPr/>
              <w:t>Лицевой счет ___________________</w:t>
            </w:r>
          </w:p>
        </w:tc>
      </w:tr>
      <w:tr>
        <w:trPr/>
        <w:tc>
          <w:tcPr>
            <w:tcW w:w="4988" w:type="dxa"/>
            <w:tcBorders/>
          </w:tcPr>
          <w:p>
            <w:pPr>
              <w:pStyle w:val="Normal"/>
              <w:rPr/>
            </w:pPr>
            <w:r>
              <w:rPr/>
            </w:r>
          </w:p>
        </w:tc>
        <w:tc>
          <w:tcPr>
            <w:tcW w:w="4876" w:type="dxa"/>
            <w:tcBorders/>
          </w:tcPr>
          <w:p>
            <w:pPr>
              <w:pStyle w:val="Normal"/>
              <w:rPr/>
            </w:pPr>
            <w:r>
              <w:rPr/>
              <w:t>КБК _____________________</w:t>
            </w:r>
          </w:p>
          <w:p>
            <w:pPr>
              <w:pStyle w:val="Normal"/>
              <w:rPr/>
            </w:pPr>
            <w:r>
              <w:rPr/>
              <w:t>Адрес электронной почты:</w:t>
            </w:r>
          </w:p>
          <w:p>
            <w:pPr>
              <w:pStyle w:val="Normal"/>
              <w:rPr/>
            </w:pPr>
            <w:r>
              <w:rPr/>
              <w:t>Телефон: +7(      )</w:t>
            </w:r>
          </w:p>
        </w:tc>
      </w:tr>
      <w:tr>
        <w:trPr/>
        <w:tc>
          <w:tcPr>
            <w:tcW w:w="4988" w:type="dxa"/>
            <w:tcBorders/>
            <w:vAlign w:val="center"/>
          </w:tcPr>
          <w:p>
            <w:pPr>
              <w:pStyle w:val="Normal"/>
              <w:snapToGrid w:val="false"/>
              <w:rPr>
                <w:rFonts w:ascii="Calibri" w:hAnsi="Calibri" w:eastAsia="Calibri" w:cs="Calibri"/>
                <w:sz w:val="20"/>
                <w:szCs w:val="20"/>
              </w:rPr>
            </w:pPr>
            <w:r>
              <w:rPr>
                <w:rFonts w:eastAsia="Calibri" w:cs="Calibri" w:ascii="Calibri" w:hAnsi="Calibri"/>
                <w:sz w:val="20"/>
                <w:szCs w:val="20"/>
              </w:rPr>
            </w:r>
          </w:p>
          <w:p>
            <w:pPr>
              <w:pStyle w:val="Normal"/>
              <w:rPr>
                <w:lang w:val="en-US"/>
              </w:rPr>
            </w:pPr>
            <w:r>
              <w:rPr/>
              <w:t>ГОСУДАРСТВЕННЫЙ ЗАКАЗЧИК:</w:t>
            </w:r>
          </w:p>
        </w:tc>
        <w:tc>
          <w:tcPr>
            <w:tcW w:w="4876" w:type="dxa"/>
            <w:tcBorders/>
            <w:vAlign w:val="center"/>
          </w:tcPr>
          <w:p>
            <w:pPr>
              <w:pStyle w:val="Normal"/>
              <w:rPr/>
            </w:pPr>
            <w:r>
              <w:rPr/>
              <w:t>СУБЛИЦЕНЗИАТ:</w:t>
            </w:r>
          </w:p>
        </w:tc>
      </w:tr>
      <w:tr>
        <w:trPr/>
        <w:tc>
          <w:tcPr>
            <w:tcW w:w="4988" w:type="dxa"/>
            <w:tcBorders/>
            <w:vAlign w:val="center"/>
          </w:tcPr>
          <w:p>
            <w:pPr>
              <w:pStyle w:val="Normal"/>
              <w:rPr>
                <w:lang w:val="en-US"/>
              </w:rPr>
            </w:pPr>
            <w:r>
              <w:rPr>
                <w:lang w:val="en-US"/>
              </w:rPr>
            </w:r>
          </w:p>
          <w:p>
            <w:pPr>
              <w:pStyle w:val="Normal"/>
              <w:rPr/>
            </w:pPr>
            <w:r>
              <w:rPr/>
              <w:t>(должность)</w:t>
            </w:r>
          </w:p>
        </w:tc>
        <w:tc>
          <w:tcPr>
            <w:tcW w:w="4876" w:type="dxa"/>
            <w:tcBorders/>
            <w:vAlign w:val="center"/>
          </w:tcPr>
          <w:p>
            <w:pPr>
              <w:pStyle w:val="Normal"/>
              <w:rPr/>
            </w:pPr>
            <w:r>
              <w:rPr/>
              <w:t>(должность)</w:t>
            </w:r>
          </w:p>
        </w:tc>
      </w:tr>
      <w:tr>
        <w:trPr/>
        <w:tc>
          <w:tcPr>
            <w:tcW w:w="4988" w:type="dxa"/>
            <w:tcBorders/>
            <w:vAlign w:val="center"/>
          </w:tcPr>
          <w:p>
            <w:pPr>
              <w:pStyle w:val="Normal"/>
              <w:rPr/>
            </w:pPr>
            <w:r>
              <w:rPr/>
              <w:t>__________________</w:t>
            </w:r>
          </w:p>
          <w:p>
            <w:pPr>
              <w:pStyle w:val="Normal"/>
              <w:rPr/>
            </w:pPr>
            <w:r>
              <w:rPr/>
              <w:t>(подпись, фамилия и инициалы)</w:t>
            </w:r>
          </w:p>
        </w:tc>
        <w:tc>
          <w:tcPr>
            <w:tcW w:w="4876" w:type="dxa"/>
            <w:tcBorders/>
            <w:vAlign w:val="center"/>
          </w:tcPr>
          <w:p>
            <w:pPr>
              <w:pStyle w:val="Normal"/>
              <w:rPr/>
            </w:pPr>
            <w:r>
              <w:rPr/>
              <w:t>_____________________</w:t>
            </w:r>
          </w:p>
          <w:p>
            <w:pPr>
              <w:pStyle w:val="Normal"/>
              <w:rPr/>
            </w:pPr>
            <w:r>
              <w:rPr/>
              <w:t>(подпись, фамилия и инициалы)</w:t>
            </w:r>
          </w:p>
        </w:tc>
      </w:tr>
      <w:tr>
        <w:trPr/>
        <w:tc>
          <w:tcPr>
            <w:tcW w:w="4988" w:type="dxa"/>
            <w:tcBorders/>
          </w:tcPr>
          <w:p>
            <w:pPr>
              <w:pStyle w:val="Normal"/>
              <w:rPr/>
            </w:pPr>
            <w:r>
              <w:rPr/>
              <w:t>__ _____________ 20__ г.</w:t>
            </w:r>
          </w:p>
        </w:tc>
        <w:tc>
          <w:tcPr>
            <w:tcW w:w="4876" w:type="dxa"/>
            <w:tcBorders/>
          </w:tcPr>
          <w:p>
            <w:pPr>
              <w:pStyle w:val="Normal"/>
              <w:rPr/>
            </w:pPr>
            <w:r>
              <w:rPr/>
              <w:t>__ _____________ 20__ г.</w:t>
            </w:r>
          </w:p>
        </w:tc>
      </w:tr>
      <w:tr>
        <w:trPr/>
        <w:tc>
          <w:tcPr>
            <w:tcW w:w="4988" w:type="dxa"/>
            <w:tcBorders/>
            <w:vAlign w:val="center"/>
          </w:tcPr>
          <w:p>
            <w:pPr>
              <w:pStyle w:val="Normal"/>
              <w:snapToGrid w:val="false"/>
              <w:rPr>
                <w:rFonts w:ascii="Calibri" w:hAnsi="Calibri" w:eastAsia="Calibri" w:cs="Calibri"/>
                <w:sz w:val="20"/>
                <w:szCs w:val="20"/>
              </w:rPr>
            </w:pPr>
            <w:r>
              <w:rPr>
                <w:rFonts w:eastAsia="Calibri" w:cs="Calibri" w:ascii="Calibri" w:hAnsi="Calibri"/>
                <w:sz w:val="20"/>
                <w:szCs w:val="20"/>
              </w:rPr>
            </w:r>
          </w:p>
        </w:tc>
        <w:tc>
          <w:tcPr>
            <w:tcW w:w="4876" w:type="dxa"/>
            <w:tcBorders/>
            <w:vAlign w:val="center"/>
          </w:tcPr>
          <w:p>
            <w:pPr>
              <w:pStyle w:val="Normal"/>
              <w:snapToGrid w:val="false"/>
              <w:rPr>
                <w:rFonts w:ascii="Calibri" w:hAnsi="Calibri" w:eastAsia="Calibri" w:cs="Calibri"/>
                <w:sz w:val="20"/>
                <w:szCs w:val="20"/>
              </w:rPr>
            </w:pPr>
            <w:r>
              <w:rPr>
                <w:rFonts w:eastAsia="Calibri" w:cs="Calibri" w:ascii="Calibri" w:hAnsi="Calibri"/>
                <w:sz w:val="20"/>
                <w:szCs w:val="20"/>
              </w:rPr>
            </w:r>
          </w:p>
        </w:tc>
      </w:tr>
    </w:tbl>
    <w:p>
      <w:pPr>
        <w:sectPr>
          <w:footerReference w:type="even" r:id="rId10"/>
          <w:footerReference w:type="default" r:id="rId11"/>
          <w:footerReference w:type="first" r:id="rId12"/>
          <w:type w:val="nextPage"/>
          <w:pgSz w:w="11906" w:h="16838"/>
          <w:pgMar w:left="1304" w:right="737" w:gutter="0" w:header="0" w:top="624" w:footer="709" w:bottom="766"/>
          <w:pgNumType w:fmt="decimal"/>
          <w:formProt w:val="false"/>
          <w:textDirection w:val="lrTb"/>
          <w:docGrid w:type="default" w:linePitch="360" w:charSpace="0"/>
        </w:sectPr>
      </w:pPr>
    </w:p>
    <w:tbl>
      <w:tblPr>
        <w:tblW w:w="9865" w:type="dxa"/>
        <w:jc w:val="left"/>
        <w:tblInd w:w="108" w:type="dxa"/>
        <w:tblLayout w:type="fixed"/>
        <w:tblCellMar>
          <w:top w:w="0" w:type="dxa"/>
          <w:left w:w="108" w:type="dxa"/>
          <w:bottom w:w="0" w:type="dxa"/>
          <w:right w:w="108" w:type="dxa"/>
        </w:tblCellMar>
      </w:tblPr>
      <w:tblGrid>
        <w:gridCol w:w="89"/>
        <w:gridCol w:w="4636"/>
        <w:gridCol w:w="237"/>
        <w:gridCol w:w="4902"/>
      </w:tblGrid>
      <w:tr>
        <w:trPr>
          <w:trHeight w:val="1553" w:hRule="atLeast"/>
        </w:trPr>
        <w:tc>
          <w:tcPr>
            <w:tcW w:w="9864" w:type="dxa"/>
            <w:gridSpan w:val="4"/>
            <w:tcBorders/>
          </w:tcPr>
          <w:p>
            <w:pPr>
              <w:pStyle w:val="Normal"/>
              <w:widowControl w:val="false"/>
              <w:jc w:val="right"/>
              <w:rPr/>
            </w:pPr>
            <w:r>
              <w:rPr>
                <w:rStyle w:val="Heading"/>
                <w:bCs/>
                <w:sz w:val="24"/>
              </w:rPr>
              <w:t>ПРИЛОЖЕНИЕ</w:t>
            </w:r>
            <w:r>
              <w:rPr>
                <w:rStyle w:val="Heading"/>
                <w:b/>
                <w:bCs/>
                <w:sz w:val="24"/>
              </w:rPr>
              <w:t xml:space="preserve"> № 1</w:t>
            </w:r>
          </w:p>
          <w:p>
            <w:pPr>
              <w:pStyle w:val="ParagraphStyle"/>
              <w:numPr>
                <w:ilvl w:val="0"/>
                <w:numId w:val="0"/>
              </w:numPr>
              <w:tabs>
                <w:tab w:val="clear" w:pos="708"/>
                <w:tab w:val="left" w:pos="990" w:leader="none"/>
              </w:tabs>
              <w:ind w:hanging="0" w:left="0"/>
              <w:jc w:val="right"/>
              <w:outlineLvl w:val="0"/>
              <w:rPr/>
            </w:pPr>
            <w:r>
              <w:rPr>
                <w:rStyle w:val="Normaltext"/>
                <w:sz w:val="24"/>
              </w:rPr>
              <w:t>к Государственному контракту № _________ от «___» _____ 2026 г.</w:t>
            </w:r>
          </w:p>
          <w:p>
            <w:pPr>
              <w:pStyle w:val="ParagraphStyle"/>
              <w:numPr>
                <w:ilvl w:val="0"/>
                <w:numId w:val="0"/>
              </w:numPr>
              <w:tabs>
                <w:tab w:val="clear" w:pos="708"/>
                <w:tab w:val="left" w:pos="990" w:leader="none"/>
              </w:tabs>
              <w:ind w:hanging="0" w:left="0"/>
              <w:jc w:val="right"/>
              <w:outlineLvl w:val="0"/>
              <w:rPr>
                <w:rStyle w:val="Heading"/>
                <w:bCs/>
                <w:sz w:val="24"/>
              </w:rPr>
            </w:pPr>
            <w:r>
              <w:rPr>
                <w:bCs/>
                <w:sz w:val="24"/>
              </w:rPr>
            </w:r>
          </w:p>
          <w:p>
            <w:pPr>
              <w:pStyle w:val="ParagraphStyle"/>
              <w:numPr>
                <w:ilvl w:val="0"/>
                <w:numId w:val="0"/>
              </w:numPr>
              <w:tabs>
                <w:tab w:val="clear" w:pos="708"/>
                <w:tab w:val="left" w:pos="990" w:leader="none"/>
              </w:tabs>
              <w:ind w:hanging="0" w:left="0"/>
              <w:jc w:val="right"/>
              <w:outlineLvl w:val="0"/>
              <w:rPr>
                <w:rStyle w:val="Heading"/>
                <w:bCs/>
                <w:sz w:val="24"/>
              </w:rPr>
            </w:pPr>
            <w:r>
              <w:rPr>
                <w:bCs/>
                <w:sz w:val="24"/>
              </w:rPr>
            </w:r>
          </w:p>
          <w:p>
            <w:pPr>
              <w:pStyle w:val="Normal"/>
              <w:widowControl w:val="false"/>
              <w:spacing w:before="0" w:after="60"/>
              <w:jc w:val="center"/>
              <w:rPr>
                <w:rStyle w:val="Heading"/>
                <w:b/>
                <w:bCs/>
                <w:sz w:val="24"/>
              </w:rPr>
            </w:pPr>
            <w:r>
              <w:rPr>
                <w:b/>
                <w:bCs/>
                <w:sz w:val="24"/>
              </w:rPr>
            </w:r>
          </w:p>
          <w:p>
            <w:pPr>
              <w:pStyle w:val="Normal"/>
              <w:widowControl w:val="false"/>
              <w:jc w:val="center"/>
              <w:rPr/>
            </w:pPr>
            <w:r>
              <w:rPr>
                <w:b/>
                <w:bCs/>
                <w:lang w:val="en-US"/>
              </w:rPr>
              <w:t>C</w:t>
            </w:r>
            <w:r>
              <w:rPr>
                <w:b/>
                <w:bCs/>
              </w:rPr>
              <w:t>ПЕЦИФИКАЦИЯ</w:t>
            </w:r>
          </w:p>
          <w:p>
            <w:pPr>
              <w:pStyle w:val="Normal"/>
              <w:widowControl w:val="false"/>
              <w:jc w:val="center"/>
              <w:rPr>
                <w:b/>
                <w:bCs/>
                <w:color w:val="000000"/>
              </w:rPr>
            </w:pPr>
            <w:r>
              <w:rPr>
                <w:b/>
                <w:bCs/>
                <w:color w:val="000000"/>
              </w:rPr>
              <w:t xml:space="preserve">на закупку услуг на право использования электронной базы данных </w:t>
            </w:r>
            <w:r>
              <w:rPr>
                <w:b/>
                <w:bCs/>
              </w:rPr>
              <w:t>Электронная система «Госзаказ», тариф «Премиальный» и сервисное обслуживание (сопровождение ПО, обучение пользователей и консультирование)</w:t>
            </w:r>
            <w:r>
              <w:rPr>
                <w:b/>
                <w:bCs/>
                <w:color w:val="000000"/>
              </w:rPr>
              <w:t xml:space="preserve"> на условиях простой (неисключительной) лицензии</w:t>
            </w:r>
          </w:p>
          <w:p>
            <w:pPr>
              <w:pStyle w:val="Normal"/>
              <w:widowControl w:val="false"/>
              <w:jc w:val="center"/>
              <w:rPr>
                <w:b/>
                <w:bCs/>
                <w:color w:val="000000"/>
              </w:rPr>
            </w:pPr>
            <w:r>
              <w:rPr>
                <w:b/>
                <w:bCs/>
                <w:color w:val="000000"/>
              </w:rPr>
            </w:r>
          </w:p>
          <w:tbl>
            <w:tblPr>
              <w:tblW w:w="9855" w:type="dxa"/>
              <w:jc w:val="left"/>
              <w:tblInd w:w="0" w:type="dxa"/>
              <w:tblLayout w:type="fixed"/>
              <w:tblCellMar>
                <w:top w:w="0" w:type="dxa"/>
                <w:left w:w="108" w:type="dxa"/>
                <w:bottom w:w="0" w:type="dxa"/>
                <w:right w:w="108" w:type="dxa"/>
              </w:tblCellMar>
            </w:tblPr>
            <w:tblGrid>
              <w:gridCol w:w="494"/>
              <w:gridCol w:w="2206"/>
              <w:gridCol w:w="29"/>
              <w:gridCol w:w="1066"/>
              <w:gridCol w:w="554"/>
              <w:gridCol w:w="856"/>
              <w:gridCol w:w="615"/>
              <w:gridCol w:w="810"/>
              <w:gridCol w:w="1754"/>
              <w:gridCol w:w="1469"/>
            </w:tblGrid>
            <w:tr>
              <w:trPr>
                <w:trHeight w:val="1140" w:hRule="atLeast"/>
              </w:trPr>
              <w:tc>
                <w:tcPr>
                  <w:tcW w:w="49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lang w:val="en-US" w:eastAsia="en-US"/>
                    </w:rPr>
                  </w:pPr>
                  <w:r>
                    <w:rPr>
                      <w:lang w:val="en-US" w:eastAsia="en-US"/>
                    </w:rPr>
                    <w:t xml:space="preserve">№ </w:t>
                  </w:r>
                  <w:r>
                    <w:rPr>
                      <w:lang w:val="en-US" w:eastAsia="en-US"/>
                    </w:rPr>
                    <w:t>п/п</w:t>
                  </w:r>
                </w:p>
              </w:tc>
              <w:tc>
                <w:tcPr>
                  <w:tcW w:w="2235" w:type="dxa"/>
                  <w:gridSpan w:val="2"/>
                  <w:tcBorders>
                    <w:top w:val="single" w:sz="8" w:space="0" w:color="000000"/>
                    <w:left w:val="single" w:sz="8" w:space="0" w:color="000000"/>
                    <w:bottom w:val="single" w:sz="8" w:space="0" w:color="000000"/>
                    <w:right w:val="single" w:sz="8" w:space="0" w:color="000000"/>
                  </w:tcBorders>
                  <w:vAlign w:val="center"/>
                </w:tcPr>
                <w:p>
                  <w:pPr>
                    <w:pStyle w:val="Normal"/>
                    <w:jc w:val="center"/>
                    <w:rPr>
                      <w:lang w:eastAsia="en-US"/>
                    </w:rPr>
                  </w:pPr>
                  <w:r>
                    <w:rPr>
                      <w:lang w:eastAsia="en-US"/>
                    </w:rPr>
                    <w:t>Наименование Услуг</w:t>
                  </w:r>
                </w:p>
              </w:tc>
              <w:tc>
                <w:tcPr>
                  <w:tcW w:w="10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lang w:eastAsia="en-US"/>
                    </w:rPr>
                  </w:pPr>
                  <w:r>
                    <w:rPr>
                      <w:lang w:eastAsia="en-US"/>
                    </w:rPr>
                    <w:t>Ед. измер.</w:t>
                  </w:r>
                </w:p>
              </w:tc>
              <w:tc>
                <w:tcPr>
                  <w:tcW w:w="55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lang w:eastAsia="en-US"/>
                    </w:rPr>
                  </w:pPr>
                  <w:r>
                    <w:rPr>
                      <w:lang w:eastAsia="en-US"/>
                    </w:rPr>
                    <w:t>Коли-чество</w:t>
                  </w:r>
                </w:p>
              </w:tc>
              <w:tc>
                <w:tcPr>
                  <w:tcW w:w="856" w:type="dxa"/>
                  <w:tcBorders>
                    <w:top w:val="single" w:sz="8" w:space="0" w:color="000000"/>
                    <w:left w:val="single" w:sz="8" w:space="0" w:color="000000"/>
                    <w:bottom w:val="single" w:sz="8" w:space="0" w:color="000000"/>
                    <w:right w:val="single" w:sz="8" w:space="0" w:color="000000"/>
                  </w:tcBorders>
                </w:tcPr>
                <w:p>
                  <w:pPr>
                    <w:pStyle w:val="Normal"/>
                    <w:jc w:val="center"/>
                    <w:rPr>
                      <w:lang w:eastAsia="en-US"/>
                    </w:rPr>
                  </w:pPr>
                  <w:r>
                    <w:rPr>
                      <w:lang w:eastAsia="en-US"/>
                    </w:rPr>
                    <w:t>Страна происхождения ПО</w:t>
                  </w:r>
                </w:p>
              </w:tc>
              <w:tc>
                <w:tcPr>
                  <w:tcW w:w="1425" w:type="dxa"/>
                  <w:gridSpan w:val="2"/>
                  <w:tcBorders>
                    <w:top w:val="single" w:sz="8" w:space="0" w:color="000000"/>
                    <w:left w:val="single" w:sz="8" w:space="0" w:color="000000"/>
                    <w:bottom w:val="single" w:sz="8" w:space="0" w:color="000000"/>
                    <w:right w:val="single" w:sz="8" w:space="0" w:color="000000"/>
                  </w:tcBorders>
                </w:tcPr>
                <w:p>
                  <w:pPr>
                    <w:pStyle w:val="Normal"/>
                    <w:jc w:val="center"/>
                    <w:rPr>
                      <w:lang w:eastAsia="en-US"/>
                    </w:rPr>
                  </w:pPr>
                  <w:r>
                    <w:rPr>
                      <w:lang w:eastAsia="en-US"/>
                    </w:rPr>
                    <w:t>Номер реестровой записи из реестра ПО</w:t>
                  </w:r>
                </w:p>
              </w:tc>
              <w:tc>
                <w:tcPr>
                  <w:tcW w:w="175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pPr>
                  <w:r>
                    <w:rPr>
                      <w:lang w:eastAsia="en-US"/>
                    </w:rPr>
                    <w:t>Цена за единицу с НДС/НДС не облагается, (руб.)</w:t>
                  </w:r>
                </w:p>
              </w:tc>
              <w:tc>
                <w:tcPr>
                  <w:tcW w:w="1469" w:type="dxa"/>
                  <w:tcBorders>
                    <w:top w:val="single" w:sz="8" w:space="0" w:color="000000"/>
                    <w:left w:val="single" w:sz="8" w:space="0" w:color="000000"/>
                    <w:bottom w:val="single" w:sz="8" w:space="0" w:color="000000"/>
                    <w:right w:val="single" w:sz="8" w:space="0" w:color="000000"/>
                  </w:tcBorders>
                  <w:vAlign w:val="center"/>
                </w:tcPr>
                <w:p>
                  <w:pPr>
                    <w:pStyle w:val="Normal"/>
                    <w:jc w:val="center"/>
                    <w:rPr>
                      <w:lang w:eastAsia="en-US"/>
                    </w:rPr>
                  </w:pPr>
                  <w:r>
                    <w:rPr>
                      <w:lang w:eastAsia="en-US"/>
                    </w:rPr>
                    <w:t>Итого с НДС/НДС не облагается, (руб.)</w:t>
                  </w:r>
                </w:p>
              </w:tc>
            </w:tr>
            <w:tr>
              <w:trPr>
                <w:trHeight w:val="324" w:hRule="atLeast"/>
              </w:trPr>
              <w:tc>
                <w:tcPr>
                  <w:tcW w:w="49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color w:val="000000"/>
                      <w:lang w:eastAsia="en-US"/>
                    </w:rPr>
                  </w:pPr>
                  <w:r>
                    <w:rPr>
                      <w:color w:val="000000"/>
                      <w:lang w:eastAsia="en-US"/>
                    </w:rPr>
                    <w:t>1.</w:t>
                  </w:r>
                </w:p>
              </w:tc>
              <w:tc>
                <w:tcPr>
                  <w:tcW w:w="2235" w:type="dxa"/>
                  <w:gridSpan w:val="2"/>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center"/>
                    <w:rPr>
                      <w:bCs/>
                    </w:rPr>
                  </w:pPr>
                  <w:r>
                    <w:rPr>
                      <w:bCs/>
                    </w:rPr>
                    <w:t>Простая неисключительная лицензия на использование Базы данных Электронная система «Госзаказ», тариф «Премиальный»</w:t>
                  </w:r>
                </w:p>
                <w:p>
                  <w:pPr>
                    <w:pStyle w:val="Normal"/>
                    <w:widowControl w:val="false"/>
                    <w:jc w:val="center"/>
                    <w:rPr>
                      <w:b/>
                      <w:bCs/>
                    </w:rPr>
                  </w:pPr>
                  <w:r>
                    <w:rPr>
                      <w:bCs/>
                    </w:rPr>
                    <w:t>и сервисное обслуживание (сопровождение ПО, обучение пользователей и консультирование)</w:t>
                  </w:r>
                </w:p>
                <w:p>
                  <w:pPr>
                    <w:pStyle w:val="Normal"/>
                    <w:widowControl w:val="false"/>
                    <w:ind w:right="108"/>
                    <w:jc w:val="center"/>
                    <w:rPr/>
                  </w:pPr>
                  <w:r>
                    <w:rPr/>
                    <w:t>срок действия лицензии</w:t>
                  </w:r>
                </w:p>
                <w:p>
                  <w:pPr>
                    <w:pStyle w:val="Normal"/>
                    <w:jc w:val="center"/>
                    <w:rPr/>
                  </w:pPr>
                  <w:r>
                    <w:rPr/>
                    <w:t>24 месяца (3 пользователя)</w:t>
                  </w:r>
                </w:p>
              </w:tc>
              <w:tc>
                <w:tcPr>
                  <w:tcW w:w="10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lang w:eastAsia="en-US"/>
                    </w:rPr>
                  </w:pPr>
                  <w:r>
                    <w:rPr>
                      <w:lang w:eastAsia="en-US"/>
                    </w:rPr>
                    <w:t>Условная единица</w:t>
                  </w:r>
                </w:p>
              </w:tc>
              <w:tc>
                <w:tcPr>
                  <w:tcW w:w="55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lang w:eastAsia="en-US"/>
                    </w:rPr>
                  </w:pPr>
                  <w:r>
                    <w:rPr>
                      <w:lang w:eastAsia="en-US"/>
                    </w:rPr>
                    <w:t>1</w:t>
                  </w:r>
                </w:p>
              </w:tc>
              <w:tc>
                <w:tcPr>
                  <w:tcW w:w="856" w:type="dxa"/>
                  <w:tcBorders>
                    <w:top w:val="single" w:sz="8" w:space="0" w:color="000000"/>
                    <w:left w:val="single" w:sz="8" w:space="0" w:color="000000"/>
                    <w:bottom w:val="single" w:sz="8" w:space="0" w:color="000000"/>
                    <w:right w:val="single" w:sz="8" w:space="0" w:color="000000"/>
                  </w:tcBorders>
                </w:tcPr>
                <w:p>
                  <w:pPr>
                    <w:pStyle w:val="Normal"/>
                    <w:snapToGrid w:val="false"/>
                    <w:jc w:val="center"/>
                    <w:rPr>
                      <w:lang w:eastAsia="en-US"/>
                    </w:rPr>
                  </w:pPr>
                  <w:r>
                    <w:rPr>
                      <w:lang w:eastAsia="en-US"/>
                    </w:rPr>
                  </w:r>
                </w:p>
              </w:tc>
              <w:tc>
                <w:tcPr>
                  <w:tcW w:w="1425" w:type="dxa"/>
                  <w:gridSpan w:val="2"/>
                  <w:tcBorders>
                    <w:top w:val="single" w:sz="8" w:space="0" w:color="000000"/>
                    <w:left w:val="single" w:sz="8" w:space="0" w:color="000000"/>
                    <w:bottom w:val="single" w:sz="8" w:space="0" w:color="000000"/>
                    <w:right w:val="single" w:sz="8" w:space="0" w:color="000000"/>
                  </w:tcBorders>
                </w:tcPr>
                <w:p>
                  <w:pPr>
                    <w:pStyle w:val="Normal"/>
                    <w:snapToGrid w:val="false"/>
                    <w:jc w:val="center"/>
                    <w:rPr>
                      <w:lang w:eastAsia="en-US"/>
                    </w:rPr>
                  </w:pPr>
                  <w:r>
                    <w:rPr>
                      <w:lang w:eastAsia="en-US"/>
                    </w:rPr>
                  </w:r>
                </w:p>
              </w:tc>
              <w:tc>
                <w:tcPr>
                  <w:tcW w:w="175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lang w:eastAsia="en-US"/>
                    </w:rPr>
                  </w:pPr>
                  <w:r>
                    <w:rPr>
                      <w:lang w:eastAsia="en-US"/>
                    </w:rPr>
                  </w:r>
                </w:p>
              </w:tc>
              <w:tc>
                <w:tcPr>
                  <w:tcW w:w="1469" w:type="dxa"/>
                  <w:tcBorders>
                    <w:top w:val="single" w:sz="8" w:space="0" w:color="000000"/>
                    <w:left w:val="single" w:sz="8" w:space="0" w:color="000000"/>
                    <w:bottom w:val="single" w:sz="8" w:space="0" w:color="000000"/>
                    <w:right w:val="single" w:sz="8" w:space="0" w:color="000000"/>
                  </w:tcBorders>
                  <w:vAlign w:val="center"/>
                </w:tcPr>
                <w:p>
                  <w:pPr>
                    <w:pStyle w:val="Normal"/>
                    <w:snapToGrid w:val="false"/>
                    <w:jc w:val="center"/>
                    <w:rPr>
                      <w:color w:val="000000"/>
                      <w:lang w:val="en-US" w:eastAsia="en-US"/>
                    </w:rPr>
                  </w:pPr>
                  <w:r>
                    <w:rPr>
                      <w:color w:val="000000"/>
                      <w:lang w:val="en-US" w:eastAsia="en-US"/>
                    </w:rPr>
                  </w:r>
                </w:p>
              </w:tc>
            </w:tr>
            <w:tr>
              <w:trPr>
                <w:trHeight w:val="324" w:hRule="atLeast"/>
              </w:trPr>
              <w:tc>
                <w:tcPr>
                  <w:tcW w:w="2700" w:type="dxa"/>
                  <w:gridSpan w:val="2"/>
                  <w:tcBorders>
                    <w:top w:val="single" w:sz="8" w:space="0" w:color="000000"/>
                    <w:left w:val="single" w:sz="8" w:space="0" w:color="000000"/>
                    <w:bottom w:val="single" w:sz="8" w:space="0" w:color="000000"/>
                    <w:right w:val="single" w:sz="8" w:space="0" w:color="000000"/>
                  </w:tcBorders>
                </w:tcPr>
                <w:p>
                  <w:pPr>
                    <w:pStyle w:val="Normal"/>
                    <w:snapToGrid w:val="false"/>
                    <w:jc w:val="center"/>
                    <w:rPr>
                      <w:color w:val="000000"/>
                      <w:lang w:val="en-US" w:eastAsia="en-US"/>
                    </w:rPr>
                  </w:pPr>
                  <w:r>
                    <w:rPr>
                      <w:color w:val="000000"/>
                      <w:lang w:val="en-US" w:eastAsia="en-US"/>
                    </w:rPr>
                  </w:r>
                </w:p>
              </w:tc>
              <w:tc>
                <w:tcPr>
                  <w:tcW w:w="3120" w:type="dxa"/>
                  <w:gridSpan w:val="5"/>
                  <w:tcBorders>
                    <w:top w:val="single" w:sz="8" w:space="0" w:color="000000"/>
                    <w:left w:val="single" w:sz="8" w:space="0" w:color="000000"/>
                    <w:bottom w:val="single" w:sz="8" w:space="0" w:color="000000"/>
                    <w:right w:val="single" w:sz="8" w:space="0" w:color="000000"/>
                  </w:tcBorders>
                </w:tcPr>
                <w:p>
                  <w:pPr>
                    <w:pStyle w:val="Normal"/>
                    <w:snapToGrid w:val="false"/>
                    <w:jc w:val="center"/>
                    <w:rPr>
                      <w:color w:val="000000"/>
                      <w:lang w:eastAsia="en-US"/>
                    </w:rPr>
                  </w:pPr>
                  <w:r>
                    <w:rPr>
                      <w:color w:val="000000"/>
                      <w:lang w:eastAsia="en-US"/>
                    </w:rPr>
                  </w:r>
                </w:p>
              </w:tc>
              <w:tc>
                <w:tcPr>
                  <w:tcW w:w="2564" w:type="dxa"/>
                  <w:gridSpan w:val="2"/>
                  <w:tcBorders>
                    <w:top w:val="single" w:sz="8" w:space="0" w:color="000000"/>
                    <w:left w:val="single" w:sz="8" w:space="0" w:color="000000"/>
                    <w:bottom w:val="single" w:sz="8" w:space="0" w:color="000000"/>
                    <w:right w:val="single" w:sz="8" w:space="0" w:color="000000"/>
                  </w:tcBorders>
                  <w:vAlign w:val="center"/>
                </w:tcPr>
                <w:p>
                  <w:pPr>
                    <w:pStyle w:val="Normal"/>
                    <w:jc w:val="center"/>
                    <w:rPr/>
                  </w:pPr>
                  <w:r>
                    <w:rPr>
                      <w:color w:val="000000"/>
                      <w:lang w:eastAsia="en-US"/>
                    </w:rPr>
                    <w:t>ИТОГО</w:t>
                  </w:r>
                  <w:r>
                    <w:rPr>
                      <w:color w:val="000000"/>
                      <w:lang w:val="en-US" w:eastAsia="en-US"/>
                    </w:rPr>
                    <w:t>:</w:t>
                  </w:r>
                </w:p>
              </w:tc>
              <w:tc>
                <w:tcPr>
                  <w:tcW w:w="1469" w:type="dxa"/>
                  <w:tcBorders>
                    <w:top w:val="single" w:sz="8" w:space="0" w:color="000000"/>
                    <w:left w:val="single" w:sz="8" w:space="0" w:color="000000"/>
                    <w:bottom w:val="single" w:sz="8" w:space="0" w:color="000000"/>
                    <w:right w:val="single" w:sz="8" w:space="0" w:color="000000"/>
                  </w:tcBorders>
                </w:tcPr>
                <w:p>
                  <w:pPr>
                    <w:pStyle w:val="Normal"/>
                    <w:snapToGrid w:val="false"/>
                    <w:jc w:val="center"/>
                    <w:rPr>
                      <w:color w:val="000000"/>
                      <w:lang w:val="en-US" w:eastAsia="en-US"/>
                    </w:rPr>
                  </w:pPr>
                  <w:r>
                    <w:rPr>
                      <w:color w:val="000000"/>
                      <w:lang w:val="en-US" w:eastAsia="en-US"/>
                    </w:rPr>
                  </w:r>
                </w:p>
              </w:tc>
            </w:tr>
          </w:tbl>
          <w:p>
            <w:pPr>
              <w:pStyle w:val="Normal"/>
              <w:widowControl w:val="false"/>
              <w:jc w:val="center"/>
              <w:rPr>
                <w:b/>
                <w:bCs/>
                <w:color w:val="000000"/>
              </w:rPr>
            </w:pPr>
            <w:r>
              <w:rPr>
                <w:b/>
                <w:bCs/>
                <w:color w:val="000000"/>
              </w:rPr>
            </w:r>
          </w:p>
          <w:p>
            <w:pPr>
              <w:pStyle w:val="Normal"/>
              <w:widowControl w:val="false"/>
              <w:spacing w:before="0" w:after="60"/>
              <w:jc w:val="center"/>
              <w:rPr>
                <w:rStyle w:val="Heading"/>
                <w:bCs/>
                <w:sz w:val="24"/>
              </w:rPr>
            </w:pPr>
            <w:r>
              <w:rPr>
                <w:bCs/>
                <w:sz w:val="24"/>
              </w:rPr>
            </w:r>
          </w:p>
        </w:tc>
      </w:tr>
      <w:tr>
        <w:trPr>
          <w:trHeight w:val="361" w:hRule="atLeast"/>
        </w:trPr>
        <w:tc>
          <w:tcPr>
            <w:tcW w:w="9864" w:type="dxa"/>
            <w:gridSpan w:val="4"/>
            <w:tcBorders/>
          </w:tcPr>
          <w:p>
            <w:pPr>
              <w:pStyle w:val="ParagraphStyle"/>
              <w:numPr>
                <w:ilvl w:val="0"/>
                <w:numId w:val="0"/>
              </w:numPr>
              <w:tabs>
                <w:tab w:val="clear" w:pos="708"/>
                <w:tab w:val="left" w:pos="990" w:leader="none"/>
              </w:tabs>
              <w:snapToGrid w:val="false"/>
              <w:ind w:hanging="0" w:left="0"/>
              <w:jc w:val="right"/>
              <w:outlineLvl w:val="0"/>
              <w:rPr>
                <w:rStyle w:val="Heading"/>
                <w:bCs/>
                <w:sz w:val="24"/>
                <w:lang w:val="ru-RU" w:eastAsia="ru-RU"/>
              </w:rPr>
            </w:pPr>
            <w:r>
              <w:rPr>
                <w:bCs/>
                <w:sz w:val="24"/>
                <w:lang w:val="ru-RU" w:eastAsia="ru-RU"/>
              </w:rPr>
              <w:drawing>
                <wp:anchor behindDoc="0" distT="0" distB="0" distL="0" distR="0" simplePos="0" locked="0" layoutInCell="1" allowOverlap="1" relativeHeight="2">
                  <wp:simplePos x="0" y="0"/>
                  <wp:positionH relativeFrom="column">
                    <wp:posOffset>1285875</wp:posOffset>
                  </wp:positionH>
                  <wp:positionV relativeFrom="paragraph">
                    <wp:posOffset>6452870</wp:posOffset>
                  </wp:positionV>
                  <wp:extent cx="1061720" cy="609600"/>
                  <wp:effectExtent l="0" t="0" r="0" b="0"/>
                  <wp:wrapNone/>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13"/>
                          <a:srcRect l="-28" t="-49" r="-28" b="-49"/>
                          <a:stretch>
                            <a:fillRect/>
                          </a:stretch>
                        </pic:blipFill>
                        <pic:spPr bwMode="auto">
                          <a:xfrm>
                            <a:off x="0" y="0"/>
                            <a:ext cx="1061720" cy="609600"/>
                          </a:xfrm>
                          <a:prstGeom prst="rect">
                            <a:avLst/>
                          </a:prstGeom>
                          <a:noFill/>
                        </pic:spPr>
                      </pic:pic>
                    </a:graphicData>
                  </a:graphic>
                </wp:anchor>
              </w:drawing>
            </w:r>
          </w:p>
          <w:p>
            <w:pPr>
              <w:pStyle w:val="ParagraphStyle"/>
              <w:numPr>
                <w:ilvl w:val="0"/>
                <w:numId w:val="0"/>
              </w:numPr>
              <w:tabs>
                <w:tab w:val="clear" w:pos="708"/>
                <w:tab w:val="left" w:pos="990" w:leader="none"/>
                <w:tab w:val="left" w:pos="1697" w:leader="none"/>
              </w:tabs>
              <w:ind w:hanging="0" w:left="0"/>
              <w:outlineLvl w:val="0"/>
              <w:rPr>
                <w:rStyle w:val="Heading"/>
                <w:bCs/>
                <w:sz w:val="24"/>
              </w:rPr>
            </w:pPr>
            <w:r>
              <w:rPr>
                <w:bCs/>
                <w:sz w:val="24"/>
              </w:rPr>
            </w:r>
          </w:p>
          <w:p>
            <w:pPr>
              <w:pStyle w:val="ParagraphStyle"/>
              <w:numPr>
                <w:ilvl w:val="0"/>
                <w:numId w:val="0"/>
              </w:numPr>
              <w:tabs>
                <w:tab w:val="clear" w:pos="708"/>
                <w:tab w:val="left" w:pos="990" w:leader="none"/>
              </w:tabs>
              <w:ind w:hanging="0" w:left="0"/>
              <w:jc w:val="right"/>
              <w:outlineLvl w:val="0"/>
              <w:rPr>
                <w:rStyle w:val="Heading"/>
                <w:bCs/>
                <w:sz w:val="24"/>
              </w:rPr>
            </w:pPr>
            <w:r>
              <w:rPr>
                <w:bCs/>
                <w:sz w:val="24"/>
              </w:rPr>
            </w:r>
          </w:p>
        </w:tc>
      </w:tr>
      <w:tr>
        <w:trPr>
          <w:trHeight w:val="47" w:hRule="atLeast"/>
        </w:trPr>
        <w:tc>
          <w:tcPr>
            <w:tcW w:w="89" w:type="dxa"/>
            <w:tcBorders/>
            <w:tcMar>
              <w:left w:w="0" w:type="dxa"/>
              <w:right w:w="0" w:type="dxa"/>
            </w:tcMar>
          </w:tcPr>
          <w:p>
            <w:pPr>
              <w:pStyle w:val="Normal"/>
              <w:rPr>
                <w:rStyle w:val="Heading"/>
                <w:bCs/>
                <w:sz w:val="24"/>
              </w:rPr>
            </w:pPr>
            <w:r>
              <w:rPr>
                <w:bCs/>
                <w:sz w:val="24"/>
              </w:rPr>
            </w:r>
          </w:p>
        </w:tc>
        <w:tc>
          <w:tcPr>
            <w:tcW w:w="4636" w:type="dxa"/>
            <w:tcBorders/>
          </w:tcPr>
          <w:p>
            <w:pPr>
              <w:pStyle w:val="Normal"/>
              <w:widowControl w:val="false"/>
              <w:jc w:val="center"/>
              <w:rPr>
                <w:b/>
              </w:rPr>
            </w:pPr>
            <w:r>
              <w:rPr>
                <w:b/>
              </w:rPr>
              <w:t xml:space="preserve">ОТ </w:t>
            </w:r>
            <w:r>
              <w:rPr>
                <w:b/>
                <w:bCs/>
              </w:rPr>
              <w:t>СУБЛИЦЕНЗИАТА</w:t>
            </w:r>
          </w:p>
        </w:tc>
        <w:tc>
          <w:tcPr>
            <w:tcW w:w="237" w:type="dxa"/>
            <w:tcBorders/>
          </w:tcPr>
          <w:p>
            <w:pPr>
              <w:pStyle w:val="Normal"/>
              <w:widowControl w:val="false"/>
              <w:snapToGrid w:val="false"/>
              <w:jc w:val="center"/>
              <w:rPr>
                <w:b/>
              </w:rPr>
            </w:pPr>
            <w:r>
              <w:rPr>
                <w:b/>
              </w:rPr>
            </w:r>
          </w:p>
        </w:tc>
        <w:tc>
          <w:tcPr>
            <w:tcW w:w="4902" w:type="dxa"/>
            <w:tcBorders/>
          </w:tcPr>
          <w:p>
            <w:pPr>
              <w:pStyle w:val="Normal"/>
              <w:widowControl w:val="false"/>
              <w:jc w:val="center"/>
              <w:rPr>
                <w:b/>
              </w:rPr>
            </w:pPr>
            <w:r>
              <w:rPr>
                <w:b/>
              </w:rPr>
              <w:t>ОТ ГОСУДАРСТВЕННОГО ЗАКАЗЧИКА</w:t>
            </w:r>
          </w:p>
        </w:tc>
      </w:tr>
      <w:tr>
        <w:trPr>
          <w:trHeight w:val="47" w:hRule="atLeast"/>
        </w:trPr>
        <w:tc>
          <w:tcPr>
            <w:tcW w:w="89" w:type="dxa"/>
            <w:tcBorders/>
            <w:tcMar>
              <w:left w:w="0" w:type="dxa"/>
              <w:right w:w="0" w:type="dxa"/>
            </w:tcMar>
          </w:tcPr>
          <w:p>
            <w:pPr>
              <w:pStyle w:val="Normal"/>
              <w:rPr>
                <w:b/>
              </w:rPr>
            </w:pPr>
            <w:r>
              <w:rPr>
                <w:b/>
              </w:rPr>
            </w:r>
          </w:p>
        </w:tc>
        <w:tc>
          <w:tcPr>
            <w:tcW w:w="4636" w:type="dxa"/>
            <w:tcBorders/>
          </w:tcPr>
          <w:p>
            <w:pPr>
              <w:pStyle w:val="Normal"/>
              <w:widowControl w:val="false"/>
              <w:snapToGrid w:val="false"/>
              <w:jc w:val="center"/>
              <w:rPr/>
            </w:pPr>
            <w:r>
              <w:rPr/>
            </w:r>
          </w:p>
          <w:p>
            <w:pPr>
              <w:pStyle w:val="Normal"/>
              <w:widowControl w:val="false"/>
              <w:jc w:val="center"/>
              <w:rPr/>
            </w:pPr>
            <w:r>
              <w:rPr/>
              <w:t>_____________</w:t>
            </w:r>
          </w:p>
          <w:p>
            <w:pPr>
              <w:pStyle w:val="Normal"/>
              <w:widowControl w:val="false"/>
              <w:jc w:val="center"/>
              <w:rPr/>
            </w:pPr>
            <w:r>
              <w:rPr/>
              <w:t>__________________________</w:t>
            </w:r>
          </w:p>
          <w:p>
            <w:pPr>
              <w:pStyle w:val="Normal"/>
              <w:widowControl w:val="false"/>
              <w:jc w:val="center"/>
              <w:rPr/>
            </w:pPr>
            <w:r>
              <w:rPr/>
            </w:r>
          </w:p>
        </w:tc>
        <w:tc>
          <w:tcPr>
            <w:tcW w:w="237" w:type="dxa"/>
            <w:tcBorders/>
          </w:tcPr>
          <w:p>
            <w:pPr>
              <w:pStyle w:val="Normal"/>
              <w:widowControl w:val="false"/>
              <w:snapToGrid w:val="false"/>
              <w:rPr/>
            </w:pPr>
            <w:r>
              <w:rPr/>
            </w:r>
          </w:p>
        </w:tc>
        <w:tc>
          <w:tcPr>
            <w:tcW w:w="4902" w:type="dxa"/>
            <w:tcBorders/>
          </w:tcPr>
          <w:p>
            <w:pPr>
              <w:pStyle w:val="Normal"/>
              <w:widowControl w:val="false"/>
              <w:snapToGrid w:val="false"/>
              <w:jc w:val="center"/>
              <w:rPr/>
            </w:pPr>
            <w:r>
              <w:rPr/>
            </w:r>
          </w:p>
          <w:p>
            <w:pPr>
              <w:pStyle w:val="Normal"/>
              <w:widowControl w:val="false"/>
              <w:jc w:val="center"/>
              <w:rPr/>
            </w:pPr>
            <w:r>
              <w:rPr/>
            </w:r>
          </w:p>
          <w:p>
            <w:pPr>
              <w:pStyle w:val="Normal"/>
              <w:widowControl w:val="false"/>
              <w:jc w:val="center"/>
              <w:rPr/>
            </w:pPr>
            <w:r>
              <w:rPr/>
              <w:t>__________________________</w:t>
            </w:r>
          </w:p>
          <w:p>
            <w:pPr>
              <w:pStyle w:val="Normal"/>
              <w:widowControl w:val="false"/>
              <w:jc w:val="center"/>
              <w:rPr/>
            </w:pPr>
            <w:r>
              <w:rPr/>
            </w:r>
          </w:p>
        </w:tc>
      </w:tr>
      <w:tr>
        <w:trPr>
          <w:trHeight w:val="47" w:hRule="atLeast"/>
        </w:trPr>
        <w:tc>
          <w:tcPr>
            <w:tcW w:w="89" w:type="dxa"/>
            <w:tcBorders/>
            <w:tcMar>
              <w:left w:w="0" w:type="dxa"/>
              <w:right w:w="0" w:type="dxa"/>
            </w:tcMar>
          </w:tcPr>
          <w:p>
            <w:pPr>
              <w:pStyle w:val="Normal"/>
              <w:rPr/>
            </w:pPr>
            <w:r>
              <w:rPr/>
            </w:r>
          </w:p>
        </w:tc>
        <w:tc>
          <w:tcPr>
            <w:tcW w:w="4636" w:type="dxa"/>
            <w:tcBorders/>
          </w:tcPr>
          <w:p>
            <w:pPr>
              <w:pStyle w:val="Normal"/>
              <w:widowControl w:val="false"/>
              <w:jc w:val="center"/>
              <w:rPr/>
            </w:pPr>
            <w:r>
              <w:rPr/>
              <w:t>______________ ____________</w:t>
            </w:r>
          </w:p>
          <w:p>
            <w:pPr>
              <w:pStyle w:val="Normal"/>
              <w:widowControl w:val="false"/>
              <w:rPr/>
            </w:pPr>
            <w:r>
              <w:rPr/>
              <w:t xml:space="preserve">                              </w:t>
            </w:r>
            <w:r>
              <w:rPr/>
              <w:t>М.П.</w:t>
            </w:r>
          </w:p>
        </w:tc>
        <w:tc>
          <w:tcPr>
            <w:tcW w:w="237" w:type="dxa"/>
            <w:tcBorders/>
          </w:tcPr>
          <w:p>
            <w:pPr>
              <w:pStyle w:val="Normal"/>
              <w:widowControl w:val="false"/>
              <w:snapToGrid w:val="false"/>
              <w:rPr/>
            </w:pPr>
            <w:r>
              <w:rPr/>
            </w:r>
          </w:p>
        </w:tc>
        <w:tc>
          <w:tcPr>
            <w:tcW w:w="4902" w:type="dxa"/>
            <w:tcBorders/>
          </w:tcPr>
          <w:p>
            <w:pPr>
              <w:pStyle w:val="Normal"/>
              <w:widowControl w:val="false"/>
              <w:jc w:val="center"/>
              <w:rPr/>
            </w:pPr>
            <w:r>
              <w:rPr/>
              <w:t>______________</w:t>
            </w:r>
          </w:p>
          <w:p>
            <w:pPr>
              <w:pStyle w:val="Normal"/>
              <w:widowControl w:val="false"/>
              <w:rPr/>
            </w:pPr>
            <w:r>
              <w:rPr/>
              <w:t xml:space="preserve">                              </w:t>
            </w:r>
            <w:r>
              <w:rPr/>
              <w:t>М.П.</w:t>
            </w:r>
          </w:p>
        </w:tc>
      </w:tr>
    </w:tbl>
    <w:p>
      <w:pPr>
        <w:pStyle w:val="Heading1"/>
        <w:keepNext w:val="false"/>
        <w:keepLines w:val="false"/>
        <w:widowControl w:val="false"/>
        <w:numPr>
          <w:ilvl w:val="0"/>
          <w:numId w:val="3"/>
        </w:numPr>
        <w:spacing w:before="0" w:after="57"/>
        <w:ind w:hanging="0" w:left="0" w:right="0"/>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Heading1"/>
        <w:keepNext w:val="false"/>
        <w:keepLines w:val="false"/>
        <w:widowControl w:val="false"/>
        <w:numPr>
          <w:ilvl w:val="0"/>
          <w:numId w:val="3"/>
        </w:numPr>
        <w:spacing w:before="0" w:after="57"/>
        <w:ind w:hanging="0" w:left="0" w:right="0"/>
        <w:jc w:val="center"/>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val="false"/>
        <w:rPr/>
      </w:pPr>
      <w:r>
        <w:rPr/>
      </w:r>
    </w:p>
    <w:p>
      <w:pPr>
        <w:pStyle w:val="Normal"/>
        <w:widowControl w:val="false"/>
        <w:rPr/>
      </w:pPr>
      <w:r>
        <w:rPr/>
      </w:r>
    </w:p>
    <w:tbl>
      <w:tblPr>
        <w:tblW w:w="9865" w:type="dxa"/>
        <w:jc w:val="left"/>
        <w:tblInd w:w="108" w:type="dxa"/>
        <w:tblLayout w:type="fixed"/>
        <w:tblCellMar>
          <w:top w:w="0" w:type="dxa"/>
          <w:left w:w="108" w:type="dxa"/>
          <w:bottom w:w="0" w:type="dxa"/>
          <w:right w:w="108" w:type="dxa"/>
        </w:tblCellMar>
      </w:tblPr>
      <w:tblGrid>
        <w:gridCol w:w="9865"/>
      </w:tblGrid>
      <w:tr>
        <w:trPr>
          <w:trHeight w:val="1545" w:hRule="atLeast"/>
        </w:trPr>
        <w:tc>
          <w:tcPr>
            <w:tcW w:w="9865" w:type="dxa"/>
            <w:tcBorders/>
          </w:tcPr>
          <w:p>
            <w:pPr>
              <w:pStyle w:val="Normal"/>
              <w:widowControl w:val="false"/>
              <w:jc w:val="right"/>
              <w:rPr/>
            </w:pPr>
            <w:r>
              <w:rPr>
                <w:rStyle w:val="Heading"/>
                <w:bCs/>
                <w:sz w:val="24"/>
              </w:rPr>
              <w:t>ПРИЛОЖЕНИЕ</w:t>
            </w:r>
            <w:r>
              <w:rPr>
                <w:b/>
                <w:bCs/>
              </w:rPr>
              <w:t xml:space="preserve"> № 2</w:t>
            </w:r>
          </w:p>
          <w:p>
            <w:pPr>
              <w:pStyle w:val="ParagraphStyle"/>
              <w:numPr>
                <w:ilvl w:val="0"/>
                <w:numId w:val="0"/>
              </w:numPr>
              <w:tabs>
                <w:tab w:val="clear" w:pos="708"/>
                <w:tab w:val="left" w:pos="990" w:leader="none"/>
              </w:tabs>
              <w:ind w:hanging="0" w:left="0"/>
              <w:jc w:val="right"/>
              <w:outlineLvl w:val="0"/>
              <w:rPr/>
            </w:pPr>
            <w:r>
              <w:rPr>
                <w:rStyle w:val="Normaltext"/>
                <w:sz w:val="24"/>
              </w:rPr>
              <w:t>к Государственному контракту № __________ от «___» ________ 2026 г.</w:t>
            </w:r>
          </w:p>
          <w:p>
            <w:pPr>
              <w:pStyle w:val="Normal"/>
              <w:widowControl w:val="false"/>
              <w:spacing w:before="0" w:after="60"/>
              <w:rPr>
                <w:rStyle w:val="Heading"/>
                <w:bCs/>
                <w:sz w:val="24"/>
              </w:rPr>
            </w:pPr>
            <w:r>
              <w:rPr>
                <w:bCs/>
                <w:sz w:val="24"/>
              </w:rPr>
            </w:r>
          </w:p>
        </w:tc>
      </w:tr>
    </w:tbl>
    <w:p>
      <w:pPr>
        <w:pStyle w:val="Normal"/>
        <w:jc w:val="center"/>
        <w:rPr/>
      </w:pPr>
      <w:r>
        <w:rPr>
          <w:rStyle w:val="Heading"/>
          <w:b/>
          <w:bCs/>
          <w:color w:val="000000"/>
          <w:sz w:val="24"/>
        </w:rPr>
        <w:t>Техническое задание</w:t>
      </w:r>
    </w:p>
    <w:p>
      <w:pPr>
        <w:pStyle w:val="Normal"/>
        <w:widowControl w:val="false"/>
        <w:jc w:val="center"/>
        <w:rPr>
          <w:b/>
          <w:bCs/>
          <w:color w:val="000000"/>
        </w:rPr>
      </w:pPr>
      <w:r>
        <w:rPr>
          <w:b/>
          <w:bCs/>
          <w:color w:val="000000"/>
        </w:rPr>
        <w:t xml:space="preserve">на закупку услуг на право использования электронной базы данных </w:t>
      </w:r>
      <w:r>
        <w:rPr>
          <w:b/>
          <w:bCs/>
        </w:rPr>
        <w:t>Электронная система «Госзаказ», тариф «Премиальный» и сервисное обслуживание (сопровождение ПО, обучение пользователей и консультирование)</w:t>
      </w:r>
      <w:r>
        <w:rPr>
          <w:b/>
          <w:bCs/>
          <w:color w:val="000000"/>
        </w:rPr>
        <w:t xml:space="preserve"> на условиях простой (неисключительной) лицензии</w:t>
      </w:r>
    </w:p>
    <w:p>
      <w:pPr>
        <w:pStyle w:val="Normal"/>
        <w:widowControl w:val="false"/>
        <w:jc w:val="center"/>
        <w:rPr>
          <w:b/>
          <w:bCs/>
          <w:color w:val="000000"/>
        </w:rPr>
      </w:pPr>
      <w:r>
        <w:rPr>
          <w:b/>
          <w:bCs/>
          <w:color w:val="000000"/>
        </w:rPr>
      </w:r>
    </w:p>
    <w:tbl>
      <w:tblPr>
        <w:tblW w:w="9865" w:type="dxa"/>
        <w:jc w:val="left"/>
        <w:tblInd w:w="75" w:type="dxa"/>
        <w:tblLayout w:type="fixed"/>
        <w:tblCellMar>
          <w:top w:w="75" w:type="dxa"/>
          <w:left w:w="75" w:type="dxa"/>
          <w:bottom w:w="75" w:type="dxa"/>
          <w:right w:w="75" w:type="dxa"/>
        </w:tblCellMar>
      </w:tblPr>
      <w:tblGrid>
        <w:gridCol w:w="2537"/>
        <w:gridCol w:w="7327"/>
      </w:tblGrid>
      <w:tr>
        <w:trPr/>
        <w:tc>
          <w:tcPr>
            <w:tcW w:w="2537" w:type="dxa"/>
            <w:tcBorders>
              <w:top w:val="single" w:sz="6" w:space="0" w:color="000000"/>
              <w:left w:val="single" w:sz="6" w:space="0" w:color="000000"/>
              <w:bottom w:val="single" w:sz="6" w:space="0" w:color="000000"/>
              <w:right w:val="single" w:sz="6" w:space="0" w:color="000000"/>
            </w:tcBorders>
          </w:tcPr>
          <w:p>
            <w:pPr>
              <w:pStyle w:val="Normal"/>
              <w:rPr/>
            </w:pPr>
            <w:r>
              <w:rPr>
                <w:b/>
                <w:bCs/>
                <w:color w:val="000000"/>
              </w:rPr>
              <w:t>Наименование предмета закупки</w:t>
            </w:r>
          </w:p>
        </w:tc>
        <w:tc>
          <w:tcPr>
            <w:tcW w:w="7327" w:type="dxa"/>
            <w:tcBorders>
              <w:top w:val="single" w:sz="6" w:space="0" w:color="000000"/>
              <w:left w:val="single" w:sz="6" w:space="0" w:color="000000"/>
              <w:bottom w:val="single" w:sz="6" w:space="0" w:color="000000"/>
              <w:right w:val="single" w:sz="6" w:space="0" w:color="000000"/>
            </w:tcBorders>
          </w:tcPr>
          <w:p>
            <w:pPr>
              <w:pStyle w:val="Normal"/>
              <w:jc w:val="both"/>
              <w:rPr>
                <w:color w:val="000000"/>
              </w:rPr>
            </w:pPr>
            <w:r>
              <w:rPr>
                <w:color w:val="000000"/>
              </w:rPr>
              <w:t xml:space="preserve">Оказание услуг по на право использования электронной базы данных </w:t>
            </w:r>
            <w:r>
              <w:rPr>
                <w:bCs/>
              </w:rPr>
              <w:t>Электронная система «Госзаказ», тариф «Премиальный» и сервисное обслуживание (сопровождение ПО, обучение пользователей и консультирование)</w:t>
            </w:r>
            <w:r>
              <w:rPr>
                <w:color w:val="000000"/>
              </w:rPr>
              <w:t xml:space="preserve"> на условиях простой (неисключительной) лицензии.</w:t>
            </w:r>
          </w:p>
          <w:p>
            <w:pPr>
              <w:pStyle w:val="Normal"/>
              <w:jc w:val="both"/>
              <w:rPr>
                <w:color w:val="000000"/>
              </w:rPr>
            </w:pPr>
            <w:r>
              <w:rPr>
                <w:color w:val="000000"/>
              </w:rPr>
            </w:r>
          </w:p>
          <w:p>
            <w:pPr>
              <w:pStyle w:val="11"/>
              <w:jc w:val="both"/>
              <w:rPr>
                <w:sz w:val="24"/>
                <w:szCs w:val="24"/>
              </w:rPr>
            </w:pPr>
            <w:r>
              <w:rPr>
                <w:sz w:val="24"/>
                <w:szCs w:val="24"/>
              </w:rPr>
              <w:t>Срок действия права использования электронной базы данных 24 (двадцать четыре) месяца со дня активации уникального кода доступа (УКД) не ранее 23.10.2026 и не позднее 24.10.2026.</w:t>
            </w:r>
          </w:p>
          <w:p>
            <w:pPr>
              <w:pStyle w:val="Normal"/>
              <w:ind w:right="180"/>
              <w:jc w:val="both"/>
              <w:rPr/>
            </w:pPr>
            <w:r>
              <w:rPr/>
            </w:r>
          </w:p>
          <w:p>
            <w:pPr>
              <w:pStyle w:val="Normal"/>
              <w:ind w:right="180"/>
              <w:jc w:val="both"/>
              <w:rPr/>
            </w:pPr>
            <w:r>
              <w:rPr/>
              <w:t>Планируемое количество пользователей (количество неисключительных лицензий): 3 (три).</w:t>
            </w:r>
          </w:p>
          <w:p>
            <w:pPr>
              <w:pStyle w:val="Normal"/>
              <w:ind w:right="181"/>
              <w:jc w:val="both"/>
              <w:rPr/>
            </w:pPr>
            <w:r>
              <w:rPr/>
            </w:r>
          </w:p>
          <w:p>
            <w:pPr>
              <w:pStyle w:val="Normal"/>
              <w:ind w:right="181"/>
              <w:jc w:val="both"/>
              <w:rPr>
                <w:color w:val="000000"/>
              </w:rPr>
            </w:pPr>
            <w:r>
              <w:rPr/>
              <w:t xml:space="preserve">Предоставление права использования электронной базы данных осуществляется посредством направления Сублицензиатом УКД в электронном виде по каналам электронных средств связи на электронную почту (e-mail) Государственного заказчика: </w:t>
            </w:r>
            <w:hyperlink r:id="rId14">
              <w:r>
                <w:rPr>
                  <w:rStyle w:val="Hyperlink"/>
                  <w:color w:val="000000"/>
                </w:rPr>
                <w:t>n.butuzova@meteorf.ru</w:t>
              </w:r>
            </w:hyperlink>
            <w:r>
              <w:rPr/>
              <w:t xml:space="preserve"> в срок не позднее 7 (семь) рабочих дней с даты заключения Контракта.</w:t>
            </w:r>
          </w:p>
        </w:tc>
      </w:tr>
      <w:tr>
        <w:trPr/>
        <w:tc>
          <w:tcPr>
            <w:tcW w:w="2537" w:type="dxa"/>
            <w:tcBorders>
              <w:top w:val="single" w:sz="6" w:space="0" w:color="000000"/>
              <w:left w:val="single" w:sz="6" w:space="0" w:color="000000"/>
              <w:bottom w:val="single" w:sz="6" w:space="0" w:color="000000"/>
              <w:right w:val="single" w:sz="6" w:space="0" w:color="000000"/>
            </w:tcBorders>
          </w:tcPr>
          <w:p>
            <w:pPr>
              <w:pStyle w:val="Normal"/>
              <w:rPr>
                <w:b/>
                <w:bCs/>
                <w:color w:val="000000"/>
              </w:rPr>
            </w:pPr>
            <w:r>
              <w:rPr>
                <w:b/>
                <w:bCs/>
                <w:color w:val="000000"/>
              </w:rPr>
              <w:t>Код позиции из ОКПД2</w:t>
            </w:r>
          </w:p>
        </w:tc>
        <w:tc>
          <w:tcPr>
            <w:tcW w:w="7327" w:type="dxa"/>
            <w:tcBorders>
              <w:top w:val="single" w:sz="6" w:space="0" w:color="000000"/>
              <w:left w:val="single" w:sz="6" w:space="0" w:color="000000"/>
              <w:bottom w:val="single" w:sz="6" w:space="0" w:color="000000"/>
              <w:right w:val="single" w:sz="6" w:space="0" w:color="000000"/>
            </w:tcBorders>
          </w:tcPr>
          <w:p>
            <w:pPr>
              <w:pStyle w:val="Normal"/>
              <w:jc w:val="both"/>
              <w:rPr>
                <w:strike/>
              </w:rPr>
            </w:pPr>
            <w:r>
              <w:rPr/>
              <w:t>5</w:t>
            </w:r>
            <w:r>
              <w:rPr>
                <w:shd w:fill="FFFFFF" w:val="clear"/>
              </w:rPr>
              <w:t>8.29.50.000 - услуги по предоставлению лицензий на право использовать компьютерное программное обеспечение</w:t>
            </w:r>
          </w:p>
        </w:tc>
      </w:tr>
      <w:tr>
        <w:trPr/>
        <w:tc>
          <w:tcPr>
            <w:tcW w:w="2537" w:type="dxa"/>
            <w:tcBorders>
              <w:top w:val="single" w:sz="6" w:space="0" w:color="000000"/>
              <w:left w:val="single" w:sz="6" w:space="0" w:color="000000"/>
              <w:bottom w:val="single" w:sz="6" w:space="0" w:color="000000"/>
              <w:right w:val="single" w:sz="6" w:space="0" w:color="000000"/>
            </w:tcBorders>
          </w:tcPr>
          <w:p>
            <w:pPr>
              <w:pStyle w:val="Normal"/>
              <w:rPr/>
            </w:pPr>
            <w:r>
              <w:rPr>
                <w:b/>
                <w:bCs/>
                <w:color w:val="000000"/>
              </w:rPr>
              <w:t>Назначение объекта закупки</w:t>
            </w:r>
          </w:p>
        </w:tc>
        <w:tc>
          <w:tcPr>
            <w:tcW w:w="7327" w:type="dxa"/>
            <w:tcBorders>
              <w:top w:val="single" w:sz="6" w:space="0" w:color="000000"/>
              <w:left w:val="single" w:sz="6" w:space="0" w:color="000000"/>
              <w:bottom w:val="single" w:sz="6" w:space="0" w:color="000000"/>
              <w:right w:val="single" w:sz="6" w:space="0" w:color="000000"/>
            </w:tcBorders>
          </w:tcPr>
          <w:p>
            <w:pPr>
              <w:pStyle w:val="Normal"/>
              <w:jc w:val="both"/>
              <w:rPr>
                <w:color w:val="000000"/>
              </w:rPr>
            </w:pPr>
            <w:r>
              <w:rPr>
                <w:color w:val="000000"/>
              </w:rPr>
              <w:t>Закупка необходима в качестве источника информации (подборка материала по ситуации регулятора, контрольного органа и судебной практики, в том числе нормативно-правовой информации) для принятия квалифицированных решений по тематике государственных и корпоративных закупок по основным направлениям деятельности специалиста по закупкам и/или эксперта по закупкам и/или контролера, в рамках:</w:t>
            </w:r>
          </w:p>
          <w:p>
            <w:pPr>
              <w:pStyle w:val="Normal"/>
              <w:jc w:val="both"/>
              <w:rPr>
                <w:color w:val="000000"/>
              </w:rPr>
            </w:pPr>
            <w:r>
              <w:rPr>
                <w:color w:val="000000"/>
              </w:rPr>
              <w:t xml:space="preserve">— </w:t>
            </w:r>
            <w:r>
              <w:rPr>
                <w:color w:val="000000"/>
              </w:rPr>
              <w:t>Федерального закона от 05.04.2013 № 44-ФЗ;</w:t>
            </w:r>
          </w:p>
          <w:p>
            <w:pPr>
              <w:pStyle w:val="Normal"/>
              <w:jc w:val="both"/>
              <w:rPr>
                <w:color w:val="000000"/>
              </w:rPr>
            </w:pPr>
            <w:r>
              <w:rPr>
                <w:color w:val="000000"/>
              </w:rPr>
              <w:t xml:space="preserve">— </w:t>
            </w:r>
            <w:r>
              <w:rPr>
                <w:color w:val="000000"/>
              </w:rPr>
              <w:t>Федерального закона от 18.07.2011 № 223-ФЗ</w:t>
            </w:r>
          </w:p>
        </w:tc>
      </w:tr>
      <w:tr>
        <w:trPr/>
        <w:tc>
          <w:tcPr>
            <w:tcW w:w="2537" w:type="dxa"/>
            <w:tcBorders>
              <w:top w:val="single" w:sz="6" w:space="0" w:color="000000"/>
              <w:left w:val="single" w:sz="6" w:space="0" w:color="000000"/>
              <w:bottom w:val="single" w:sz="6" w:space="0" w:color="000000"/>
              <w:right w:val="single" w:sz="6" w:space="0" w:color="000000"/>
            </w:tcBorders>
          </w:tcPr>
          <w:p>
            <w:pPr>
              <w:pStyle w:val="Normal"/>
              <w:numPr>
                <w:ilvl w:val="0"/>
                <w:numId w:val="0"/>
              </w:numPr>
              <w:ind w:hanging="0" w:left="-142" w:right="-164"/>
              <w:jc w:val="center"/>
              <w:outlineLvl w:val="0"/>
              <w:rPr>
                <w:b/>
                <w:bCs/>
              </w:rPr>
            </w:pPr>
            <w:r>
              <w:rPr>
                <w:b/>
                <w:bCs/>
              </w:rPr>
              <w:t>Обоснование невозможности</w:t>
            </w:r>
          </w:p>
          <w:p>
            <w:pPr>
              <w:pStyle w:val="Normal"/>
              <w:numPr>
                <w:ilvl w:val="0"/>
                <w:numId w:val="0"/>
              </w:numPr>
              <w:ind w:hanging="0" w:left="-142" w:right="-164"/>
              <w:jc w:val="center"/>
              <w:outlineLvl w:val="0"/>
              <w:rPr>
                <w:b/>
                <w:bCs/>
              </w:rPr>
            </w:pPr>
            <w:r>
              <w:rPr>
                <w:b/>
                <w:bCs/>
              </w:rPr>
              <w:t>поставить</w:t>
            </w:r>
          </w:p>
          <w:p>
            <w:pPr>
              <w:pStyle w:val="Normal"/>
              <w:numPr>
                <w:ilvl w:val="0"/>
                <w:numId w:val="0"/>
              </w:numPr>
              <w:ind w:hanging="0" w:left="-142" w:right="-164"/>
              <w:jc w:val="center"/>
              <w:outlineLvl w:val="0"/>
              <w:rPr>
                <w:b/>
                <w:bCs/>
              </w:rPr>
            </w:pPr>
            <w:r>
              <w:rPr>
                <w:b/>
                <w:bCs/>
              </w:rPr>
              <w:t xml:space="preserve"> </w:t>
            </w:r>
            <w:r>
              <w:rPr>
                <w:b/>
                <w:bCs/>
              </w:rPr>
              <w:t>эквивалентное ПО</w:t>
            </w:r>
          </w:p>
          <w:p>
            <w:pPr>
              <w:pStyle w:val="Normal"/>
              <w:rPr>
                <w:b/>
                <w:bCs/>
              </w:rPr>
            </w:pPr>
            <w:r>
              <w:rPr>
                <w:b/>
                <w:bCs/>
              </w:rPr>
            </w:r>
          </w:p>
        </w:tc>
        <w:tc>
          <w:tcPr>
            <w:tcW w:w="7327" w:type="dxa"/>
            <w:tcBorders>
              <w:top w:val="single" w:sz="6" w:space="0" w:color="000000"/>
              <w:left w:val="single" w:sz="6" w:space="0" w:color="000000"/>
              <w:bottom w:val="single" w:sz="6" w:space="0" w:color="000000"/>
              <w:right w:val="single" w:sz="6" w:space="0" w:color="000000"/>
            </w:tcBorders>
          </w:tcPr>
          <w:p>
            <w:pPr>
              <w:pStyle w:val="Normal"/>
              <w:numPr>
                <w:ilvl w:val="0"/>
                <w:numId w:val="0"/>
              </w:numPr>
              <w:ind w:firstLine="210" w:left="0" w:right="-164"/>
              <w:jc w:val="center"/>
              <w:outlineLvl w:val="0"/>
              <w:rPr/>
            </w:pPr>
            <w:r>
              <w:rPr>
                <w:b/>
                <w:bCs/>
                <w:color w:val="222222"/>
                <w:shd w:fill="FFFFFF" w:val="clear"/>
              </w:rPr>
              <w:t>Так как предметом закупки является </w:t>
            </w:r>
            <w:r>
              <w:rPr>
                <w:b/>
                <w:bCs/>
                <w:color w:val="222222"/>
                <w:u w:val="single"/>
                <w:shd w:fill="FFFFFF" w:val="clear"/>
              </w:rPr>
              <w:t>продление неисключительных прав</w:t>
            </w:r>
            <w:r>
              <w:rPr>
                <w:b/>
                <w:bCs/>
                <w:color w:val="222222"/>
                <w:shd w:fill="FFFFFF" w:val="clear"/>
              </w:rPr>
              <w:t xml:space="preserve">, уже используемых Государственным заказчиком баз данных Системы Госзаказ, </w:t>
            </w:r>
            <w:r>
              <w:rPr>
                <w:b/>
                <w:bCs/>
              </w:rPr>
              <w:t>предоставление эквивалента не предусмотрено.</w:t>
            </w:r>
          </w:p>
        </w:tc>
      </w:tr>
      <w:tr>
        <w:trPr>
          <w:trHeight w:val="468" w:hRule="atLeast"/>
        </w:trPr>
        <w:tc>
          <w:tcPr>
            <w:tcW w:w="2537" w:type="dxa"/>
            <w:tcBorders>
              <w:top w:val="single" w:sz="6" w:space="0" w:color="000000"/>
              <w:left w:val="single" w:sz="6" w:space="0" w:color="000000"/>
              <w:bottom w:val="single" w:sz="6" w:space="0" w:color="000000"/>
              <w:right w:val="single" w:sz="6" w:space="0" w:color="000000"/>
            </w:tcBorders>
          </w:tcPr>
          <w:p>
            <w:pPr>
              <w:pStyle w:val="Normal"/>
              <w:rPr>
                <w:b/>
                <w:bCs/>
                <w:color w:val="000000"/>
              </w:rPr>
            </w:pPr>
            <w:r>
              <w:rPr>
                <w:b/>
                <w:bCs/>
                <w:color w:val="000000"/>
              </w:rPr>
              <w:t>Состав объекта закупки</w:t>
            </w:r>
          </w:p>
        </w:tc>
        <w:tc>
          <w:tcPr>
            <w:tcW w:w="7327" w:type="dxa"/>
            <w:tcBorders>
              <w:top w:val="single" w:sz="6" w:space="0" w:color="000000"/>
              <w:left w:val="single" w:sz="6" w:space="0" w:color="000000"/>
              <w:bottom w:val="single" w:sz="6" w:space="0" w:color="000000"/>
              <w:right w:val="single" w:sz="6" w:space="0" w:color="000000"/>
            </w:tcBorders>
          </w:tcPr>
          <w:p>
            <w:pPr>
              <w:pStyle w:val="ConsPlusNormal1"/>
              <w:widowControl/>
              <w:spacing w:before="0" w:after="0"/>
              <w:ind w:right="-143"/>
              <w:contextualSpacing/>
              <w:rPr>
                <w:rFonts w:ascii="Times New Roman" w:hAnsi="Times New Roman" w:cs="Times New Roman"/>
                <w:b/>
                <w:bCs/>
                <w:sz w:val="24"/>
                <w:szCs w:val="24"/>
              </w:rPr>
            </w:pPr>
            <w:r>
              <w:rPr>
                <w:rFonts w:cs="Times New Roman" w:ascii="Times New Roman" w:hAnsi="Times New Roman"/>
                <w:b/>
                <w:bCs/>
                <w:sz w:val="24"/>
                <w:szCs w:val="24"/>
              </w:rPr>
              <w:t>База данных должна содержать следующую информацию:</w:t>
            </w:r>
          </w:p>
          <w:p>
            <w:pPr>
              <w:pStyle w:val="Normal"/>
              <w:numPr>
                <w:ilvl w:val="0"/>
                <w:numId w:val="7"/>
              </w:numPr>
              <w:rPr/>
            </w:pPr>
            <w:r>
              <w:rPr/>
              <w:t xml:space="preserve">Федеральные и региональные нормативно-правовые документы, нормативно-правовые акты (законы, постановления, распоряжения Правительства РФ, приказы ФОИВ и прочих ведомств, регламентирующие деятельность заказчиков </w:t>
            </w:r>
            <w:r>
              <w:rPr>
                <w:color w:val="000000"/>
                <w:shd w:fill="FFFFFF" w:val="clear"/>
              </w:rPr>
              <w:t>в сфере закупок;</w:t>
            </w:r>
            <w:r>
              <w:rPr/>
              <w:t xml:space="preserve"> административную практику контрольных и надзорных органов, Минэкономразвития, ФАС, Счетной палаты, Минфина и т.д); судебную практику по процедурам определения поставщиков (подрядчиков, исполнителей), заключению и  исполнению контрактов (договоров), применения мер ответственности сторон; письма и информационные сообщения федеральных органов исполнительной власти; технические регламенты, российские ГОСТы, и другие нормативные документы системы стандартизации, используемых для описания предмета  закупок, а также иные нормативно правовые документы и акты, действующие на территории РФ — в количестве не менее 95 млн штук.</w:t>
            </w:r>
          </w:p>
          <w:p>
            <w:pPr>
              <w:pStyle w:val="Normal"/>
              <w:numPr>
                <w:ilvl w:val="0"/>
                <w:numId w:val="7"/>
              </w:numPr>
              <w:rPr/>
            </w:pPr>
            <w:r>
              <w:rPr/>
              <w:t>Материалы экспертов, пошаговые инструкции (алгоритмы действий), методические материалы, анализ практики по вопросам государственных и корпоративных закупок. Ежедневно пополняемый и актуализируемый раздел.</w:t>
            </w:r>
          </w:p>
          <w:p>
            <w:pPr>
              <w:pStyle w:val="Normal"/>
              <w:numPr>
                <w:ilvl w:val="0"/>
                <w:numId w:val="7"/>
              </w:numPr>
              <w:rPr/>
            </w:pPr>
            <w:r>
              <w:rPr/>
              <w:t xml:space="preserve">Шаблоны документов по закупкам от планирования до отчетности — в количестве не менее 5000 штук </w:t>
            </w:r>
            <w:r>
              <w:rPr>
                <w:color w:val="000000"/>
              </w:rPr>
              <w:t>(число документов в разделах может меняться с учетом их актуализации)</w:t>
            </w:r>
            <w:r>
              <w:rPr/>
              <w:t>, в том числе:</w:t>
            </w:r>
          </w:p>
          <w:p>
            <w:pPr>
              <w:pStyle w:val="11"/>
              <w:widowControl w:val="false"/>
              <w:spacing w:before="0" w:after="0"/>
              <w:contextualSpacing w:val="false"/>
              <w:rPr>
                <w:sz w:val="24"/>
                <w:szCs w:val="24"/>
              </w:rPr>
            </w:pPr>
            <w:r>
              <w:rPr>
                <w:sz w:val="24"/>
                <w:szCs w:val="24"/>
              </w:rPr>
              <w:t xml:space="preserve">— </w:t>
            </w:r>
            <w:r>
              <w:rPr>
                <w:sz w:val="24"/>
                <w:szCs w:val="24"/>
              </w:rPr>
              <w:t>планы закупок;</w:t>
            </w:r>
          </w:p>
          <w:p>
            <w:pPr>
              <w:pStyle w:val="11"/>
              <w:widowControl w:val="false"/>
              <w:spacing w:before="0" w:after="0"/>
              <w:contextualSpacing w:val="false"/>
              <w:rPr>
                <w:sz w:val="24"/>
                <w:szCs w:val="24"/>
              </w:rPr>
            </w:pPr>
            <w:r>
              <w:rPr>
                <w:sz w:val="24"/>
                <w:szCs w:val="24"/>
              </w:rPr>
              <w:t xml:space="preserve">— </w:t>
            </w:r>
            <w:r>
              <w:rPr>
                <w:sz w:val="24"/>
                <w:szCs w:val="24"/>
              </w:rPr>
              <w:t>планы-графики закупок;</w:t>
            </w:r>
          </w:p>
          <w:p>
            <w:pPr>
              <w:pStyle w:val="11"/>
              <w:widowControl w:val="false"/>
              <w:spacing w:before="0" w:after="0"/>
              <w:contextualSpacing w:val="false"/>
              <w:rPr>
                <w:sz w:val="24"/>
                <w:szCs w:val="24"/>
              </w:rPr>
            </w:pPr>
            <w:r>
              <w:rPr>
                <w:sz w:val="24"/>
                <w:szCs w:val="24"/>
              </w:rPr>
              <w:t xml:space="preserve">— </w:t>
            </w:r>
            <w:r>
              <w:rPr>
                <w:sz w:val="24"/>
                <w:szCs w:val="24"/>
              </w:rPr>
              <w:t>положения о закупках;</w:t>
              <w:br/>
              <w:t>— приказы по закупкам;</w:t>
              <w:br/>
              <w:t>— обоснования;</w:t>
            </w:r>
          </w:p>
          <w:p>
            <w:pPr>
              <w:pStyle w:val="11"/>
              <w:widowControl w:val="false"/>
              <w:spacing w:before="0" w:after="0"/>
              <w:contextualSpacing w:val="false"/>
              <w:rPr>
                <w:sz w:val="24"/>
                <w:szCs w:val="24"/>
              </w:rPr>
            </w:pPr>
            <w:r>
              <w:rPr>
                <w:sz w:val="24"/>
                <w:szCs w:val="24"/>
              </w:rPr>
              <w:t xml:space="preserve">— </w:t>
            </w:r>
            <w:r>
              <w:rPr>
                <w:sz w:val="24"/>
                <w:szCs w:val="24"/>
              </w:rPr>
              <w:t>технические задания;</w:t>
            </w:r>
          </w:p>
          <w:p>
            <w:pPr>
              <w:pStyle w:val="11"/>
              <w:widowControl w:val="false"/>
              <w:spacing w:before="0" w:after="0"/>
              <w:contextualSpacing w:val="false"/>
              <w:rPr>
                <w:sz w:val="24"/>
                <w:szCs w:val="24"/>
              </w:rPr>
            </w:pPr>
            <w:r>
              <w:rPr>
                <w:sz w:val="24"/>
                <w:szCs w:val="24"/>
              </w:rPr>
              <w:t xml:space="preserve">— </w:t>
            </w:r>
            <w:r>
              <w:rPr>
                <w:sz w:val="24"/>
                <w:szCs w:val="24"/>
              </w:rPr>
              <w:t>извещения и документацию о закупках;</w:t>
            </w:r>
          </w:p>
          <w:p>
            <w:pPr>
              <w:pStyle w:val="11"/>
              <w:widowControl w:val="false"/>
              <w:spacing w:before="0" w:after="0"/>
              <w:contextualSpacing w:val="false"/>
              <w:rPr>
                <w:sz w:val="24"/>
                <w:szCs w:val="24"/>
              </w:rPr>
            </w:pPr>
            <w:r>
              <w:rPr>
                <w:sz w:val="24"/>
                <w:szCs w:val="24"/>
              </w:rPr>
              <w:t xml:space="preserve">— </w:t>
            </w:r>
            <w:r>
              <w:rPr>
                <w:sz w:val="24"/>
                <w:szCs w:val="24"/>
              </w:rPr>
              <w:t>протоколы;</w:t>
              <w:br/>
              <w:t>— проекты контрактов;</w:t>
              <w:br/>
              <w:t>— типовые контракты;</w:t>
              <w:br/>
              <w:t>— проекты договоров;</w:t>
            </w:r>
          </w:p>
          <w:p>
            <w:pPr>
              <w:pStyle w:val="11"/>
              <w:widowControl w:val="false"/>
              <w:spacing w:before="0" w:after="0"/>
              <w:contextualSpacing w:val="false"/>
              <w:rPr>
                <w:sz w:val="24"/>
                <w:szCs w:val="24"/>
              </w:rPr>
            </w:pPr>
            <w:r>
              <w:rPr>
                <w:sz w:val="24"/>
                <w:szCs w:val="24"/>
              </w:rPr>
              <w:t xml:space="preserve">— </w:t>
            </w:r>
            <w:r>
              <w:rPr>
                <w:sz w:val="24"/>
                <w:szCs w:val="24"/>
              </w:rPr>
              <w:t>соглашения;</w:t>
            </w:r>
          </w:p>
          <w:p>
            <w:pPr>
              <w:pStyle w:val="11"/>
              <w:widowControl w:val="false"/>
              <w:spacing w:before="0" w:after="0"/>
              <w:contextualSpacing w:val="false"/>
              <w:rPr>
                <w:sz w:val="24"/>
                <w:szCs w:val="24"/>
              </w:rPr>
            </w:pPr>
            <w:r>
              <w:rPr>
                <w:sz w:val="24"/>
                <w:szCs w:val="24"/>
              </w:rPr>
              <w:t xml:space="preserve">— </w:t>
            </w:r>
            <w:r>
              <w:rPr>
                <w:sz w:val="24"/>
                <w:szCs w:val="24"/>
              </w:rPr>
              <w:t>регламенты работы и взаимодействия;</w:t>
            </w:r>
          </w:p>
          <w:p>
            <w:pPr>
              <w:pStyle w:val="11"/>
              <w:widowControl w:val="false"/>
              <w:spacing w:before="0" w:after="0"/>
              <w:contextualSpacing w:val="false"/>
              <w:rPr>
                <w:sz w:val="24"/>
                <w:szCs w:val="24"/>
              </w:rPr>
            </w:pPr>
            <w:r>
              <w:rPr>
                <w:sz w:val="24"/>
                <w:szCs w:val="24"/>
              </w:rPr>
              <w:t xml:space="preserve">— </w:t>
            </w:r>
            <w:r>
              <w:rPr>
                <w:sz w:val="24"/>
                <w:szCs w:val="24"/>
              </w:rPr>
              <w:t>положения о структурных подразделениях;</w:t>
              <w:br/>
              <w:t>— должностные инструкции;</w:t>
              <w:br/>
              <w:t>— претензии;</w:t>
            </w:r>
          </w:p>
          <w:p>
            <w:pPr>
              <w:pStyle w:val="11"/>
              <w:widowControl w:val="false"/>
              <w:spacing w:before="0" w:after="0"/>
              <w:contextualSpacing w:val="false"/>
              <w:rPr>
                <w:sz w:val="24"/>
                <w:szCs w:val="24"/>
              </w:rPr>
            </w:pPr>
            <w:r>
              <w:rPr>
                <w:sz w:val="24"/>
                <w:szCs w:val="24"/>
              </w:rPr>
              <w:t xml:space="preserve">— </w:t>
            </w:r>
            <w:r>
              <w:rPr>
                <w:sz w:val="24"/>
                <w:szCs w:val="24"/>
              </w:rPr>
              <w:t>жалобы;</w:t>
              <w:br/>
              <w:t>— уведомления;</w:t>
              <w:br/>
              <w:t>— акты;</w:t>
            </w:r>
          </w:p>
          <w:p>
            <w:pPr>
              <w:pStyle w:val="11"/>
              <w:widowControl w:val="false"/>
              <w:spacing w:before="0" w:after="0"/>
              <w:contextualSpacing w:val="false"/>
              <w:rPr>
                <w:sz w:val="24"/>
                <w:szCs w:val="24"/>
              </w:rPr>
            </w:pPr>
            <w:r>
              <w:rPr>
                <w:sz w:val="24"/>
                <w:szCs w:val="24"/>
              </w:rPr>
              <w:t xml:space="preserve">— </w:t>
            </w:r>
            <w:r>
              <w:rPr>
                <w:sz w:val="24"/>
                <w:szCs w:val="24"/>
              </w:rPr>
              <w:t>отчеты;</w:t>
              <w:br/>
              <w:t>— письма, запросы и иные документы по закупкам.</w:t>
            </w:r>
          </w:p>
          <w:p>
            <w:pPr>
              <w:pStyle w:val="Normal"/>
              <w:numPr>
                <w:ilvl w:val="0"/>
                <w:numId w:val="7"/>
              </w:numPr>
              <w:rPr/>
            </w:pPr>
            <w:r>
              <w:rPr/>
              <w:t xml:space="preserve"> </w:t>
            </w:r>
            <w:r>
              <w:rPr/>
              <w:t>Справочные материалы, информацию по закупкам в таблицах и списках, с переходами на актуальное законодательство — в количестве не менее 500 штук.</w:t>
            </w:r>
          </w:p>
          <w:p>
            <w:pPr>
              <w:pStyle w:val="Normal"/>
              <w:numPr>
                <w:ilvl w:val="0"/>
                <w:numId w:val="7"/>
              </w:numPr>
              <w:rPr/>
            </w:pPr>
            <w:r>
              <w:rPr/>
              <w:t>Электронные версии специализированных периодических изданий по закупкам — не менее 4 штук.</w:t>
            </w:r>
          </w:p>
          <w:p>
            <w:pPr>
              <w:pStyle w:val="Normal"/>
              <w:numPr>
                <w:ilvl w:val="0"/>
                <w:numId w:val="7"/>
              </w:numPr>
              <w:rPr/>
            </w:pPr>
            <w:r>
              <w:rPr/>
              <w:t>Электронные версии специализированных периодических изданий по практике судов, ведомств и учету в учреждениях — не менее 3 штук.</w:t>
            </w:r>
          </w:p>
          <w:p>
            <w:pPr>
              <w:pStyle w:val="Normal"/>
              <w:numPr>
                <w:ilvl w:val="0"/>
                <w:numId w:val="7"/>
              </w:numPr>
              <w:rPr/>
            </w:pPr>
            <w:r>
              <w:rPr/>
              <w:t>Электронные версии книг по вопросам учета в учреждениях — не менее 3 штук.</w:t>
            </w:r>
          </w:p>
          <w:p>
            <w:pPr>
              <w:pStyle w:val="Normal"/>
              <w:numPr>
                <w:ilvl w:val="0"/>
                <w:numId w:val="7"/>
              </w:numPr>
              <w:rPr/>
            </w:pPr>
            <w:r>
              <w:rPr/>
              <w:t>Расчетчики:</w:t>
              <w:br/>
              <w:t>— начальной (максимальной) цены контракта;</w:t>
            </w:r>
          </w:p>
          <w:p>
            <w:pPr>
              <w:pStyle w:val="11"/>
              <w:widowControl w:val="false"/>
              <w:spacing w:before="0" w:after="0"/>
              <w:contextualSpacing w:val="false"/>
              <w:rPr>
                <w:sz w:val="24"/>
                <w:szCs w:val="24"/>
              </w:rPr>
            </w:pPr>
            <w:r>
              <w:rPr>
                <w:sz w:val="24"/>
                <w:szCs w:val="24"/>
              </w:rPr>
              <w:t xml:space="preserve">      — </w:t>
            </w:r>
            <w:r>
              <w:rPr>
                <w:sz w:val="24"/>
                <w:szCs w:val="24"/>
              </w:rPr>
              <w:t>обеспечения заявки;</w:t>
            </w:r>
          </w:p>
          <w:p>
            <w:pPr>
              <w:pStyle w:val="11"/>
              <w:rPr/>
            </w:pPr>
            <w:r>
              <w:rPr>
                <w:sz w:val="24"/>
                <w:szCs w:val="24"/>
              </w:rPr>
              <w:t xml:space="preserve">      — </w:t>
            </w:r>
            <w:r>
              <w:rPr>
                <w:color w:val="000000"/>
                <w:sz w:val="24"/>
                <w:szCs w:val="24"/>
              </w:rPr>
              <w:t>объема закупок</w:t>
            </w:r>
          </w:p>
          <w:p>
            <w:pPr>
              <w:pStyle w:val="11"/>
              <w:rPr/>
            </w:pPr>
            <w:r>
              <w:rPr>
                <w:color w:val="000000"/>
                <w:sz w:val="24"/>
                <w:szCs w:val="24"/>
              </w:rPr>
              <w:t xml:space="preserve">      </w:t>
            </w:r>
            <w:r>
              <w:rPr>
                <w:sz w:val="24"/>
                <w:szCs w:val="24"/>
              </w:rPr>
              <w:t xml:space="preserve">— </w:t>
            </w:r>
            <w:r>
              <w:rPr>
                <w:color w:val="000000"/>
                <w:sz w:val="24"/>
                <w:szCs w:val="24"/>
              </w:rPr>
              <w:t>сроков закупки;</w:t>
            </w:r>
          </w:p>
          <w:p>
            <w:pPr>
              <w:pStyle w:val="11"/>
              <w:rPr/>
            </w:pPr>
            <w:r>
              <w:rPr>
                <w:color w:val="000000"/>
                <w:sz w:val="24"/>
                <w:szCs w:val="24"/>
              </w:rPr>
              <w:t xml:space="preserve">      </w:t>
            </w:r>
            <w:r>
              <w:rPr>
                <w:sz w:val="24"/>
                <w:szCs w:val="24"/>
              </w:rPr>
              <w:t>—</w:t>
            </w:r>
            <w:r>
              <w:rPr>
                <w:color w:val="000000"/>
                <w:sz w:val="24"/>
                <w:szCs w:val="24"/>
                <w:lang w:val="en-US"/>
              </w:rPr>
              <w:t xml:space="preserve"> </w:t>
            </w:r>
            <w:r>
              <w:rPr>
                <w:color w:val="000000"/>
                <w:sz w:val="24"/>
                <w:szCs w:val="24"/>
              </w:rPr>
              <w:t>неустойки.</w:t>
            </w:r>
          </w:p>
          <w:p>
            <w:pPr>
              <w:pStyle w:val="11"/>
              <w:widowControl w:val="false"/>
              <w:numPr>
                <w:ilvl w:val="0"/>
                <w:numId w:val="7"/>
              </w:numPr>
              <w:spacing w:before="0" w:after="0"/>
              <w:contextualSpacing w:val="false"/>
              <w:rPr>
                <w:sz w:val="24"/>
                <w:szCs w:val="24"/>
              </w:rPr>
            </w:pPr>
            <w:r>
              <w:rPr>
                <w:sz w:val="24"/>
                <w:szCs w:val="24"/>
              </w:rPr>
              <w:t>Сервис онлайн-помощников и «консультация экспертов».</w:t>
            </w:r>
          </w:p>
          <w:p>
            <w:pPr>
              <w:pStyle w:val="11"/>
              <w:widowControl w:val="false"/>
              <w:numPr>
                <w:ilvl w:val="0"/>
                <w:numId w:val="7"/>
              </w:numPr>
              <w:spacing w:before="0" w:after="0"/>
              <w:contextualSpacing w:val="false"/>
              <w:rPr>
                <w:sz w:val="24"/>
                <w:szCs w:val="24"/>
              </w:rPr>
            </w:pPr>
            <w:r>
              <w:rPr>
                <w:color w:val="000000"/>
                <w:sz w:val="24"/>
                <w:szCs w:val="24"/>
              </w:rPr>
              <w:t>Сервис Быстрые ответы.</w:t>
            </w:r>
          </w:p>
          <w:p>
            <w:pPr>
              <w:pStyle w:val="11"/>
              <w:widowControl w:val="false"/>
              <w:numPr>
                <w:ilvl w:val="0"/>
                <w:numId w:val="7"/>
              </w:numPr>
              <w:spacing w:before="0" w:after="0"/>
              <w:contextualSpacing w:val="false"/>
              <w:rPr>
                <w:sz w:val="24"/>
                <w:szCs w:val="24"/>
              </w:rPr>
            </w:pPr>
            <w:r>
              <w:rPr>
                <w:sz w:val="24"/>
                <w:szCs w:val="24"/>
              </w:rPr>
              <w:t>Видеоматериалы в количестве не менее 12 штук ежегодно.</w:t>
            </w:r>
          </w:p>
          <w:p>
            <w:pPr>
              <w:pStyle w:val="11"/>
              <w:widowControl w:val="false"/>
              <w:numPr>
                <w:ilvl w:val="0"/>
                <w:numId w:val="7"/>
              </w:numPr>
              <w:spacing w:before="0" w:after="0"/>
              <w:contextualSpacing w:val="false"/>
              <w:rPr>
                <w:sz w:val="24"/>
                <w:szCs w:val="24"/>
              </w:rPr>
            </w:pPr>
            <w:r>
              <w:rPr>
                <w:sz w:val="24"/>
                <w:szCs w:val="24"/>
              </w:rPr>
              <w:t>Сервисы для Поставщика.</w:t>
            </w:r>
          </w:p>
          <w:p>
            <w:pPr>
              <w:pStyle w:val="Style28"/>
              <w:widowControl w:val="false"/>
              <w:numPr>
                <w:ilvl w:val="0"/>
                <w:numId w:val="7"/>
              </w:numPr>
              <w:spacing w:before="0" w:after="0"/>
              <w:ind w:hanging="360" w:left="360" w:right="0"/>
              <w:contextualSpacing w:val="false"/>
              <w:rPr>
                <w:color w:val="000000"/>
              </w:rPr>
            </w:pPr>
            <w:r>
              <w:rPr>
                <w:color w:val="000000"/>
              </w:rPr>
              <w:t>Сервис «Ассистент заказчика», в том числе, но не ограничиваясь:</w:t>
            </w:r>
          </w:p>
          <w:p>
            <w:pPr>
              <w:pStyle w:val="Normal"/>
              <w:widowControl w:val="false"/>
              <w:ind w:left="360" w:right="0"/>
              <w:rPr>
                <w:color w:val="000000"/>
              </w:rPr>
            </w:pPr>
            <w:r>
              <w:rPr>
                <w:color w:val="000000"/>
              </w:rPr>
              <w:t>- справочник ЕСКЛП;</w:t>
            </w:r>
          </w:p>
          <w:p>
            <w:pPr>
              <w:pStyle w:val="Normal"/>
              <w:widowControl w:val="false"/>
              <w:ind w:left="360" w:right="0"/>
              <w:rPr>
                <w:color w:val="000000"/>
              </w:rPr>
            </w:pPr>
            <w:r>
              <w:rPr>
                <w:color w:val="000000"/>
              </w:rPr>
              <w:t>- подбор документов из ЕИС;</w:t>
            </w:r>
          </w:p>
          <w:p>
            <w:pPr>
              <w:pStyle w:val="Normal"/>
              <w:widowControl w:val="false"/>
              <w:ind w:left="360" w:right="0"/>
              <w:rPr>
                <w:color w:val="000000"/>
              </w:rPr>
            </w:pPr>
            <w:r>
              <w:rPr>
                <w:color w:val="000000"/>
              </w:rPr>
              <w:t>- справочник КВР-КОСГУ.</w:t>
            </w:r>
          </w:p>
          <w:p>
            <w:pPr>
              <w:pStyle w:val="11"/>
              <w:widowControl w:val="false"/>
              <w:numPr>
                <w:ilvl w:val="0"/>
                <w:numId w:val="7"/>
              </w:numPr>
              <w:spacing w:before="0" w:after="0"/>
              <w:contextualSpacing w:val="false"/>
              <w:rPr>
                <w:sz w:val="24"/>
                <w:szCs w:val="24"/>
              </w:rPr>
            </w:pPr>
            <w:r>
              <w:rPr>
                <w:sz w:val="24"/>
                <w:szCs w:val="24"/>
              </w:rPr>
              <w:t>Подготовка документов по перечню.</w:t>
            </w:r>
          </w:p>
          <w:p>
            <w:pPr>
              <w:pStyle w:val="11"/>
              <w:widowControl w:val="false"/>
              <w:numPr>
                <w:ilvl w:val="0"/>
                <w:numId w:val="7"/>
              </w:numPr>
              <w:spacing w:before="0" w:after="0"/>
              <w:contextualSpacing w:val="false"/>
              <w:rPr>
                <w:sz w:val="24"/>
                <w:szCs w:val="24"/>
              </w:rPr>
            </w:pPr>
            <w:r>
              <w:rPr>
                <w:sz w:val="24"/>
                <w:szCs w:val="24"/>
              </w:rPr>
              <w:t>Проверка данных по перечню.</w:t>
            </w:r>
          </w:p>
          <w:p>
            <w:pPr>
              <w:pStyle w:val="11"/>
              <w:rPr>
                <w:sz w:val="24"/>
                <w:szCs w:val="24"/>
              </w:rPr>
            </w:pPr>
            <w:r>
              <w:rPr>
                <w:sz w:val="24"/>
                <w:szCs w:val="24"/>
              </w:rPr>
            </w:r>
          </w:p>
          <w:p>
            <w:pPr>
              <w:pStyle w:val="11"/>
              <w:rPr>
                <w:b/>
                <w:bCs/>
                <w:color w:val="000000"/>
                <w:sz w:val="24"/>
                <w:szCs w:val="24"/>
              </w:rPr>
            </w:pPr>
            <w:r>
              <w:rPr>
                <w:b/>
                <w:bCs/>
                <w:color w:val="000000"/>
                <w:sz w:val="24"/>
                <w:szCs w:val="24"/>
              </w:rPr>
              <w:t>Число документов в разделах может меняться с учетом их актуализации.</w:t>
            </w:r>
          </w:p>
          <w:p>
            <w:pPr>
              <w:pStyle w:val="Style34"/>
              <w:rPr/>
            </w:pPr>
            <w:r>
              <w:rPr>
                <w:rFonts w:cs="Times New Roman" w:ascii="Times New Roman" w:hAnsi="Times New Roman"/>
                <w:b/>
                <w:sz w:val="24"/>
                <w:szCs w:val="24"/>
                <w:lang w:val="ru-RU"/>
              </w:rPr>
              <w:t>База данных должна содержать материалы по следующим тематикам:</w:t>
            </w:r>
            <w:r>
              <w:rPr>
                <w:rFonts w:cs="Times New Roman" w:ascii="Times New Roman" w:hAnsi="Times New Roman"/>
                <w:sz w:val="24"/>
                <w:szCs w:val="24"/>
                <w:lang w:val="ru-RU"/>
              </w:rPr>
              <w:br/>
              <w:t>— Нормирование;</w:t>
              <w:br/>
              <w:t>— Планирование: планы-графики закупок для федеральных, региональных и муниципальных заказчиков по 44-ФЗ и планы закупок по 223-ФЗ;</w:t>
            </w:r>
          </w:p>
          <w:p>
            <w:pPr>
              <w:pStyle w:val="Style34"/>
              <w:rPr>
                <w:rFonts w:ascii="Times New Roman" w:hAnsi="Times New Roman" w:cs="Times New Roman"/>
                <w:sz w:val="24"/>
                <w:szCs w:val="24"/>
                <w:lang w:val="ru-RU"/>
              </w:rPr>
            </w:pPr>
            <w:r>
              <w:rPr>
                <w:rFonts w:cs="Times New Roman" w:ascii="Times New Roman" w:hAnsi="Times New Roman"/>
                <w:sz w:val="24"/>
                <w:szCs w:val="24"/>
                <w:lang w:val="ru-RU"/>
              </w:rPr>
              <w:t>Организация закупок по 44-ФЗ:</w:t>
            </w:r>
          </w:p>
          <w:p>
            <w:pPr>
              <w:pStyle w:val="Style34"/>
              <w:rPr>
                <w:rFonts w:ascii="Times New Roman" w:hAnsi="Times New Roman" w:cs="Times New Roman"/>
                <w:sz w:val="24"/>
                <w:szCs w:val="24"/>
                <w:lang w:val="ru-RU"/>
              </w:rPr>
            </w:pPr>
            <w:r>
              <w:rPr>
                <w:rFonts w:cs="Times New Roman" w:ascii="Times New Roman" w:hAnsi="Times New Roman"/>
                <w:sz w:val="24"/>
                <w:szCs w:val="24"/>
                <w:lang w:val="ru-RU"/>
              </w:rPr>
              <w:t>—</w:t>
            </w:r>
            <w:r>
              <w:rPr>
                <w:rFonts w:eastAsia="Times New Roman" w:cs="Times New Roman" w:ascii="Times New Roman" w:hAnsi="Times New Roman"/>
                <w:sz w:val="24"/>
                <w:szCs w:val="24"/>
                <w:lang w:val="ru-RU"/>
              </w:rPr>
              <w:t xml:space="preserve"> </w:t>
            </w:r>
            <w:r>
              <w:rPr>
                <w:rFonts w:cs="Times New Roman" w:ascii="Times New Roman" w:hAnsi="Times New Roman"/>
                <w:sz w:val="24"/>
                <w:szCs w:val="24"/>
                <w:lang w:val="ru-RU"/>
              </w:rPr>
              <w:t>Требования к заказчику, участникам, обеспечению заявок и исполнению контрактов,</w:t>
              <w:br/>
              <w:t>— Описание объекта закупки/ подготовка технического задания;</w:t>
              <w:br/>
              <w:t>— Подготовка извещения о закупке;</w:t>
              <w:br/>
              <w:t>— Антидемпинговые меры;</w:t>
              <w:br/>
              <w:t>— Национальный режим;</w:t>
              <w:br/>
              <w:t>— Преимущества и ограничения;</w:t>
              <w:br/>
              <w:t>— Отмена закупки.</w:t>
              <w:br/>
              <w:br/>
              <w:t>Организация закупок по 223-ФЗ:</w:t>
              <w:br/>
              <w:t>— Общие принципы и положения;</w:t>
              <w:br/>
              <w:t>— Положение о закупках;</w:t>
              <w:br/>
              <w:t>— Подготовка информации и документации о закупке;</w:t>
              <w:br/>
              <w:t>— Национальный режим;</w:t>
              <w:br/>
              <w:t>— Закупки бюджетных организаций;</w:t>
              <w:br/>
              <w:t>— Участие субъектов малого и среднего предпринимательства.</w:t>
              <w:br/>
              <w:br/>
              <w:t>Коды в закупках (ИКЗ, ОКПД2, Код объекта закупки и т.п.)</w:t>
              <w:br/>
              <w:t xml:space="preserve">Организация работы по закупкам: </w:t>
              <w:br/>
              <w:t>— Контрактная служба;</w:t>
              <w:br/>
              <w:t>— Комиссия по закупкам.</w:t>
              <w:br/>
              <w:t>Правила работы с системами закупок:</w:t>
              <w:br/>
              <w:t>— ЕИС;</w:t>
              <w:br/>
              <w:t>— Электронный бюджет;</w:t>
              <w:br/>
              <w:t>— Электронные площадки.</w:t>
              <w:br/>
              <w:t>Работа с уполномоченными органами.</w:t>
              <w:br/>
              <w:t>Работа со специализированными организациями</w:t>
              <w:br/>
              <w:t>Определение поставщика по Закону №44-ФЗ:</w:t>
              <w:br/>
              <w:t>— Закупки у единственного поставщика/Неконкурентные закупки;</w:t>
              <w:br/>
              <w:t>— Аукционы;</w:t>
              <w:br/>
              <w:t>— Конкурсы;</w:t>
              <w:br/>
              <w:t>— Запрос котировок;</w:t>
            </w:r>
          </w:p>
          <w:p>
            <w:pPr>
              <w:pStyle w:val="Style34"/>
              <w:rPr>
                <w:rFonts w:ascii="Times New Roman" w:hAnsi="Times New Roman" w:cs="Times New Roman"/>
                <w:sz w:val="24"/>
                <w:szCs w:val="24"/>
                <w:lang w:val="ru-RU"/>
              </w:rPr>
            </w:pPr>
            <w:r>
              <w:rPr>
                <w:rFonts w:cs="Times New Roman" w:ascii="Times New Roman" w:hAnsi="Times New Roman"/>
                <w:sz w:val="24"/>
                <w:szCs w:val="24"/>
                <w:lang w:val="ru-RU"/>
              </w:rPr>
              <w:t>—</w:t>
            </w:r>
            <w:r>
              <w:rPr>
                <w:rFonts w:eastAsia="Times New Roman" w:cs="Times New Roman" w:ascii="Times New Roman" w:hAnsi="Times New Roman"/>
                <w:sz w:val="24"/>
                <w:szCs w:val="24"/>
                <w:lang w:val="ru-RU"/>
              </w:rPr>
              <w:t xml:space="preserve"> </w:t>
            </w:r>
            <w:r>
              <w:rPr>
                <w:rFonts w:cs="Times New Roman" w:ascii="Times New Roman" w:hAnsi="Times New Roman"/>
                <w:sz w:val="24"/>
                <w:szCs w:val="24"/>
                <w:lang w:val="ru-RU"/>
              </w:rPr>
              <w:t>Совместные закупки;</w:t>
              <w:br/>
              <w:t>— Закрытые закупки.</w:t>
              <w:br/>
              <w:t>Определение поставщика по Закону №223-ФЗ/Рассмотрение и оценка заявок</w:t>
              <w:br/>
              <w:t>Оформление закупки по Закону №44-ФЗ: контракт:</w:t>
              <w:br/>
              <w:t>— Типовые контракты;</w:t>
              <w:br/>
              <w:t>— Контракты жизненного цикла;</w:t>
              <w:br/>
              <w:t>— Условия контрактов;</w:t>
              <w:br/>
              <w:t>— Заключение контракта;</w:t>
              <w:br/>
              <w:t>— Исполнение контракта;</w:t>
              <w:br/>
              <w:t>— Изменение контракта;</w:t>
              <w:br/>
              <w:t>— Расторжение контракта;</w:t>
            </w:r>
          </w:p>
          <w:p>
            <w:pPr>
              <w:pStyle w:val="Style34"/>
              <w:rPr>
                <w:rFonts w:ascii="Times New Roman" w:hAnsi="Times New Roman" w:cs="Times New Roman"/>
                <w:sz w:val="24"/>
                <w:szCs w:val="24"/>
                <w:lang w:val="ru-RU"/>
              </w:rPr>
            </w:pPr>
            <w:r>
              <w:rPr>
                <w:rFonts w:cs="Times New Roman" w:ascii="Times New Roman" w:hAnsi="Times New Roman"/>
                <w:sz w:val="24"/>
                <w:szCs w:val="24"/>
                <w:lang w:val="ru-RU"/>
              </w:rPr>
              <w:t>—</w:t>
            </w:r>
            <w:r>
              <w:rPr>
                <w:rFonts w:eastAsia="Times New Roman" w:cs="Times New Roman" w:ascii="Times New Roman" w:hAnsi="Times New Roman"/>
                <w:sz w:val="24"/>
                <w:szCs w:val="24"/>
                <w:lang w:val="ru-RU"/>
              </w:rPr>
              <w:t xml:space="preserve"> </w:t>
            </w:r>
            <w:r>
              <w:rPr>
                <w:rFonts w:cs="Times New Roman" w:ascii="Times New Roman" w:hAnsi="Times New Roman"/>
                <w:sz w:val="24"/>
                <w:szCs w:val="24"/>
                <w:lang w:val="ru-RU"/>
              </w:rPr>
              <w:t>Казначейское сопровождение;</w:t>
              <w:br/>
              <w:t>— Обеспечение исполнения;</w:t>
              <w:br/>
              <w:t>— Банковское сопровождение;</w:t>
              <w:br/>
              <w:t>— Штрафные санкции;</w:t>
              <w:br/>
              <w:t>— Реестр Контрактов.</w:t>
              <w:br/>
              <w:t>Оформление закупки по Закону №223-ФЗ: договор:</w:t>
              <w:br/>
              <w:t>— Заключение;</w:t>
              <w:br/>
              <w:t>— Особенности исполнения;</w:t>
              <w:br/>
              <w:t>— Изменение и расторжение.</w:t>
              <w:br/>
              <w:t>Исполнение и приемка</w:t>
              <w:br/>
              <w:t>Контроль:</w:t>
              <w:br/>
              <w:t>— Реестр недобросовестных поставщиков;</w:t>
              <w:br/>
              <w:t>— Плановые и внеплановые проверки;</w:t>
              <w:br/>
              <w:t>— Ведомственный контроль;</w:t>
              <w:br/>
              <w:t>— Финконтроль;</w:t>
              <w:br/>
              <w:t>— Контрольные органы;</w:t>
              <w:br/>
              <w:t>— Административная практика;</w:t>
              <w:br/>
              <w:t>— Нарушения при закупках.</w:t>
              <w:br/>
              <w:t>Мониторинг закупок</w:t>
              <w:br/>
              <w:t>Аудит закупок</w:t>
              <w:br/>
              <w:t>Обжалование действий и бездействий по Закону №44-ФЗ</w:t>
              <w:br/>
              <w:t>Обжалование действий и бездействий по Закону №223-ФЗ</w:t>
              <w:br/>
              <w:t>Отчетность по Закону №44-ФЗ</w:t>
              <w:br/>
              <w:t>Отчетность по Закону №223-ФЗ</w:t>
              <w:br/>
              <w:t>Ответственность в закупках по Закону №44-ФЗ</w:t>
            </w:r>
          </w:p>
          <w:p>
            <w:pPr>
              <w:pStyle w:val="Style34"/>
              <w:rPr>
                <w:rFonts w:ascii="Times New Roman" w:hAnsi="Times New Roman" w:cs="Times New Roman"/>
                <w:color w:val="000000"/>
                <w:sz w:val="24"/>
                <w:szCs w:val="24"/>
                <w:lang w:val="ru-RU"/>
              </w:rPr>
            </w:pPr>
            <w:r>
              <w:rPr>
                <w:rFonts w:cs="Times New Roman" w:ascii="Times New Roman" w:hAnsi="Times New Roman"/>
                <w:sz w:val="24"/>
                <w:szCs w:val="24"/>
                <w:lang w:val="ru-RU"/>
              </w:rPr>
              <w:t>Ответственность в закупках по Закону №223-ФЗ</w:t>
            </w:r>
          </w:p>
        </w:tc>
      </w:tr>
      <w:tr>
        <w:trPr/>
        <w:tc>
          <w:tcPr>
            <w:tcW w:w="2537" w:type="dxa"/>
            <w:tcBorders>
              <w:top w:val="single" w:sz="6" w:space="0" w:color="000000"/>
              <w:left w:val="single" w:sz="6" w:space="0" w:color="000000"/>
              <w:bottom w:val="single" w:sz="6" w:space="0" w:color="000000"/>
              <w:right w:val="single" w:sz="6" w:space="0" w:color="000000"/>
            </w:tcBorders>
          </w:tcPr>
          <w:p>
            <w:pPr>
              <w:pStyle w:val="Normal"/>
              <w:rPr/>
            </w:pPr>
            <w:r>
              <w:rPr>
                <w:b/>
                <w:bCs/>
                <w:color w:val="000000"/>
              </w:rPr>
              <w:t>Функциональные, технические, качественные и эксплуатационные характеристики объекта закупки</w:t>
            </w:r>
          </w:p>
        </w:tc>
        <w:tc>
          <w:tcPr>
            <w:tcW w:w="7327" w:type="dxa"/>
            <w:tcBorders>
              <w:top w:val="single" w:sz="6" w:space="0" w:color="000000"/>
              <w:left w:val="single" w:sz="6" w:space="0" w:color="000000"/>
              <w:bottom w:val="single" w:sz="6" w:space="0" w:color="000000"/>
              <w:right w:val="single" w:sz="6" w:space="0" w:color="000000"/>
            </w:tcBorders>
          </w:tcPr>
          <w:p>
            <w:pPr>
              <w:pStyle w:val="Normal"/>
              <w:jc w:val="both"/>
              <w:rPr>
                <w:b/>
                <w:iCs/>
              </w:rPr>
            </w:pPr>
            <w:r>
              <w:rPr>
                <w:b/>
                <w:iCs/>
              </w:rPr>
              <w:t>Общие требования к услугам:</w:t>
            </w:r>
          </w:p>
          <w:p>
            <w:pPr>
              <w:pStyle w:val="Normal"/>
              <w:tabs>
                <w:tab w:val="clear" w:pos="708"/>
                <w:tab w:val="left" w:pos="1080" w:leader="none"/>
              </w:tabs>
              <w:jc w:val="both"/>
              <w:rPr/>
            </w:pPr>
            <w:r>
              <w:rPr/>
              <w:t xml:space="preserve">– </w:t>
            </w:r>
            <w:r>
              <w:rPr/>
              <w:t>должна быть обеспечена возможность актуализации информации, содержащейся в экземпляре онлайн-версии Системы с использованием телекоммуникаций ежедневно, кроме выходных и праздничных дней;</w:t>
            </w:r>
          </w:p>
          <w:p>
            <w:pPr>
              <w:pStyle w:val="Normal"/>
              <w:tabs>
                <w:tab w:val="clear" w:pos="708"/>
                <w:tab w:val="left" w:pos="1080" w:leader="none"/>
              </w:tabs>
              <w:jc w:val="both"/>
              <w:rPr/>
            </w:pPr>
            <w:r>
              <w:rPr/>
              <w:t>- должна быть обеспечена возможность публикации обзоры изменений, проектов документов, новых нормативных документов;</w:t>
            </w:r>
          </w:p>
          <w:p>
            <w:pPr>
              <w:pStyle w:val="Normal"/>
              <w:tabs>
                <w:tab w:val="clear" w:pos="708"/>
                <w:tab w:val="left" w:pos="1080" w:leader="none"/>
              </w:tabs>
              <w:jc w:val="both"/>
              <w:rPr/>
            </w:pPr>
            <w:r>
              <w:rPr/>
              <w:t xml:space="preserve">– </w:t>
            </w:r>
            <w:r>
              <w:rPr/>
              <w:t>должна быть обеспечена возможность обучение клиента работе в  Системе;</w:t>
            </w:r>
          </w:p>
          <w:p>
            <w:pPr>
              <w:pStyle w:val="Normal"/>
              <w:jc w:val="both"/>
              <w:rPr/>
            </w:pPr>
            <w:r>
              <w:rPr/>
              <w:t xml:space="preserve">– </w:t>
            </w:r>
            <w:r>
              <w:rPr/>
              <w:t>должна быть обеспечена возможность работы с базой данных онлайн-версии посредством интернет-браузера (интернет-браузеров) с использованием логина и пароля с любой точки доступа в сеть Интернет;</w:t>
            </w:r>
          </w:p>
          <w:p>
            <w:pPr>
              <w:pStyle w:val="Normal"/>
              <w:tabs>
                <w:tab w:val="clear" w:pos="708"/>
                <w:tab w:val="left" w:pos="1080" w:leader="none"/>
              </w:tabs>
              <w:jc w:val="both"/>
              <w:rPr/>
            </w:pPr>
            <w:r>
              <w:rPr/>
              <w:t xml:space="preserve">– </w:t>
            </w:r>
            <w:r>
              <w:rPr/>
              <w:t>должна быть обеспечена возможность консультаций по настройке работы с Системой по телефону, путем обращения по электронной почте, в техническую службу или онлайн-поддержку;</w:t>
            </w:r>
          </w:p>
          <w:p>
            <w:pPr>
              <w:pStyle w:val="Normal"/>
              <w:tabs>
                <w:tab w:val="clear" w:pos="708"/>
                <w:tab w:val="left" w:pos="1080" w:leader="none"/>
              </w:tabs>
              <w:jc w:val="both"/>
              <w:rPr/>
            </w:pPr>
            <w:r>
              <w:rPr/>
              <w:t xml:space="preserve">– </w:t>
            </w:r>
            <w:r>
              <w:rPr/>
              <w:t>должна быть обеспечена возможность обращения в техническую службу в рабочее время (МСК) с 9.00 до 18.00 часов.</w:t>
            </w:r>
          </w:p>
          <w:p>
            <w:pPr>
              <w:pStyle w:val="Normal"/>
              <w:tabs>
                <w:tab w:val="clear" w:pos="708"/>
                <w:tab w:val="left" w:pos="1080" w:leader="none"/>
              </w:tabs>
              <w:jc w:val="both"/>
              <w:rPr/>
            </w:pPr>
            <w:r>
              <w:rPr/>
              <w:t xml:space="preserve">– </w:t>
            </w:r>
            <w:r>
              <w:rPr/>
              <w:t>должна быть обеспечена возможность поиска отсутствующего нормативного акта при помощи дополнительного сервиса «Документ за час». Сервис предоставляет нужный нормативный документ в срок не более чем за 1 час (в рабочее время (МСК) с 9.00 до 18.00 часов), в случае если в правовой базе нет нужной информации</w:t>
            </w:r>
          </w:p>
          <w:p>
            <w:pPr>
              <w:pStyle w:val="Normal"/>
              <w:tabs>
                <w:tab w:val="clear" w:pos="708"/>
                <w:tab w:val="left" w:pos="1080" w:leader="none"/>
              </w:tabs>
              <w:jc w:val="both"/>
              <w:rPr/>
            </w:pPr>
            <w:r>
              <w:rPr/>
              <w:t>- должна быть обеспечена возможность консультаций экспертов:</w:t>
            </w:r>
          </w:p>
          <w:p>
            <w:pPr>
              <w:pStyle w:val="Normal"/>
              <w:tabs>
                <w:tab w:val="clear" w:pos="708"/>
                <w:tab w:val="left" w:pos="1080" w:leader="none"/>
              </w:tabs>
              <w:jc w:val="both"/>
              <w:rPr/>
            </w:pPr>
            <w:r>
              <w:rPr/>
            </w:r>
          </w:p>
          <w:p>
            <w:pPr>
              <w:pStyle w:val="Normal"/>
              <w:numPr>
                <w:ilvl w:val="0"/>
                <w:numId w:val="11"/>
              </w:numPr>
              <w:tabs>
                <w:tab w:val="clear" w:pos="708"/>
                <w:tab w:val="left" w:pos="1080" w:leader="none"/>
              </w:tabs>
              <w:spacing w:before="0" w:after="0"/>
              <w:contextualSpacing/>
              <w:jc w:val="both"/>
              <w:rPr/>
            </w:pPr>
            <w:r>
              <w:rPr/>
              <w:t>При помощи сервиса онлайн-поддержки</w:t>
            </w:r>
          </w:p>
          <w:p>
            <w:pPr>
              <w:pStyle w:val="Normal"/>
              <w:numPr>
                <w:ilvl w:val="0"/>
                <w:numId w:val="11"/>
              </w:numPr>
              <w:tabs>
                <w:tab w:val="clear" w:pos="708"/>
                <w:tab w:val="left" w:pos="1080" w:leader="none"/>
              </w:tabs>
              <w:spacing w:before="0" w:after="0"/>
              <w:contextualSpacing/>
              <w:jc w:val="both"/>
              <w:rPr/>
            </w:pPr>
            <w:r>
              <w:rPr/>
              <w:t>При помощи письменных консультаций экспертов. Должна быть обеспечена возможность предоставления неограниченного количества обращений.</w:t>
            </w:r>
          </w:p>
          <w:p>
            <w:pPr>
              <w:pStyle w:val="Normal"/>
              <w:tabs>
                <w:tab w:val="clear" w:pos="708"/>
                <w:tab w:val="left" w:pos="1080" w:leader="none"/>
              </w:tabs>
              <w:ind w:left="720" w:right="0"/>
              <w:jc w:val="both"/>
              <w:rPr/>
            </w:pPr>
            <w:r>
              <w:rPr/>
            </w:r>
          </w:p>
          <w:p>
            <w:pPr>
              <w:pStyle w:val="11"/>
              <w:widowControl w:val="false"/>
              <w:spacing w:before="0" w:after="0"/>
              <w:contextualSpacing w:val="false"/>
              <w:jc w:val="both"/>
              <w:rPr/>
            </w:pPr>
            <w:r>
              <w:rPr>
                <w:b/>
                <w:sz w:val="24"/>
                <w:szCs w:val="24"/>
              </w:rPr>
              <w:t>Характеристики системы:</w:t>
            </w:r>
          </w:p>
          <w:p>
            <w:pPr>
              <w:pStyle w:val="11"/>
              <w:widowControl w:val="false"/>
              <w:spacing w:before="0" w:after="0"/>
              <w:contextualSpacing w:val="false"/>
              <w:jc w:val="both"/>
              <w:rPr>
                <w:sz w:val="24"/>
                <w:szCs w:val="24"/>
              </w:rPr>
            </w:pPr>
            <w:r>
              <w:rPr>
                <w:sz w:val="24"/>
                <w:szCs w:val="24"/>
              </w:rPr>
              <w:t>- должно быть наличие поисковой строки, позволяющей формулировать запрос в свободной форме и выстраивающий результаты поиска по степени соответствия запросу.</w:t>
            </w:r>
          </w:p>
          <w:p>
            <w:pPr>
              <w:pStyle w:val="11"/>
              <w:widowControl w:val="false"/>
              <w:spacing w:before="0" w:after="0"/>
              <w:contextualSpacing w:val="false"/>
              <w:jc w:val="both"/>
              <w:rPr>
                <w:sz w:val="24"/>
                <w:szCs w:val="24"/>
              </w:rPr>
            </w:pPr>
            <w:r>
              <w:rPr>
                <w:sz w:val="24"/>
                <w:szCs w:val="24"/>
              </w:rPr>
              <w:t>- должно быть наличие автоматической группировки результатов поиска по видам информации (рекомендации, правовая база, шаблоны, сервисы, видео и т.д.)</w:t>
            </w:r>
          </w:p>
          <w:p>
            <w:pPr>
              <w:pStyle w:val="11"/>
              <w:widowControl w:val="false"/>
              <w:spacing w:before="0" w:after="0"/>
              <w:contextualSpacing w:val="false"/>
              <w:jc w:val="both"/>
              <w:rPr/>
            </w:pPr>
            <w:r>
              <w:rPr>
                <w:sz w:val="24"/>
                <w:szCs w:val="24"/>
              </w:rPr>
              <w:t xml:space="preserve">- должно быть наличие </w:t>
            </w:r>
            <w:r>
              <w:rPr>
                <w:rFonts w:eastAsia="Calibri"/>
                <w:sz w:val="24"/>
                <w:szCs w:val="24"/>
              </w:rPr>
              <w:t>сортировки списка документов каждого вида информации по степени популярности запросов по заданной тематике;</w:t>
            </w:r>
          </w:p>
          <w:p>
            <w:pPr>
              <w:pStyle w:val="Normal"/>
              <w:jc w:val="both"/>
              <w:rPr/>
            </w:pPr>
            <w:r>
              <w:rPr/>
              <w:t xml:space="preserve">– </w:t>
            </w:r>
            <w:r>
              <w:rPr/>
              <w:t>должно быть наличие поиска по реквизитам (включая дату, точно в заголовке, только точную фразу) правовой базе;</w:t>
            </w:r>
          </w:p>
          <w:p>
            <w:pPr>
              <w:pStyle w:val="Normal"/>
              <w:jc w:val="both"/>
              <w:rPr/>
            </w:pPr>
            <w:r>
              <w:rPr/>
              <w:t xml:space="preserve">– </w:t>
            </w:r>
            <w:r>
              <w:rPr/>
              <w:t>должно быть наличие поиска правовых актов по дате (интервалу дат), с переходом в документе по редакциям вступления в силу, утраты силы, внесения изменений;</w:t>
            </w:r>
          </w:p>
          <w:p>
            <w:pPr>
              <w:pStyle w:val="Normal"/>
              <w:jc w:val="both"/>
              <w:rPr/>
            </w:pPr>
            <w:r>
              <w:rPr/>
              <w:t xml:space="preserve">– </w:t>
            </w:r>
            <w:r>
              <w:rPr/>
              <w:t>должно быть наличие в базе данных информации об изменениях в законодательстве (правовые акты, судебная практика и проекты законов, писем);</w:t>
            </w:r>
          </w:p>
          <w:p>
            <w:pPr>
              <w:pStyle w:val="Normal"/>
              <w:jc w:val="both"/>
              <w:rPr/>
            </w:pPr>
            <w:r>
              <w:rPr/>
              <w:t xml:space="preserve">– </w:t>
            </w:r>
            <w:r>
              <w:rPr/>
              <w:t>должно быть наличие аналитических новостей, кратко излагающих суть новых документов федерального законодательства, приказов и писем ФОИВ по вопросам закупок;</w:t>
            </w:r>
          </w:p>
          <w:p>
            <w:pPr>
              <w:pStyle w:val="Normal"/>
              <w:jc w:val="both"/>
              <w:rPr/>
            </w:pPr>
            <w:r>
              <w:rPr/>
              <w:t xml:space="preserve">– </w:t>
            </w:r>
            <w:r>
              <w:rPr/>
              <w:t>должно быть наличие доступа к записям вебинаров и семинаров из раздела «видео»;</w:t>
            </w:r>
          </w:p>
          <w:p>
            <w:pPr>
              <w:pStyle w:val="Normal"/>
              <w:jc w:val="both"/>
              <w:rPr/>
            </w:pPr>
            <w:r>
              <w:rPr/>
              <w:t xml:space="preserve">– </w:t>
            </w:r>
            <w:r>
              <w:rPr/>
              <w:t>должно быть наличие возможности в основном меню (на главной странице) базы данных знакомиться с новостями (с возможностью перехода к текстам правовых актов, судебных решений, проектов правовых актов, писем, рекомендаций, таблиц, и т.д.);</w:t>
            </w:r>
          </w:p>
          <w:p>
            <w:pPr>
              <w:pStyle w:val="Normal"/>
              <w:jc w:val="both"/>
              <w:rPr/>
            </w:pPr>
            <w:r>
              <w:rPr/>
              <w:t xml:space="preserve">– </w:t>
            </w:r>
            <w:r>
              <w:rPr/>
              <w:t>должно быть наличие возможности поиска по параметрам (текст документа, название документа, номер документа, дата документа, принявший орган, вид документа)</w:t>
            </w:r>
          </w:p>
          <w:p>
            <w:pPr>
              <w:pStyle w:val="Normal"/>
              <w:jc w:val="both"/>
              <w:rPr/>
            </w:pPr>
            <w:r>
              <w:rPr/>
              <w:t xml:space="preserve">– </w:t>
            </w:r>
            <w:r>
              <w:rPr/>
              <w:t>должно быть наличие возможности экспорта (с последующим сохранением) выбранного документа или списка документов в файл текстового формата;</w:t>
            </w:r>
          </w:p>
          <w:p>
            <w:pPr>
              <w:pStyle w:val="Normal"/>
              <w:jc w:val="both"/>
              <w:rPr/>
            </w:pPr>
            <w:r>
              <w:rPr/>
              <w:t>-– должно быть наличие возможности печати из самого документа;</w:t>
            </w:r>
          </w:p>
          <w:p>
            <w:pPr>
              <w:pStyle w:val="Normal"/>
              <w:jc w:val="both"/>
              <w:rPr/>
            </w:pPr>
            <w:r>
              <w:rPr/>
              <w:t>- должно быть наличие навигационной панели по документу;</w:t>
            </w:r>
          </w:p>
          <w:p>
            <w:pPr>
              <w:pStyle w:val="Normal"/>
              <w:jc w:val="both"/>
              <w:rPr/>
            </w:pPr>
            <w:r>
              <w:rPr/>
              <w:t>-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бэклинка;</w:t>
            </w:r>
          </w:p>
          <w:p>
            <w:pPr>
              <w:pStyle w:val="Normal"/>
              <w:jc w:val="both"/>
              <w:rPr/>
            </w:pPr>
            <w:r>
              <w:rPr/>
              <w:t xml:space="preserve">– </w:t>
            </w:r>
            <w:r>
              <w:rPr/>
              <w:t>должно быть наличие возможности обращения</w:t>
            </w:r>
            <w:r>
              <w:rPr>
                <w:rFonts w:eastAsia="Arial"/>
              </w:rPr>
              <w:t xml:space="preserve"> к онлайн-помощнику и экспертам Системы</w:t>
            </w:r>
            <w:r>
              <w:rPr/>
              <w:t>;</w:t>
            </w:r>
          </w:p>
          <w:p>
            <w:pPr>
              <w:pStyle w:val="Normal"/>
              <w:jc w:val="both"/>
              <w:rPr/>
            </w:pPr>
            <w:r>
              <w:rPr/>
              <w:t xml:space="preserve">– </w:t>
            </w:r>
            <w:r>
              <w:rPr/>
              <w:t>должно быть наличие возможности детализации поиска в найденном по ключевому слову;</w:t>
            </w:r>
          </w:p>
          <w:p>
            <w:pPr>
              <w:pStyle w:val="Normal"/>
              <w:jc w:val="both"/>
              <w:rPr/>
            </w:pPr>
            <w:r>
              <w:rPr/>
              <w:t xml:space="preserve">– </w:t>
            </w:r>
            <w:r>
              <w:rPr/>
              <w:t>должно быть наличие возможности доступа к документам базы данных с использованием рубрикатора.</w:t>
            </w:r>
          </w:p>
          <w:p>
            <w:pPr>
              <w:pStyle w:val="11"/>
              <w:widowControl w:val="false"/>
              <w:spacing w:before="0" w:after="0"/>
              <w:contextualSpacing w:val="false"/>
              <w:rPr>
                <w:bCs/>
                <w:sz w:val="24"/>
                <w:szCs w:val="24"/>
                <w:u w:val="single"/>
              </w:rPr>
            </w:pPr>
            <w:r>
              <w:rPr>
                <w:bCs/>
                <w:sz w:val="24"/>
                <w:szCs w:val="24"/>
                <w:u w:val="single"/>
              </w:rPr>
            </w:r>
          </w:p>
          <w:p>
            <w:pPr>
              <w:pStyle w:val="11"/>
              <w:widowControl w:val="false"/>
              <w:spacing w:before="0" w:after="0"/>
              <w:contextualSpacing w:val="false"/>
              <w:rPr>
                <w:bCs/>
                <w:sz w:val="24"/>
                <w:szCs w:val="24"/>
                <w:u w:val="single"/>
              </w:rPr>
            </w:pPr>
            <w:r>
              <w:rPr>
                <w:bCs/>
                <w:sz w:val="24"/>
                <w:szCs w:val="24"/>
                <w:u w:val="single"/>
              </w:rPr>
              <w:t>Видеоматериалы</w:t>
            </w:r>
          </w:p>
          <w:p>
            <w:pPr>
              <w:pStyle w:val="Normal"/>
              <w:jc w:val="both"/>
              <w:rPr/>
            </w:pPr>
            <w:r>
              <w:rPr/>
              <w:t>Должна быть обеспечена возможность доступа к записи: онлайн-семинаров, видеолекций, на актуальные темы по вопросам закупок -  не менее 12 видео в год, а также доступ к архиву видеоматериалов за предыдущие периоды.</w:t>
            </w:r>
          </w:p>
          <w:p>
            <w:pPr>
              <w:pStyle w:val="Normal"/>
              <w:jc w:val="both"/>
              <w:rPr>
                <w:b/>
              </w:rPr>
            </w:pPr>
            <w:r>
              <w:rPr>
                <w:b/>
              </w:rPr>
            </w:r>
          </w:p>
          <w:p>
            <w:pPr>
              <w:pStyle w:val="11"/>
              <w:widowControl w:val="false"/>
              <w:spacing w:before="0" w:after="0"/>
              <w:contextualSpacing w:val="false"/>
              <w:rPr/>
            </w:pPr>
            <w:r>
              <w:rPr>
                <w:bCs/>
                <w:sz w:val="24"/>
                <w:szCs w:val="24"/>
                <w:u w:val="single"/>
              </w:rPr>
              <w:t>«Консультация эксперта»</w:t>
            </w:r>
            <w:r>
              <w:rPr>
                <w:sz w:val="24"/>
                <w:szCs w:val="24"/>
              </w:rPr>
              <w:t xml:space="preserve"> должна быть оказана в следующих форматах:</w:t>
            </w:r>
          </w:p>
          <w:p>
            <w:pPr>
              <w:pStyle w:val="11"/>
              <w:widowControl w:val="false"/>
              <w:spacing w:before="0" w:after="0"/>
              <w:contextualSpacing w:val="false"/>
              <w:rPr>
                <w:sz w:val="24"/>
                <w:szCs w:val="24"/>
              </w:rPr>
            </w:pPr>
            <w:r>
              <w:rPr>
                <w:sz w:val="24"/>
                <w:szCs w:val="24"/>
              </w:rPr>
            </w:r>
          </w:p>
          <w:p>
            <w:pPr>
              <w:pStyle w:val="Normal"/>
              <w:numPr>
                <w:ilvl w:val="0"/>
                <w:numId w:val="6"/>
              </w:numPr>
              <w:spacing w:before="0" w:after="0"/>
              <w:ind w:hanging="360" w:left="1069" w:right="141"/>
              <w:contextualSpacing/>
              <w:jc w:val="both"/>
              <w:rPr/>
            </w:pPr>
            <w:r>
              <w:rPr>
                <w:bCs/>
                <w:u w:val="single"/>
              </w:rPr>
              <w:t>Онлайн-помощник</w:t>
            </w:r>
            <w:r>
              <w:rPr/>
              <w:t xml:space="preserve"> с возможностью подборки материалов.</w:t>
            </w:r>
          </w:p>
          <w:p>
            <w:pPr>
              <w:pStyle w:val="Normal"/>
              <w:ind w:firstLine="567" w:left="142" w:right="141"/>
              <w:jc w:val="both"/>
              <w:rPr/>
            </w:pPr>
            <w:r>
              <w:rPr/>
              <w:t>Доступ к онлайн-помощнику должен быть предоставлен:</w:t>
            </w:r>
          </w:p>
          <w:p>
            <w:pPr>
              <w:pStyle w:val="Normal"/>
              <w:ind w:firstLine="567" w:left="142" w:right="141"/>
              <w:jc w:val="both"/>
              <w:rPr/>
            </w:pPr>
            <w:r>
              <w:rPr/>
              <w:t xml:space="preserve">– </w:t>
            </w:r>
            <w:r>
              <w:rPr/>
              <w:t>в рабочие дни – круглосуточно;</w:t>
            </w:r>
          </w:p>
          <w:p>
            <w:pPr>
              <w:pStyle w:val="Normal"/>
              <w:ind w:firstLine="567" w:left="142" w:right="141"/>
              <w:jc w:val="both"/>
              <w:rPr/>
            </w:pPr>
            <w:r>
              <w:rPr/>
              <w:t xml:space="preserve">– </w:t>
            </w:r>
            <w:r>
              <w:rPr/>
              <w:t>в выходные и праздничные дни – с 09 часов 00 минут до 18 часов 00 минут.</w:t>
            </w:r>
          </w:p>
          <w:p>
            <w:pPr>
              <w:pStyle w:val="Normal"/>
              <w:ind w:firstLine="567" w:left="142" w:right="141"/>
              <w:jc w:val="both"/>
              <w:rPr/>
            </w:pPr>
            <w:r>
              <w:rPr/>
              <w:t>Время ожидания ответа должно составлять не более 10 минут.</w:t>
            </w:r>
          </w:p>
          <w:p>
            <w:pPr>
              <w:pStyle w:val="Normal"/>
              <w:ind w:firstLine="567" w:left="142" w:right="141"/>
              <w:jc w:val="both"/>
              <w:rPr/>
            </w:pPr>
            <w:r>
              <w:rPr/>
              <w:t>Количество вопросов – неограниченно в течение срока действия контракта /договора</w:t>
            </w:r>
          </w:p>
          <w:p>
            <w:pPr>
              <w:pStyle w:val="Normal"/>
              <w:ind w:firstLine="567" w:left="142" w:right="141"/>
              <w:rPr/>
            </w:pPr>
            <w:r>
              <w:rPr/>
            </w:r>
          </w:p>
          <w:p>
            <w:pPr>
              <w:pStyle w:val="Normal"/>
              <w:ind w:firstLine="567" w:left="142" w:right="141"/>
              <w:rPr/>
            </w:pPr>
            <w:r>
              <w:rPr/>
              <w:t xml:space="preserve">2. </w:t>
            </w:r>
            <w:r>
              <w:rPr>
                <w:bCs/>
                <w:u w:val="single"/>
              </w:rPr>
              <w:t>Письменные ответы экспертов</w:t>
            </w:r>
          </w:p>
          <w:p>
            <w:pPr>
              <w:pStyle w:val="Normal"/>
              <w:ind w:firstLine="567" w:left="142" w:right="141"/>
              <w:jc w:val="both"/>
              <w:rPr/>
            </w:pPr>
            <w:r>
              <w:rPr/>
              <w:t>Доступ к сервису должен быть предоставлен круглосуточно.</w:t>
            </w:r>
          </w:p>
          <w:p>
            <w:pPr>
              <w:pStyle w:val="Normal"/>
              <w:ind w:firstLine="567" w:left="142" w:right="141"/>
              <w:jc w:val="both"/>
              <w:rPr/>
            </w:pPr>
            <w:r>
              <w:rPr/>
              <w:t>Срок ответа – не позднее 24 часов (в рабочие дни) с момента отправки вопроса через специальную форму, должно представлять собой диалоговое окно в составе базы данных. Должна быть обеспечена возможность задать вопрос для эксперта из личного кабинета или через онлайн – помощника.</w:t>
            </w:r>
          </w:p>
          <w:p>
            <w:pPr>
              <w:pStyle w:val="Normal"/>
              <w:ind w:firstLine="567" w:left="142" w:right="141"/>
              <w:jc w:val="both"/>
              <w:rPr/>
            </w:pPr>
            <w:r>
              <w:rPr/>
              <w:t>Ответы на вопросы, поступившие в нерабочие дни или после 18.00 по мск в рабочие дни, регистрируются следующим рабочим днем.</w:t>
            </w:r>
          </w:p>
          <w:p>
            <w:pPr>
              <w:pStyle w:val="Normal"/>
              <w:ind w:firstLine="567" w:left="142" w:right="141"/>
              <w:jc w:val="both"/>
              <w:rPr/>
            </w:pPr>
            <w:r>
              <w:rPr/>
              <w:t>Исчисление сроков для подготовки такого ответа должен начинаться с 9.00 по мск первого рабочего дня.</w:t>
            </w:r>
          </w:p>
          <w:p>
            <w:pPr>
              <w:pStyle w:val="Normal"/>
              <w:ind w:firstLine="567" w:left="142" w:right="141"/>
              <w:jc w:val="both"/>
              <w:rPr/>
            </w:pPr>
            <w:r>
              <w:rPr/>
              <w:t>При формировании ответа с подборкой материала с учетом судебной, административной практикой, позиции Минфина, ФАС, Минэконома или необходимо более детальное изучение сложной ситуации (нет единого подхода регулятора или контролера) срок ответа должен быть не более 4 рабочих дней с момента регистрации вопроса в Системе.</w:t>
            </w:r>
          </w:p>
          <w:p>
            <w:pPr>
              <w:pStyle w:val="Normal"/>
              <w:ind w:firstLine="567" w:left="142" w:right="141"/>
              <w:jc w:val="both"/>
              <w:rPr/>
            </w:pPr>
            <w:r>
              <w:rPr/>
              <w:t>Количество вопросов – неограниченно в течение срока действия контракта /договора.</w:t>
            </w:r>
          </w:p>
          <w:p>
            <w:pPr>
              <w:pStyle w:val="Normal"/>
              <w:jc w:val="both"/>
              <w:rPr>
                <w:b/>
              </w:rPr>
            </w:pPr>
            <w:r>
              <w:rPr>
                <w:b/>
              </w:rPr>
            </w:r>
          </w:p>
          <w:p>
            <w:pPr>
              <w:pStyle w:val="Normal"/>
              <w:jc w:val="both"/>
              <w:rPr>
                <w:bCs/>
                <w:u w:val="single"/>
              </w:rPr>
            </w:pPr>
            <w:r>
              <w:rPr>
                <w:bCs/>
                <w:u w:val="single"/>
              </w:rPr>
              <w:t>Запрос на подготовку и проверку документов:</w:t>
            </w:r>
          </w:p>
          <w:p>
            <w:pPr>
              <w:pStyle w:val="Style28"/>
              <w:numPr>
                <w:ilvl w:val="0"/>
                <w:numId w:val="14"/>
              </w:numPr>
              <w:spacing w:lineRule="auto" w:line="254" w:before="0" w:after="160"/>
              <w:ind w:hanging="360" w:left="720" w:right="0"/>
              <w:contextualSpacing/>
              <w:jc w:val="both"/>
              <w:rPr>
                <w:bCs/>
              </w:rPr>
            </w:pPr>
            <w:r>
              <w:rPr>
                <w:bCs/>
              </w:rPr>
              <w:t>Разработка одного из документов по перечню:</w:t>
            </w:r>
          </w:p>
          <w:p>
            <w:pPr>
              <w:pStyle w:val="Style28"/>
              <w:numPr>
                <w:ilvl w:val="0"/>
                <w:numId w:val="9"/>
              </w:numPr>
              <w:spacing w:lineRule="auto" w:line="254" w:before="0" w:after="160"/>
              <w:ind w:hanging="360" w:left="1080" w:right="0"/>
              <w:contextualSpacing/>
              <w:jc w:val="both"/>
              <w:rPr/>
            </w:pPr>
            <w:r>
              <w:rPr/>
              <w:t>Должностная инструкция специалиста по закупкам (контрактного управляющего);</w:t>
            </w:r>
          </w:p>
          <w:p>
            <w:pPr>
              <w:pStyle w:val="Style28"/>
              <w:numPr>
                <w:ilvl w:val="0"/>
                <w:numId w:val="9"/>
              </w:numPr>
              <w:spacing w:lineRule="auto" w:line="254" w:before="0" w:after="160"/>
              <w:ind w:hanging="360" w:left="1080" w:right="0"/>
              <w:contextualSpacing/>
              <w:jc w:val="both"/>
              <w:rPr/>
            </w:pPr>
            <w:r>
              <w:rPr/>
              <w:t>Требование об уплате неустойки по контракту/договору;</w:t>
            </w:r>
          </w:p>
          <w:p>
            <w:pPr>
              <w:pStyle w:val="Style28"/>
              <w:numPr>
                <w:ilvl w:val="0"/>
                <w:numId w:val="9"/>
              </w:numPr>
              <w:spacing w:lineRule="auto" w:line="254" w:before="0" w:after="160"/>
              <w:ind w:hanging="360" w:left="1080" w:right="0"/>
              <w:contextualSpacing/>
              <w:jc w:val="both"/>
              <w:rPr/>
            </w:pPr>
            <w:r>
              <w:rPr/>
              <w:t>Дополнительное соглашение на изменение контракта/договора;</w:t>
            </w:r>
          </w:p>
          <w:p>
            <w:pPr>
              <w:pStyle w:val="Style28"/>
              <w:numPr>
                <w:ilvl w:val="0"/>
                <w:numId w:val="9"/>
              </w:numPr>
              <w:spacing w:lineRule="auto" w:line="254" w:before="0" w:after="160"/>
              <w:ind w:hanging="360" w:left="1080" w:right="0"/>
              <w:contextualSpacing/>
              <w:jc w:val="both"/>
              <w:rPr/>
            </w:pPr>
            <w:r>
              <w:rPr/>
              <w:t>Подборка судебной практики и практики ФАС по вопросам закупок</w:t>
            </w:r>
          </w:p>
          <w:p>
            <w:pPr>
              <w:pStyle w:val="Style28"/>
              <w:numPr>
                <w:ilvl w:val="0"/>
                <w:numId w:val="14"/>
              </w:numPr>
              <w:spacing w:lineRule="auto" w:line="254" w:before="0" w:after="160"/>
              <w:ind w:hanging="360" w:left="720" w:right="0"/>
              <w:contextualSpacing/>
              <w:jc w:val="both"/>
              <w:rPr>
                <w:bCs/>
              </w:rPr>
            </w:pPr>
            <w:r>
              <w:rPr>
                <w:bCs/>
              </w:rPr>
              <w:t>Проверка по перечню на выбор:</w:t>
            </w:r>
          </w:p>
          <w:p>
            <w:pPr>
              <w:pStyle w:val="Style28"/>
              <w:numPr>
                <w:ilvl w:val="0"/>
                <w:numId w:val="10"/>
              </w:numPr>
              <w:spacing w:before="0" w:after="0"/>
              <w:ind w:hanging="360" w:left="1080" w:right="141"/>
              <w:contextualSpacing w:val="false"/>
              <w:jc w:val="both"/>
              <w:rPr/>
            </w:pPr>
            <w:r>
              <w:rPr/>
              <w:t>Правильности выбора способа закупки;</w:t>
            </w:r>
          </w:p>
          <w:p>
            <w:pPr>
              <w:pStyle w:val="Style28"/>
              <w:numPr>
                <w:ilvl w:val="0"/>
                <w:numId w:val="10"/>
              </w:numPr>
              <w:spacing w:before="0" w:after="0"/>
              <w:ind w:hanging="360" w:left="1080" w:right="141"/>
              <w:contextualSpacing w:val="false"/>
              <w:jc w:val="both"/>
              <w:rPr/>
            </w:pPr>
            <w:r>
              <w:rPr/>
              <w:t>Кода ОПКД 2 на закупку, в том числе проверка на необходимость применения национального режима, преимуществ, типовых условий (подборка кода ОКПД2);</w:t>
            </w:r>
          </w:p>
          <w:p>
            <w:pPr>
              <w:pStyle w:val="Style28"/>
              <w:numPr>
                <w:ilvl w:val="0"/>
                <w:numId w:val="10"/>
              </w:numPr>
              <w:spacing w:before="0" w:after="0"/>
              <w:ind w:hanging="360" w:left="1080" w:right="141"/>
              <w:contextualSpacing w:val="false"/>
              <w:jc w:val="both"/>
              <w:rPr/>
            </w:pPr>
            <w:r>
              <w:rPr/>
              <w:t>Проверка поставщика.</w:t>
            </w:r>
          </w:p>
          <w:p>
            <w:pPr>
              <w:pStyle w:val="Style28"/>
              <w:numPr>
                <w:ilvl w:val="0"/>
                <w:numId w:val="14"/>
              </w:numPr>
              <w:spacing w:lineRule="auto" w:line="254" w:before="0" w:after="160"/>
              <w:ind w:hanging="360" w:left="720" w:right="0"/>
              <w:contextualSpacing/>
              <w:jc w:val="both"/>
              <w:rPr>
                <w:bCs/>
              </w:rPr>
            </w:pPr>
            <w:r>
              <w:rPr>
                <w:bCs/>
              </w:rPr>
              <w:t>Ограничения для пунктов 1,2.</w:t>
            </w:r>
          </w:p>
          <w:p>
            <w:pPr>
              <w:pStyle w:val="Style28"/>
              <w:numPr>
                <w:ilvl w:val="0"/>
                <w:numId w:val="13"/>
              </w:numPr>
              <w:spacing w:lineRule="auto" w:line="254" w:before="0" w:after="160"/>
              <w:ind w:hanging="360" w:left="780" w:right="0"/>
              <w:contextualSpacing/>
              <w:jc w:val="both"/>
              <w:rPr/>
            </w:pPr>
            <w:r>
              <w:rPr/>
              <w:t>Количество запросов на подготовку или проверку документов из п.п.1,2 – не более 1 запроса в месяц, в течение срока действия подписки (доступа к Системе). Один запрос включает себя один из документов по пункту 1, либо одну проверку по перечню из пункта 2.</w:t>
            </w:r>
          </w:p>
          <w:p>
            <w:pPr>
              <w:pStyle w:val="Style28"/>
              <w:numPr>
                <w:ilvl w:val="0"/>
                <w:numId w:val="13"/>
              </w:numPr>
              <w:spacing w:lineRule="auto" w:line="254" w:before="0" w:after="160"/>
              <w:ind w:hanging="360" w:left="780" w:right="0"/>
              <w:contextualSpacing/>
              <w:jc w:val="both"/>
              <w:rPr/>
            </w:pPr>
            <w:r>
              <w:rPr/>
              <w:t>Срок ответа – не более 10 рабочих дней с момента поступления вопроса на электронную почту исполнителя контракта:</w:t>
            </w:r>
          </w:p>
          <w:p>
            <w:pPr>
              <w:pStyle w:val="Style28"/>
              <w:numPr>
                <w:ilvl w:val="0"/>
                <w:numId w:val="8"/>
              </w:numPr>
              <w:spacing w:lineRule="auto" w:line="254" w:before="0" w:after="160"/>
              <w:ind w:hanging="360" w:left="780" w:right="0"/>
              <w:contextualSpacing/>
              <w:jc w:val="both"/>
              <w:rPr/>
            </w:pPr>
            <w:r>
              <w:rPr/>
              <w:t>ответы на вопросы, поступившие в нерабочие дни или после 18.00 по мск в рабочие дни, регистрируются следующим рабочим днем.</w:t>
            </w:r>
          </w:p>
          <w:p>
            <w:pPr>
              <w:pStyle w:val="Style28"/>
              <w:numPr>
                <w:ilvl w:val="0"/>
                <w:numId w:val="8"/>
              </w:numPr>
              <w:spacing w:lineRule="auto" w:line="254" w:before="0" w:after="160"/>
              <w:ind w:hanging="360" w:left="780" w:right="0"/>
              <w:contextualSpacing/>
              <w:jc w:val="both"/>
              <w:rPr/>
            </w:pPr>
            <w:r>
              <w:rPr/>
              <w:t>исчисление сроков для подготовки такого ответа должен начинаться с 9.00 по мск первого рабочего дня.</w:t>
            </w:r>
          </w:p>
          <w:p>
            <w:pPr>
              <w:pStyle w:val="Style28"/>
              <w:numPr>
                <w:ilvl w:val="0"/>
                <w:numId w:val="14"/>
              </w:numPr>
              <w:spacing w:lineRule="auto" w:line="254" w:before="0" w:after="160"/>
              <w:ind w:hanging="360" w:left="720" w:right="0"/>
              <w:contextualSpacing/>
              <w:jc w:val="both"/>
              <w:rPr/>
            </w:pPr>
            <w:r>
              <w:rPr/>
              <w:t>Эксперт готовит и проверяет документы на основании информации, предоставленной пользователем.</w:t>
            </w:r>
          </w:p>
          <w:p>
            <w:pPr>
              <w:pStyle w:val="Style28"/>
              <w:numPr>
                <w:ilvl w:val="0"/>
                <w:numId w:val="14"/>
              </w:numPr>
              <w:spacing w:lineRule="auto" w:line="254" w:before="0" w:after="160"/>
              <w:ind w:hanging="360" w:left="720" w:right="0"/>
              <w:contextualSpacing/>
              <w:jc w:val="both"/>
              <w:rPr/>
            </w:pPr>
            <w:r>
              <w:rPr/>
              <w:t>При подготовке документа «дополнительное соглашение об изменении контракта/договора». Эксперт готовит только текст дополнительного соглашения. Приложения к дополнительному соглашению пользователь формирует самостоятельно.</w:t>
            </w:r>
          </w:p>
          <w:p>
            <w:pPr>
              <w:pStyle w:val="Style28"/>
              <w:numPr>
                <w:ilvl w:val="0"/>
                <w:numId w:val="14"/>
              </w:numPr>
              <w:spacing w:lineRule="auto" w:line="254" w:before="0" w:after="160"/>
              <w:ind w:hanging="360" w:left="720" w:right="0"/>
              <w:contextualSpacing/>
              <w:jc w:val="both"/>
              <w:rPr/>
            </w:pPr>
            <w:r>
              <w:rPr/>
              <w:t>При подготовке «подборки судебной практики и практики ФАС по вопросам закупок». Эксперт готовит подборку практики, либо экспертное мнение о возможном варианте решения вопроса исходя из анализа нпа, если судебная практика и практика ФАС отсутствует.</w:t>
            </w:r>
          </w:p>
          <w:p>
            <w:pPr>
              <w:pStyle w:val="Style28"/>
              <w:numPr>
                <w:ilvl w:val="0"/>
                <w:numId w:val="13"/>
              </w:numPr>
              <w:spacing w:lineRule="auto" w:line="254" w:before="0" w:after="160"/>
              <w:ind w:hanging="360" w:left="780" w:right="0"/>
              <w:contextualSpacing/>
              <w:jc w:val="both"/>
              <w:rPr/>
            </w:pPr>
            <w:r>
              <w:rPr>
                <w:color w:val="000000"/>
              </w:rPr>
              <w:t>При «проверке поставщика» данные предоставляются из официальных открытых источников и актуальны на дату подготовки информации по результатам проверки. Проверка проводится на наличие:</w:t>
            </w:r>
          </w:p>
          <w:p>
            <w:pPr>
              <w:pStyle w:val="Style28"/>
              <w:numPr>
                <w:ilvl w:val="0"/>
                <w:numId w:val="15"/>
              </w:numPr>
              <w:spacing w:lineRule="auto" w:line="254" w:before="0" w:after="160"/>
              <w:ind w:hanging="360" w:left="1200" w:right="0"/>
              <w:contextualSpacing/>
              <w:jc w:val="both"/>
              <w:rPr/>
            </w:pPr>
            <w:r>
              <w:rPr/>
              <w:t>связанных компаний;</w:t>
            </w:r>
          </w:p>
          <w:p>
            <w:pPr>
              <w:pStyle w:val="Style28"/>
              <w:numPr>
                <w:ilvl w:val="0"/>
                <w:numId w:val="15"/>
              </w:numPr>
              <w:spacing w:lineRule="auto" w:line="254" w:before="0" w:after="160"/>
              <w:ind w:hanging="360" w:left="1200" w:right="0"/>
              <w:contextualSpacing/>
              <w:jc w:val="both"/>
              <w:rPr/>
            </w:pPr>
            <w:r>
              <w:rPr/>
              <w:t>признаков однодневки;</w:t>
            </w:r>
          </w:p>
          <w:p>
            <w:pPr>
              <w:pStyle w:val="Style28"/>
              <w:numPr>
                <w:ilvl w:val="0"/>
                <w:numId w:val="15"/>
              </w:numPr>
              <w:spacing w:lineRule="auto" w:line="254" w:before="0" w:after="160"/>
              <w:ind w:hanging="360" w:left="1200" w:right="0"/>
              <w:contextualSpacing/>
              <w:jc w:val="both"/>
              <w:rPr/>
            </w:pPr>
            <w:r>
              <w:rPr/>
              <w:t>исполненных контрактов/договоров по 223-ФЗ;</w:t>
            </w:r>
          </w:p>
          <w:p>
            <w:pPr>
              <w:pStyle w:val="Style28"/>
              <w:numPr>
                <w:ilvl w:val="0"/>
                <w:numId w:val="15"/>
              </w:numPr>
              <w:spacing w:lineRule="auto" w:line="254" w:before="0" w:after="160"/>
              <w:ind w:hanging="360" w:left="1200" w:right="0"/>
              <w:contextualSpacing/>
              <w:jc w:val="both"/>
              <w:rPr/>
            </w:pPr>
            <w:r>
              <w:rPr/>
              <w:t>долгов по налогам и сборам;</w:t>
            </w:r>
          </w:p>
          <w:p>
            <w:pPr>
              <w:pStyle w:val="Style28"/>
              <w:numPr>
                <w:ilvl w:val="0"/>
                <w:numId w:val="15"/>
              </w:numPr>
              <w:spacing w:lineRule="auto" w:line="254" w:before="0" w:after="160"/>
              <w:ind w:hanging="360" w:left="1200" w:right="0"/>
              <w:contextualSpacing/>
              <w:jc w:val="both"/>
              <w:rPr/>
            </w:pPr>
            <w:r>
              <w:rPr/>
              <w:t>блокировки счетов;</w:t>
            </w:r>
          </w:p>
          <w:p>
            <w:pPr>
              <w:pStyle w:val="Style28"/>
              <w:numPr>
                <w:ilvl w:val="0"/>
                <w:numId w:val="15"/>
              </w:numPr>
              <w:spacing w:lineRule="auto" w:line="254" w:before="0" w:after="160"/>
              <w:ind w:hanging="360" w:left="1200" w:right="0"/>
              <w:contextualSpacing/>
              <w:jc w:val="both"/>
              <w:rPr/>
            </w:pPr>
            <w:r>
              <w:rPr/>
              <w:t>исполнительных производств;</w:t>
            </w:r>
          </w:p>
          <w:p>
            <w:pPr>
              <w:pStyle w:val="Style28"/>
              <w:numPr>
                <w:ilvl w:val="0"/>
                <w:numId w:val="15"/>
              </w:numPr>
              <w:spacing w:lineRule="auto" w:line="254" w:before="0" w:after="160"/>
              <w:ind w:hanging="360" w:left="1200" w:right="0"/>
              <w:contextualSpacing/>
              <w:jc w:val="both"/>
              <w:rPr/>
            </w:pPr>
            <w:r>
              <w:rPr/>
              <w:t>в реестре недобросовестных поставщиков по законам 44-ФЗ и 223-ФЗ;</w:t>
            </w:r>
          </w:p>
          <w:p>
            <w:pPr>
              <w:pStyle w:val="Style28"/>
              <w:numPr>
                <w:ilvl w:val="0"/>
                <w:numId w:val="15"/>
              </w:numPr>
              <w:spacing w:lineRule="auto" w:line="254" w:before="0" w:after="160"/>
              <w:ind w:hanging="360" w:left="1200" w:right="0"/>
              <w:contextualSpacing/>
              <w:jc w:val="both"/>
              <w:rPr/>
            </w:pPr>
            <w:r>
              <w:rPr/>
              <w:t>лицензии;</w:t>
            </w:r>
          </w:p>
          <w:p>
            <w:pPr>
              <w:pStyle w:val="Style28"/>
              <w:numPr>
                <w:ilvl w:val="0"/>
                <w:numId w:val="15"/>
              </w:numPr>
              <w:spacing w:lineRule="auto" w:line="254" w:before="0" w:after="160"/>
              <w:ind w:hanging="360" w:left="1200" w:right="0"/>
              <w:contextualSpacing/>
              <w:jc w:val="both"/>
              <w:rPr/>
            </w:pPr>
            <w:r>
              <w:rPr/>
              <w:t>арбитражных дел и дел о банкротстве;</w:t>
            </w:r>
          </w:p>
          <w:p>
            <w:pPr>
              <w:pStyle w:val="Style28"/>
              <w:numPr>
                <w:ilvl w:val="0"/>
                <w:numId w:val="15"/>
              </w:numPr>
              <w:spacing w:lineRule="auto" w:line="254" w:before="0" w:after="160"/>
              <w:ind w:hanging="360" w:left="1200" w:right="0"/>
              <w:contextualSpacing/>
              <w:jc w:val="both"/>
              <w:rPr/>
            </w:pPr>
            <w:r>
              <w:rPr/>
              <w:t>дисквалификации, недостоверных данные в ЕГРЮЛ;</w:t>
            </w:r>
          </w:p>
          <w:p>
            <w:pPr>
              <w:pStyle w:val="Style28"/>
              <w:numPr>
                <w:ilvl w:val="0"/>
                <w:numId w:val="15"/>
              </w:numPr>
              <w:spacing w:lineRule="auto" w:line="254" w:before="0" w:after="160"/>
              <w:ind w:hanging="360" w:left="1200" w:right="0"/>
              <w:contextualSpacing/>
              <w:jc w:val="both"/>
              <w:rPr/>
            </w:pPr>
            <w:r>
              <w:rPr/>
              <w:t>выручки за последний отчетный год.</w:t>
            </w:r>
          </w:p>
          <w:p>
            <w:pPr>
              <w:pStyle w:val="Normal"/>
              <w:ind w:left="360" w:right="0"/>
              <w:jc w:val="both"/>
              <w:rPr/>
            </w:pPr>
            <w:r>
              <w:rPr/>
              <w:t>Порядок использования сервиса по разделу № 3:</w:t>
            </w:r>
          </w:p>
          <w:p>
            <w:pPr>
              <w:pStyle w:val="Style28"/>
              <w:numPr>
                <w:ilvl w:val="0"/>
                <w:numId w:val="4"/>
              </w:numPr>
              <w:spacing w:lineRule="auto" w:line="254" w:before="0" w:after="160"/>
              <w:ind w:hanging="360" w:left="720" w:right="0"/>
              <w:contextualSpacing w:val="false"/>
              <w:jc w:val="both"/>
              <w:rPr/>
            </w:pPr>
            <w:r>
              <w:rPr/>
              <w:t>Для работы с сервисом из пунктов 1,2, пользователь пишет на электронную почту исполнителя контракта/договора и прикрепляет документы с информацией, необходимой для подготовки документа или его проверки.</w:t>
            </w:r>
          </w:p>
          <w:p>
            <w:pPr>
              <w:pStyle w:val="Style28"/>
              <w:numPr>
                <w:ilvl w:val="0"/>
                <w:numId w:val="4"/>
              </w:numPr>
              <w:spacing w:lineRule="auto" w:line="254" w:before="0" w:after="160"/>
              <w:ind w:hanging="360" w:left="720" w:right="0"/>
              <w:contextualSpacing w:val="false"/>
              <w:jc w:val="both"/>
              <w:rPr/>
            </w:pPr>
            <w:r>
              <w:rPr/>
              <w:t>При необходимости, эксперт запрашивает дополнительную информацию у пользователя, путем отправки письма на адрес электронной почты, с которой поступил запрос. Если пользователь отвечает более чем через 24 часа, то срок проверки или подготовки документов увеличивается на соответствующее задержке количество рабочих дней.</w:t>
            </w:r>
          </w:p>
          <w:p>
            <w:pPr>
              <w:pStyle w:val="Normal"/>
              <w:ind w:left="709" w:right="0"/>
              <w:jc w:val="both"/>
              <w:rPr>
                <w:b/>
              </w:rPr>
            </w:pPr>
            <w:r>
              <w:rPr>
                <w:b/>
              </w:rPr>
            </w:r>
          </w:p>
          <w:p>
            <w:pPr>
              <w:pStyle w:val="Normal"/>
              <w:widowControl w:val="false"/>
              <w:spacing w:before="85" w:after="0"/>
              <w:jc w:val="both"/>
              <w:rPr/>
            </w:pPr>
            <w:r>
              <w:rPr>
                <w:bCs/>
                <w:color w:val="000000"/>
                <w:u w:val="single"/>
              </w:rPr>
              <w:t xml:space="preserve">Базы данных </w:t>
            </w:r>
            <w:r>
              <w:rPr>
                <w:color w:val="000000"/>
              </w:rPr>
              <w:t>должны быть структурированы по следующим разделам:</w:t>
            </w:r>
          </w:p>
          <w:p>
            <w:pPr>
              <w:pStyle w:val="11"/>
              <w:widowControl w:val="false"/>
              <w:spacing w:before="0" w:after="0"/>
              <w:contextualSpacing w:val="false"/>
              <w:jc w:val="both"/>
              <w:rPr>
                <w:sz w:val="24"/>
                <w:szCs w:val="24"/>
              </w:rPr>
            </w:pPr>
            <w:r>
              <w:rPr>
                <w:sz w:val="24"/>
                <w:szCs w:val="24"/>
              </w:rPr>
              <w:t>Рекомендации, правовая база, шаблоны, справочники, библиотека (электронные журналы), видео, сервисы.</w:t>
            </w:r>
          </w:p>
          <w:p>
            <w:pPr>
              <w:pStyle w:val="11"/>
              <w:widowControl w:val="false"/>
              <w:spacing w:before="0" w:after="0"/>
              <w:contextualSpacing w:val="false"/>
              <w:jc w:val="both"/>
              <w:rPr>
                <w:bCs/>
                <w:sz w:val="24"/>
                <w:szCs w:val="24"/>
                <w:u w:val="single"/>
              </w:rPr>
            </w:pPr>
            <w:r>
              <w:rPr>
                <w:bCs/>
                <w:sz w:val="24"/>
                <w:szCs w:val="24"/>
                <w:u w:val="single"/>
              </w:rPr>
              <w:t>Материалы</w:t>
            </w:r>
          </w:p>
          <w:p>
            <w:pPr>
              <w:pStyle w:val="11"/>
              <w:widowControl w:val="false"/>
              <w:spacing w:before="0" w:after="0"/>
              <w:contextualSpacing w:val="false"/>
              <w:jc w:val="both"/>
              <w:rPr>
                <w:sz w:val="24"/>
                <w:szCs w:val="24"/>
              </w:rPr>
            </w:pPr>
            <w:r>
              <w:rPr>
                <w:sz w:val="24"/>
                <w:szCs w:val="24"/>
              </w:rPr>
              <w:t>-  материалы должны содержать схемы, таблицы, иллюстрации, примеры расчетов и ситуации из практики;</w:t>
            </w:r>
          </w:p>
          <w:p>
            <w:pPr>
              <w:pStyle w:val="11"/>
              <w:widowControl w:val="false"/>
              <w:spacing w:before="0" w:after="0"/>
              <w:contextualSpacing w:val="false"/>
              <w:jc w:val="both"/>
              <w:rPr>
                <w:sz w:val="24"/>
                <w:szCs w:val="24"/>
              </w:rPr>
            </w:pPr>
            <w:r>
              <w:rPr>
                <w:sz w:val="24"/>
                <w:szCs w:val="24"/>
              </w:rPr>
              <w:t>- материалы должны соответствовать нормам действующего законодательства на дату их применения. Должна быть возможность перехода в нормативно-правовые акты, а также возможность просмотра более ранних версий данных материалов сроком не менее чем за 2 года (если материал был в базе данных предыдущие 2 года). Дата версии материала должна быть отражена в панели документа «Редакция».</w:t>
            </w:r>
          </w:p>
          <w:p>
            <w:pPr>
              <w:pStyle w:val="11"/>
              <w:widowControl w:val="false"/>
              <w:spacing w:before="0" w:after="0"/>
              <w:contextualSpacing w:val="false"/>
              <w:rPr/>
            </w:pPr>
            <w:r>
              <w:rPr>
                <w:bCs/>
                <w:sz w:val="24"/>
                <w:szCs w:val="24"/>
                <w:u w:val="single"/>
              </w:rPr>
              <w:t>Шаблоны</w:t>
            </w:r>
            <w:r>
              <w:rPr>
                <w:sz w:val="24"/>
                <w:szCs w:val="24"/>
              </w:rPr>
              <w:t xml:space="preserve"> документов должны содержать пустую форму, заполненный пример и комментарии с рекомендациями или пояснениями по заполнению с возможностью скачать и распечатать.</w:t>
            </w:r>
          </w:p>
          <w:p>
            <w:pPr>
              <w:pStyle w:val="11"/>
              <w:widowControl w:val="false"/>
              <w:spacing w:before="0" w:after="0"/>
              <w:contextualSpacing w:val="false"/>
              <w:rPr/>
            </w:pPr>
            <w:r>
              <w:rPr>
                <w:bCs/>
                <w:sz w:val="24"/>
                <w:szCs w:val="24"/>
                <w:u w:val="single"/>
              </w:rPr>
              <w:t>Должен быть</w:t>
            </w:r>
            <w:r>
              <w:rPr>
                <w:sz w:val="24"/>
                <w:szCs w:val="24"/>
              </w:rPr>
              <w:t xml:space="preserve"> доступ к конструктору документов.</w:t>
            </w:r>
          </w:p>
          <w:p>
            <w:pPr>
              <w:pStyle w:val="11"/>
              <w:widowControl w:val="false"/>
              <w:spacing w:before="0" w:after="0"/>
              <w:contextualSpacing w:val="false"/>
              <w:rPr/>
            </w:pPr>
            <w:r>
              <w:rPr>
                <w:bCs/>
                <w:sz w:val="24"/>
                <w:szCs w:val="24"/>
                <w:u w:val="single"/>
              </w:rPr>
              <w:t>Электронные версии журналов</w:t>
            </w:r>
            <w:r>
              <w:rPr>
                <w:b/>
                <w:sz w:val="24"/>
                <w:szCs w:val="24"/>
              </w:rPr>
              <w:t>:</w:t>
            </w:r>
            <w:r>
              <w:rPr>
                <w:sz w:val="24"/>
                <w:szCs w:val="24"/>
              </w:rPr>
              <w:t xml:space="preserve"> выпуски, выходящие во время действия контракта и доступ к архиву журналов за период не менее 3-х лет.</w:t>
            </w:r>
          </w:p>
          <w:p>
            <w:pPr>
              <w:pStyle w:val="11"/>
              <w:widowControl w:val="false"/>
              <w:spacing w:before="0" w:after="0"/>
              <w:contextualSpacing w:val="false"/>
              <w:rPr/>
            </w:pPr>
            <w:r>
              <w:rPr>
                <w:bCs/>
                <w:sz w:val="24"/>
                <w:szCs w:val="24"/>
                <w:u w:val="single"/>
              </w:rPr>
              <w:t>Электронные версии специализированных периодических изданий по арбитражной</w:t>
            </w:r>
            <w:r>
              <w:rPr>
                <w:sz w:val="24"/>
                <w:szCs w:val="24"/>
              </w:rPr>
              <w:t xml:space="preserve"> практике и учету в учреждениях должна быть обеспечена возможность к архиву номеров за период не менее 3-х лет.</w:t>
            </w:r>
          </w:p>
          <w:p>
            <w:pPr>
              <w:pStyle w:val="11"/>
              <w:widowControl w:val="false"/>
              <w:spacing w:before="0" w:after="0"/>
              <w:contextualSpacing w:val="false"/>
              <w:rPr/>
            </w:pPr>
            <w:r>
              <w:rPr>
                <w:sz w:val="24"/>
                <w:szCs w:val="24"/>
              </w:rPr>
              <w:t xml:space="preserve"> </w:t>
            </w:r>
            <w:r>
              <w:rPr>
                <w:bCs/>
                <w:sz w:val="24"/>
                <w:szCs w:val="24"/>
                <w:u w:val="single"/>
              </w:rPr>
              <w:t>Электронные версии книг</w:t>
            </w:r>
            <w:r>
              <w:rPr>
                <w:sz w:val="24"/>
                <w:szCs w:val="24"/>
              </w:rPr>
              <w:t xml:space="preserve"> по учету, судопроизводству и договорной работе.</w:t>
            </w:r>
          </w:p>
          <w:p>
            <w:pPr>
              <w:pStyle w:val="11"/>
              <w:widowControl w:val="false"/>
              <w:spacing w:before="0" w:after="0"/>
              <w:contextualSpacing w:val="false"/>
              <w:rPr/>
            </w:pPr>
            <w:r>
              <w:rPr>
                <w:bCs/>
                <w:sz w:val="24"/>
                <w:szCs w:val="24"/>
                <w:u w:val="single"/>
              </w:rPr>
              <w:t>Расчетные сервисы</w:t>
            </w:r>
            <w:r>
              <w:rPr>
                <w:sz w:val="24"/>
                <w:szCs w:val="24"/>
              </w:rPr>
              <w:br/>
              <w:t>Расчет размера обеспечения заявки при проведении конкурсов и аукционов</w:t>
            </w:r>
          </w:p>
          <w:p>
            <w:pPr>
              <w:pStyle w:val="Normal"/>
              <w:widowControl w:val="false"/>
              <w:rPr/>
            </w:pPr>
            <w:r>
              <w:rPr>
                <w:bCs/>
                <w:u w:val="single"/>
              </w:rPr>
              <w:t>Расчетчик НМЦК</w:t>
            </w:r>
            <w:r>
              <w:rPr>
                <w:b/>
              </w:rPr>
              <w:t xml:space="preserve"> </w:t>
            </w:r>
            <w:r>
              <w:rPr/>
              <w:t>методом сопоставимых рыночных цен</w:t>
            </w:r>
          </w:p>
          <w:p>
            <w:pPr>
              <w:pStyle w:val="11"/>
              <w:widowControl w:val="false"/>
              <w:spacing w:before="0" w:after="0"/>
              <w:contextualSpacing w:val="false"/>
              <w:rPr>
                <w:sz w:val="24"/>
                <w:szCs w:val="24"/>
              </w:rPr>
            </w:pPr>
            <w:r>
              <w:rPr>
                <w:sz w:val="24"/>
                <w:szCs w:val="24"/>
              </w:rPr>
              <w:t>Сервис должен предоставлять ценовую информацию из реестра контрактов, исключая контракты с претензиями между сторонами и предписаниями ФАС с учетом региона, ОКПД2 объекта закупки и ОКЕИ.</w:t>
              <w:br/>
              <w:t>Сервис должен проверять коэффициент вариации для отобранной информации.</w:t>
              <w:br/>
              <w:t>Сервис должен рассчитывать итоговый НМЦК.</w:t>
            </w:r>
          </w:p>
          <w:p>
            <w:pPr>
              <w:pStyle w:val="11"/>
              <w:widowControl w:val="false"/>
              <w:spacing w:before="0" w:after="0"/>
              <w:contextualSpacing w:val="false"/>
              <w:rPr/>
            </w:pPr>
            <w:r>
              <w:rPr>
                <w:bCs/>
                <w:sz w:val="24"/>
                <w:szCs w:val="24"/>
                <w:u w:val="single"/>
              </w:rPr>
              <w:t>Калькулятор НМЦК охраны</w:t>
            </w:r>
            <w:r>
              <w:rPr>
                <w:sz w:val="24"/>
                <w:szCs w:val="24"/>
              </w:rPr>
              <w:t xml:space="preserve"> по приказу Росгвардии от 15.02.2021 № 45.</w:t>
            </w:r>
          </w:p>
          <w:p>
            <w:pPr>
              <w:pStyle w:val="11"/>
              <w:widowControl w:val="false"/>
              <w:spacing w:before="0" w:after="0"/>
              <w:contextualSpacing w:val="false"/>
              <w:rPr/>
            </w:pPr>
            <w:r>
              <w:rPr>
                <w:sz w:val="24"/>
                <w:szCs w:val="24"/>
              </w:rPr>
              <w:t xml:space="preserve">Сервис для заказчика </w:t>
            </w:r>
            <w:r>
              <w:rPr>
                <w:sz w:val="24"/>
                <w:szCs w:val="24"/>
                <w:u w:val="single"/>
              </w:rPr>
              <w:t>«Ассистент заказчика»</w:t>
            </w:r>
            <w:r>
              <w:rPr>
                <w:sz w:val="24"/>
                <w:szCs w:val="24"/>
              </w:rPr>
              <w:t xml:space="preserve"> должен обеспечивать подбор ОКПД2 и КТРУ, расчет НМЦК, сроков закупки, проверку на нацрежим, расчет неустойки, проверку КВР-КОСГУ, поиск в справочнике ЕСКЛП.</w:t>
            </w:r>
          </w:p>
          <w:p>
            <w:pPr>
              <w:pStyle w:val="11"/>
              <w:widowControl w:val="false"/>
              <w:spacing w:before="0" w:after="0"/>
              <w:contextualSpacing w:val="false"/>
              <w:rPr/>
            </w:pPr>
            <w:r>
              <w:rPr>
                <w:bCs/>
                <w:sz w:val="24"/>
                <w:szCs w:val="24"/>
                <w:u w:val="single"/>
              </w:rPr>
              <w:t>Сервис ОКПД2</w:t>
            </w:r>
            <w:r>
              <w:rPr>
                <w:b/>
                <w:sz w:val="24"/>
                <w:szCs w:val="24"/>
              </w:rPr>
              <w:br/>
            </w:r>
            <w:r>
              <w:rPr>
                <w:sz w:val="24"/>
                <w:szCs w:val="24"/>
              </w:rPr>
              <w:t>Сервис поиска и проверки ОКПД2 на ограничения, запреты и условия допуска, нахождение объекта закупки в перечнях закупок у УИС, организаций инвалидов и аукционном перечне.</w:t>
            </w:r>
          </w:p>
          <w:p>
            <w:pPr>
              <w:pStyle w:val="11"/>
              <w:widowControl w:val="false"/>
              <w:spacing w:before="0" w:after="0"/>
              <w:contextualSpacing w:val="false"/>
              <w:rPr>
                <w:bCs/>
                <w:sz w:val="24"/>
                <w:szCs w:val="24"/>
                <w:u w:val="single"/>
              </w:rPr>
            </w:pPr>
            <w:r>
              <w:rPr>
                <w:bCs/>
                <w:sz w:val="24"/>
                <w:szCs w:val="24"/>
                <w:u w:val="single"/>
              </w:rPr>
              <w:t>Сервис Справочник ЕСКЛП</w:t>
            </w:r>
          </w:p>
          <w:p>
            <w:pPr>
              <w:pStyle w:val="11"/>
              <w:widowControl w:val="false"/>
              <w:spacing w:before="0" w:after="0"/>
              <w:contextualSpacing w:val="false"/>
              <w:rPr>
                <w:sz w:val="24"/>
                <w:szCs w:val="24"/>
              </w:rPr>
            </w:pPr>
            <w:r>
              <w:rPr>
                <w:sz w:val="24"/>
                <w:szCs w:val="24"/>
              </w:rPr>
              <w:t>Сервис Справочник ЕСКЛП поиска лекарственных препаратов, подборки связанных кодов ОКПД2, проверки лекарственного препарата в перечне ЖНВЛП, проверки наличия в лекарственном препарате наркотических средств и психотропных веществ, проверки наличия установленной предельной отпускной цены.</w:t>
            </w:r>
          </w:p>
          <w:p>
            <w:pPr>
              <w:pStyle w:val="11"/>
              <w:widowControl w:val="false"/>
              <w:spacing w:before="0" w:after="0"/>
              <w:contextualSpacing w:val="false"/>
              <w:rPr>
                <w:bCs/>
                <w:sz w:val="24"/>
                <w:szCs w:val="24"/>
                <w:u w:val="single"/>
              </w:rPr>
            </w:pPr>
            <w:r>
              <w:rPr>
                <w:bCs/>
                <w:sz w:val="24"/>
                <w:szCs w:val="24"/>
                <w:u w:val="single"/>
              </w:rPr>
              <w:t>Сервис проверки КВР-КОСГУ</w:t>
            </w:r>
          </w:p>
          <w:p>
            <w:pPr>
              <w:pStyle w:val="11"/>
              <w:widowControl w:val="false"/>
              <w:spacing w:before="0" w:after="0"/>
              <w:contextualSpacing w:val="false"/>
              <w:rPr/>
            </w:pPr>
            <w:r>
              <w:rPr>
                <w:sz w:val="24"/>
                <w:szCs w:val="24"/>
              </w:rPr>
              <w:t xml:space="preserve">Сервис увязок по КВР и КОСГУ </w:t>
            </w:r>
            <w:r>
              <w:rPr>
                <w:sz w:val="24"/>
                <w:szCs w:val="24"/>
                <w:shd w:fill="FFFFFF" w:val="clear"/>
              </w:rPr>
              <w:t>подберет увязки с кодами по конкретным ситуациям заказчика. Заказчик получит увязку по КВР и КОСГУ для расходов.</w:t>
            </w:r>
          </w:p>
          <w:p>
            <w:pPr>
              <w:pStyle w:val="11"/>
              <w:widowControl w:val="false"/>
              <w:spacing w:before="0" w:after="0"/>
              <w:contextualSpacing w:val="false"/>
              <w:rPr>
                <w:bCs/>
                <w:sz w:val="24"/>
                <w:szCs w:val="24"/>
                <w:u w:val="single"/>
                <w:shd w:fill="FFFFFF" w:val="clear"/>
              </w:rPr>
            </w:pPr>
            <w:r>
              <w:rPr>
                <w:bCs/>
                <w:sz w:val="24"/>
                <w:szCs w:val="24"/>
                <w:u w:val="single"/>
                <w:shd w:fill="FFFFFF" w:val="clear"/>
              </w:rPr>
              <w:t>Сервис Подбор документов</w:t>
            </w:r>
          </w:p>
          <w:p>
            <w:pPr>
              <w:pStyle w:val="11"/>
              <w:widowControl w:val="false"/>
              <w:spacing w:before="0" w:after="0"/>
              <w:contextualSpacing w:val="false"/>
              <w:rPr>
                <w:sz w:val="24"/>
                <w:szCs w:val="24"/>
                <w:shd w:fill="FFFFFF" w:val="clear"/>
              </w:rPr>
            </w:pPr>
            <w:r>
              <w:rPr>
                <w:sz w:val="24"/>
                <w:szCs w:val="24"/>
                <w:shd w:fill="FFFFFF" w:val="clear"/>
              </w:rPr>
              <w:t>Сервис Подбор документов подберет конкурсную и договорную документацию из размещенных контрактов в реестре ЕИС, в том числе коммерческие предложения, технические задания, контракты, договоры.</w:t>
            </w:r>
          </w:p>
          <w:p>
            <w:pPr>
              <w:pStyle w:val="11"/>
              <w:widowControl w:val="false"/>
              <w:spacing w:before="0" w:after="0"/>
              <w:contextualSpacing w:val="false"/>
              <w:rPr>
                <w:bCs/>
                <w:sz w:val="24"/>
                <w:szCs w:val="24"/>
                <w:u w:val="single"/>
              </w:rPr>
            </w:pPr>
            <w:r>
              <w:rPr>
                <w:bCs/>
                <w:sz w:val="24"/>
                <w:szCs w:val="24"/>
                <w:u w:val="single"/>
              </w:rPr>
              <w:t>Сервис Быстрые ответы</w:t>
            </w:r>
          </w:p>
          <w:p>
            <w:pPr>
              <w:pStyle w:val="11"/>
              <w:widowControl w:val="false"/>
              <w:spacing w:before="0" w:after="0"/>
              <w:contextualSpacing w:val="false"/>
              <w:rPr>
                <w:sz w:val="24"/>
                <w:szCs w:val="24"/>
              </w:rPr>
            </w:pPr>
            <w:r>
              <w:rPr>
                <w:sz w:val="24"/>
                <w:szCs w:val="24"/>
              </w:rPr>
              <w:t xml:space="preserve">Сервис Быстрые ответы поиска коротких ответов по запросу заказчика. </w:t>
            </w:r>
            <w:r>
              <w:rPr>
                <w:sz w:val="24"/>
                <w:szCs w:val="24"/>
                <w:shd w:fill="FFFFFF" w:val="clear"/>
              </w:rPr>
              <w:t>Быстрые ответы содержат ссылки на материалы Системы Госзаказ по нужной теме, нормативно-правовые документы, готовые файлы на скачивание. С помощью сервиса Быстрые ответы заказчик получит ответы более чем на 62 процента запросов.</w:t>
            </w:r>
          </w:p>
          <w:p>
            <w:pPr>
              <w:pStyle w:val="11"/>
              <w:widowControl w:val="false"/>
              <w:spacing w:before="0" w:after="0"/>
              <w:contextualSpacing w:val="false"/>
              <w:rPr/>
            </w:pPr>
            <w:r>
              <w:rPr>
                <w:bCs/>
                <w:sz w:val="24"/>
                <w:szCs w:val="24"/>
                <w:u w:val="single"/>
              </w:rPr>
              <w:t>Сервис для поставщика</w:t>
            </w:r>
            <w:r>
              <w:rPr>
                <w:sz w:val="24"/>
                <w:szCs w:val="24"/>
              </w:rPr>
              <w:t>, должен собирать информацию с государственных и коммерческих площадок по перечню и анализировать предложения заказчиков: поиск актуальных тендеров, проверка и оценка заказчиков, личный кабинет поставщика.</w:t>
            </w:r>
          </w:p>
          <w:p>
            <w:pPr>
              <w:pStyle w:val="Normal"/>
              <w:rPr/>
            </w:pPr>
            <w:r>
              <w:rPr>
                <w:bCs/>
                <w:u w:val="single"/>
              </w:rPr>
              <w:t>Справочник</w:t>
            </w:r>
            <w:r>
              <w:rPr/>
              <w:t xml:space="preserve"> ОКПД2</w:t>
              <w:br/>
              <w:t>Сервис поиска и проверки ОКПД2 на ограничения, запреты и условия допуска, нахождение объекта закупки в перечнях закупок у УИС, организаций инвалидов и аукционном перечне.</w:t>
            </w:r>
          </w:p>
          <w:p>
            <w:pPr>
              <w:pStyle w:val="11"/>
              <w:rPr>
                <w:color w:val="000000"/>
                <w:sz w:val="24"/>
                <w:szCs w:val="24"/>
              </w:rPr>
            </w:pPr>
            <w:r>
              <w:rPr>
                <w:color w:val="000000"/>
                <w:sz w:val="24"/>
                <w:szCs w:val="24"/>
                <w:u w:val="single"/>
              </w:rPr>
              <w:t>Число документов в разделах может меняться с учетом их актуализации</w:t>
            </w:r>
            <w:r>
              <w:rPr>
                <w:b/>
                <w:bCs/>
                <w:color w:val="000000"/>
                <w:sz w:val="24"/>
                <w:szCs w:val="24"/>
              </w:rPr>
              <w:t>.</w:t>
            </w:r>
          </w:p>
          <w:p>
            <w:pPr>
              <w:pStyle w:val="Normal"/>
              <w:jc w:val="both"/>
              <w:rPr>
                <w:color w:val="000000"/>
              </w:rPr>
            </w:pPr>
            <w:r>
              <w:rPr>
                <w:color w:val="000000"/>
                <w:u w:val="single"/>
              </w:rPr>
              <w:t>Безопасность</w:t>
            </w:r>
            <w:r>
              <w:rPr>
                <w:color w:val="000000"/>
              </w:rPr>
              <w:t>: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27.07. 2006г. № 152-ФЗ «О персональных данных».</w:t>
            </w:r>
          </w:p>
        </w:tc>
      </w:tr>
      <w:tr>
        <w:trPr/>
        <w:tc>
          <w:tcPr>
            <w:tcW w:w="2537" w:type="dxa"/>
            <w:tcBorders>
              <w:top w:val="single" w:sz="6" w:space="0" w:color="000000"/>
              <w:left w:val="single" w:sz="6" w:space="0" w:color="000000"/>
              <w:bottom w:val="single" w:sz="6" w:space="0" w:color="000000"/>
              <w:right w:val="single" w:sz="6" w:space="0" w:color="000000"/>
            </w:tcBorders>
          </w:tcPr>
          <w:p>
            <w:pPr>
              <w:pStyle w:val="Normal"/>
              <w:rPr>
                <w:b/>
                <w:bCs/>
                <w:color w:val="000000"/>
              </w:rPr>
            </w:pPr>
            <w:r>
              <w:rPr>
                <w:b/>
                <w:bCs/>
                <w:color w:val="00000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7327" w:type="dxa"/>
            <w:tcBorders>
              <w:top w:val="single" w:sz="6" w:space="0" w:color="000000"/>
              <w:left w:val="single" w:sz="6" w:space="0" w:color="000000"/>
              <w:bottom w:val="single" w:sz="6" w:space="0" w:color="000000"/>
              <w:right w:val="single" w:sz="6" w:space="0" w:color="000000"/>
            </w:tcBorders>
          </w:tcPr>
          <w:p>
            <w:pPr>
              <w:pStyle w:val="Normal"/>
              <w:jc w:val="both"/>
              <w:rPr>
                <w:color w:val="000000"/>
              </w:rPr>
            </w:pPr>
            <w:r>
              <w:rPr>
                <w:color w:val="000000"/>
              </w:rPr>
              <w:t>В соответствии с постановлением Правительства РФ от 23.12.2024 № 1875 «</w:t>
            </w:r>
            <w:r>
              <w:rPr>
                <w:color w:val="000000"/>
                <w:shd w:fill="FFFFFF" w:val="clear"/>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color w:val="000000"/>
              </w:rPr>
              <w:t>», установлен запрет закупок программ для электронных вычислительных машин и (или) баз данных, р</w:t>
            </w:r>
            <w:r>
              <w:rPr>
                <w:color w:val="000000"/>
                <w:shd w:fill="FFFFFF" w:val="clear"/>
              </w:rPr>
              <w:t xml:space="preserve">еализуемых, независимо от вида договора, на материальном носителе и (или) в электронном виде по каналам связи (за исключение </w:t>
            </w:r>
            <w:r>
              <w:rPr>
                <w:color w:val="000000"/>
              </w:rPr>
              <w:t>программного обеспечения, включенного в</w:t>
            </w:r>
            <w:r>
              <w:rPr>
                <w:color w:val="000000"/>
                <w:shd w:fill="FFFFFF" w:val="clear"/>
              </w:rPr>
              <w:t xml:space="preserve"> реестр российского программного обеспечения и (или) реестр евразийского программного обеспечения), а также исключительных прав на программное обеспечение и прав использования программного обеспечения</w:t>
            </w:r>
            <w:r>
              <w:rPr>
                <w:color w:val="000000"/>
              </w:rPr>
              <w:t xml:space="preserve"> для целей осуществления закупок для обеспечения государственных и муниципальных нужд.</w:t>
            </w:r>
          </w:p>
        </w:tc>
      </w:tr>
    </w:tbl>
    <w:p>
      <w:pPr>
        <w:pStyle w:val="Normal"/>
        <w:tabs>
          <w:tab w:val="clear" w:pos="708"/>
          <w:tab w:val="left" w:pos="3120" w:leader="none"/>
          <w:tab w:val="left" w:pos="5835" w:leader="none"/>
        </w:tabs>
        <w:spacing w:lineRule="auto" w:line="360" w:before="0" w:after="30"/>
        <w:jc w:val="both"/>
        <w:rPr/>
      </w:pPr>
      <w:r>
        <w:rPr/>
      </w:r>
    </w:p>
    <w:p>
      <w:pPr>
        <w:pStyle w:val="Normal"/>
        <w:widowControl w:val="false"/>
        <w:jc w:val="both"/>
        <w:rPr/>
      </w:pPr>
      <w:r>
        <w:rPr/>
      </w:r>
    </w:p>
    <w:p>
      <w:pPr>
        <w:pStyle w:val="Normal"/>
        <w:widowControl w:val="false"/>
        <w:jc w:val="both"/>
        <w:rPr/>
      </w:pPr>
      <w:r>
        <w:rPr/>
      </w:r>
    </w:p>
    <w:tbl>
      <w:tblPr>
        <w:tblW w:w="9865" w:type="dxa"/>
        <w:jc w:val="left"/>
        <w:tblInd w:w="108" w:type="dxa"/>
        <w:tblLayout w:type="fixed"/>
        <w:tblCellMar>
          <w:top w:w="0" w:type="dxa"/>
          <w:left w:w="108" w:type="dxa"/>
          <w:bottom w:w="0" w:type="dxa"/>
          <w:right w:w="108" w:type="dxa"/>
        </w:tblCellMar>
      </w:tblPr>
      <w:tblGrid>
        <w:gridCol w:w="4814"/>
        <w:gridCol w:w="232"/>
        <w:gridCol w:w="4819"/>
      </w:tblGrid>
      <w:tr>
        <w:trPr>
          <w:trHeight w:val="47" w:hRule="atLeast"/>
        </w:trPr>
        <w:tc>
          <w:tcPr>
            <w:tcW w:w="4814" w:type="dxa"/>
            <w:tcBorders/>
          </w:tcPr>
          <w:p>
            <w:pPr>
              <w:pStyle w:val="Normal"/>
              <w:widowControl w:val="false"/>
              <w:jc w:val="both"/>
              <w:rPr>
                <w:b/>
              </w:rPr>
            </w:pPr>
            <w:r>
              <w:rPr>
                <w:b/>
              </w:rPr>
              <w:t xml:space="preserve">ОТ </w:t>
            </w:r>
            <w:r>
              <w:rPr>
                <w:b/>
                <w:bCs/>
              </w:rPr>
              <w:t>СУБЛИЦЕНЗИАТА</w:t>
            </w:r>
          </w:p>
        </w:tc>
        <w:tc>
          <w:tcPr>
            <w:tcW w:w="232" w:type="dxa"/>
            <w:tcBorders/>
          </w:tcPr>
          <w:p>
            <w:pPr>
              <w:pStyle w:val="Normal"/>
              <w:widowControl w:val="false"/>
              <w:snapToGrid w:val="false"/>
              <w:jc w:val="both"/>
              <w:rPr>
                <w:b/>
              </w:rPr>
            </w:pPr>
            <w:r>
              <w:rPr>
                <w:b/>
              </w:rPr>
            </w:r>
          </w:p>
        </w:tc>
        <w:tc>
          <w:tcPr>
            <w:tcW w:w="4819" w:type="dxa"/>
            <w:tcBorders/>
          </w:tcPr>
          <w:p>
            <w:pPr>
              <w:pStyle w:val="Normal"/>
              <w:widowControl w:val="false"/>
              <w:jc w:val="both"/>
              <w:rPr>
                <w:b/>
              </w:rPr>
            </w:pPr>
            <w:r>
              <w:rPr>
                <w:b/>
              </w:rPr>
              <w:t>ОТ ГОСУДАРСТВЕННОГО ЗАКАЗЧИКА</w:t>
            </w:r>
          </w:p>
        </w:tc>
      </w:tr>
      <w:tr>
        <w:trPr>
          <w:trHeight w:val="47" w:hRule="atLeast"/>
        </w:trPr>
        <w:tc>
          <w:tcPr>
            <w:tcW w:w="4814" w:type="dxa"/>
            <w:tcBorders/>
          </w:tcPr>
          <w:p>
            <w:pPr>
              <w:pStyle w:val="Normal"/>
              <w:widowControl w:val="false"/>
              <w:snapToGrid w:val="false"/>
              <w:jc w:val="center"/>
              <w:rPr>
                <w:b/>
              </w:rPr>
            </w:pPr>
            <w:r>
              <w:rPr>
                <w:b/>
              </w:rPr>
            </w:r>
          </w:p>
          <w:p>
            <w:pPr>
              <w:pStyle w:val="Normal"/>
              <w:widowControl w:val="false"/>
              <w:jc w:val="center"/>
              <w:rPr/>
            </w:pPr>
            <w:r>
              <w:rPr/>
              <w:t>__________________________</w:t>
            </w:r>
          </w:p>
          <w:p>
            <w:pPr>
              <w:pStyle w:val="Normal"/>
              <w:widowControl w:val="false"/>
              <w:jc w:val="center"/>
              <w:rPr/>
            </w:pPr>
            <w:r>
              <w:rPr/>
              <w:t>__________________________</w:t>
            </w:r>
          </w:p>
          <w:p>
            <w:pPr>
              <w:pStyle w:val="Normal"/>
              <w:widowControl w:val="false"/>
              <w:jc w:val="both"/>
              <w:rPr/>
            </w:pPr>
            <w:r>
              <w:rPr/>
            </w:r>
          </w:p>
        </w:tc>
        <w:tc>
          <w:tcPr>
            <w:tcW w:w="232" w:type="dxa"/>
            <w:tcBorders/>
          </w:tcPr>
          <w:p>
            <w:pPr>
              <w:pStyle w:val="Normal"/>
              <w:widowControl w:val="false"/>
              <w:snapToGrid w:val="false"/>
              <w:jc w:val="both"/>
              <w:rPr/>
            </w:pPr>
            <w:r>
              <w:rPr/>
            </w:r>
          </w:p>
        </w:tc>
        <w:tc>
          <w:tcPr>
            <w:tcW w:w="4819" w:type="dxa"/>
            <w:tcBorders/>
          </w:tcPr>
          <w:p>
            <w:pPr>
              <w:pStyle w:val="Normal"/>
              <w:widowControl w:val="false"/>
              <w:snapToGrid w:val="false"/>
              <w:jc w:val="center"/>
              <w:rPr/>
            </w:pPr>
            <w:r>
              <w:rPr/>
            </w:r>
          </w:p>
          <w:p>
            <w:pPr>
              <w:pStyle w:val="Normal"/>
              <w:widowControl w:val="false"/>
              <w:jc w:val="center"/>
              <w:rPr/>
            </w:pPr>
            <w:r>
              <w:rPr/>
            </w:r>
          </w:p>
          <w:p>
            <w:pPr>
              <w:pStyle w:val="Normal"/>
              <w:widowControl w:val="false"/>
              <w:jc w:val="center"/>
              <w:rPr/>
            </w:pPr>
            <w:r>
              <w:rPr/>
              <w:t>__________________________</w:t>
            </w:r>
          </w:p>
          <w:p>
            <w:pPr>
              <w:pStyle w:val="Normal"/>
              <w:widowControl w:val="false"/>
              <w:jc w:val="both"/>
              <w:rPr/>
            </w:pPr>
            <w:r>
              <w:rPr/>
            </w:r>
          </w:p>
        </w:tc>
      </w:tr>
      <w:tr>
        <w:trPr>
          <w:trHeight w:val="47" w:hRule="atLeast"/>
        </w:trPr>
        <w:tc>
          <w:tcPr>
            <w:tcW w:w="4814" w:type="dxa"/>
            <w:tcBorders/>
          </w:tcPr>
          <w:p>
            <w:pPr>
              <w:pStyle w:val="Normal"/>
              <w:widowControl w:val="false"/>
              <w:jc w:val="center"/>
              <w:rPr/>
            </w:pPr>
            <w:r>
              <w:rPr/>
              <w:t>__________________________</w:t>
            </w:r>
          </w:p>
          <w:p>
            <w:pPr>
              <w:pStyle w:val="Normal"/>
              <w:widowControl w:val="false"/>
              <w:jc w:val="both"/>
              <w:rPr/>
            </w:pPr>
            <w:r>
              <w:rPr/>
              <w:t xml:space="preserve">                              </w:t>
            </w:r>
            <w:r>
              <w:rPr/>
              <w:t>М.П.</w:t>
            </w:r>
          </w:p>
        </w:tc>
        <w:tc>
          <w:tcPr>
            <w:tcW w:w="232" w:type="dxa"/>
            <w:tcBorders/>
          </w:tcPr>
          <w:p>
            <w:pPr>
              <w:pStyle w:val="Normal"/>
              <w:widowControl w:val="false"/>
              <w:snapToGrid w:val="false"/>
              <w:jc w:val="both"/>
              <w:rPr/>
            </w:pPr>
            <w:r>
              <w:rPr/>
            </w:r>
          </w:p>
        </w:tc>
        <w:tc>
          <w:tcPr>
            <w:tcW w:w="4819" w:type="dxa"/>
            <w:tcBorders/>
          </w:tcPr>
          <w:p>
            <w:pPr>
              <w:pStyle w:val="Normal"/>
              <w:widowControl w:val="false"/>
              <w:jc w:val="center"/>
              <w:rPr/>
            </w:pPr>
            <w:r>
              <w:rPr/>
              <w:t>______________</w:t>
            </w:r>
          </w:p>
          <w:p>
            <w:pPr>
              <w:pStyle w:val="Normal"/>
              <w:widowControl w:val="false"/>
              <w:jc w:val="both"/>
              <w:rPr/>
            </w:pPr>
            <w:r>
              <w:rPr/>
              <w:t xml:space="preserve">                              </w:t>
            </w:r>
            <w:r>
              <w:rPr/>
              <w:t>М.П.</w:t>
            </w:r>
          </w:p>
        </w:tc>
      </w:tr>
    </w:tbl>
    <w:p>
      <w:pPr>
        <w:pStyle w:val="Normal"/>
        <w:widowControl w:val="false"/>
        <w:jc w:val="both"/>
        <w:rPr/>
      </w:pPr>
      <w:r>
        <w:rPr/>
      </w:r>
    </w:p>
    <w:sectPr>
      <w:footerReference w:type="even" r:id="rId15"/>
      <w:footerReference w:type="default" r:id="rId16"/>
      <w:footerReference w:type="first" r:id="rId17"/>
      <w:type w:val="nextPage"/>
      <w:pgSz w:w="11906" w:h="16838"/>
      <w:pgMar w:left="1304" w:right="737" w:gutter="0" w:header="0" w:top="624"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swiss"/>
    <w:pitch w:val="variable"/>
  </w:font>
  <w:font w:name="Liberation Sans">
    <w:altName w:val="Arial"/>
    <w:charset w:val="01"/>
    <w:family w:val="roman"/>
    <w:pitch w:val="variable"/>
  </w:font>
  <w:font w:name="Arial">
    <w:charset w:val="01"/>
    <w:family w:val="swiss"/>
    <w:pitch w:val="variable"/>
  </w:font>
  <w:font w:name="Open Sans">
    <w:charset w:val="01"/>
    <w:family w:val="swiss"/>
    <w:pitch w:val="variable"/>
  </w:font>
  <w:font w:name="Calibri">
    <w:charset w:val="01"/>
    <w:family w:val="swiss"/>
    <w:pitch w:val="variable"/>
  </w:font>
  <w:font w:name="Symbol">
    <w:charset w:val="02"/>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1070"/>
        </w:tabs>
        <w:ind w:left="1070" w:hanging="360"/>
      </w:pPr>
      <w:rPr>
        <w:rFonts w:ascii="Wingdings" w:hAnsi="Wingdings" w:cs="Wingdings" w:hint="default"/>
        <w:sz w:val="24"/>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0"/>
        </w:tabs>
        <w:ind w:left="1069"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0"/>
        </w:tabs>
        <w:ind w:left="360" w:hanging="360"/>
      </w:pPr>
      <w:rPr>
        <w:sz w:val="22"/>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bullet"/>
      <w:lvlText w:val=""/>
      <w:lvlJc w:val="left"/>
      <w:pPr>
        <w:tabs>
          <w:tab w:val="num" w:pos="0"/>
        </w:tabs>
        <w:ind w:left="7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bullet"/>
      <w:lvlText w:val=""/>
      <w:lvlJc w:val="left"/>
      <w:pPr>
        <w:tabs>
          <w:tab w:val="num" w:pos="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bullet"/>
      <w:lvlText w:val=""/>
      <w:lvlJc w:val="left"/>
      <w:pPr>
        <w:tabs>
          <w:tab w:val="num" w:pos="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decimal"/>
      <w:lvlText w:val="%1."/>
      <w:lvlJc w:val="left"/>
      <w:pPr>
        <w:tabs>
          <w:tab w:val="num" w:pos="708"/>
        </w:tabs>
        <w:ind w:left="0" w:hanging="0"/>
      </w:pPr>
      <w:rPr>
        <w:sz w:val="28"/>
        <w:b/>
        <w:szCs w:val="28"/>
        <w:bCs/>
        <w:rFonts w:ascii="Times New Roman" w:hAnsi="Times New Roman" w:cs="Times New Roman"/>
      </w:rPr>
    </w:lvl>
    <w:lvl w:ilvl="1">
      <w:start w:val="1"/>
      <w:numFmt w:val="decimal"/>
      <w:lvlText w:val="%1.%2."/>
      <w:lvlJc w:val="left"/>
      <w:pPr>
        <w:tabs>
          <w:tab w:val="num" w:pos="540"/>
        </w:tabs>
        <w:ind w:left="540" w:hanging="540"/>
      </w:pPr>
      <w:rPr>
        <w:sz w:val="24"/>
        <w:i w:val="false"/>
        <w:b/>
        <w:szCs w:val="24"/>
        <w:rFonts w:ascii="Times New Roman" w:hAnsi="Times New Roman" w:cs="Times New Roman"/>
      </w:rPr>
    </w:lvl>
    <w:lvl w:ilvl="2">
      <w:start w:val="1"/>
      <w:numFmt w:val="decimal"/>
      <w:lvlText w:val="%1.%2.%3."/>
      <w:lvlJc w:val="left"/>
      <w:pPr>
        <w:tabs>
          <w:tab w:val="num" w:pos="1988"/>
        </w:tabs>
        <w:ind w:left="2138" w:hanging="720"/>
      </w:pPr>
      <w:rPr>
        <w:sz w:val="24"/>
        <w:b/>
        <w:szCs w:val="24"/>
        <w:rFonts w:ascii="Times New Roman" w:hAnsi="Times New Roman" w:cs="Times New Roman"/>
      </w:rPr>
    </w:lvl>
    <w:lvl w:ilvl="3">
      <w:start w:val="1"/>
      <w:numFmt w:val="decimal"/>
      <w:lvlText w:val="%1.%2.%3.%4."/>
      <w:lvlJc w:val="left"/>
      <w:pPr>
        <w:tabs>
          <w:tab w:val="num" w:pos="1710"/>
        </w:tabs>
        <w:ind w:left="1710" w:hanging="720"/>
      </w:pPr>
      <w:rPr>
        <w:sz w:val="24"/>
        <w:szCs w:val="24"/>
        <w:rFonts w:ascii="Times New Roman" w:hAnsi="Times New Roman" w:cs="Times New Roman"/>
      </w:rPr>
    </w:lvl>
    <w:lvl w:ilvl="4">
      <w:start w:val="1"/>
      <w:numFmt w:val="decimal"/>
      <w:lvlText w:val="%1.%2.%3.%4.%5."/>
      <w:lvlJc w:val="left"/>
      <w:pPr>
        <w:tabs>
          <w:tab w:val="num" w:pos="1080"/>
        </w:tabs>
        <w:ind w:left="1080" w:hanging="1080"/>
      </w:pPr>
      <w:rPr>
        <w:sz w:val="24"/>
        <w:szCs w:val="24"/>
        <w:rFonts w:ascii="Times New Roman" w:hAnsi="Times New Roman" w:cs="Times New Roman"/>
      </w:rPr>
    </w:lvl>
    <w:lvl w:ilvl="5">
      <w:start w:val="1"/>
      <w:numFmt w:val="decimal"/>
      <w:lvlText w:val="%1.%2.%3.%4.%5.%6."/>
      <w:lvlJc w:val="left"/>
      <w:pPr>
        <w:tabs>
          <w:tab w:val="num" w:pos="1080"/>
        </w:tabs>
        <w:ind w:left="1080" w:hanging="1080"/>
      </w:pPr>
      <w:rPr>
        <w:sz w:val="24"/>
        <w:szCs w:val="24"/>
        <w:rFonts w:ascii="Times New Roman" w:hAnsi="Times New Roman" w:cs="Times New Roman"/>
      </w:rPr>
    </w:lvl>
    <w:lvl w:ilvl="6">
      <w:start w:val="1"/>
      <w:numFmt w:val="decimal"/>
      <w:lvlText w:val="%1.%2.%3.%4.%5.%6.%7."/>
      <w:lvlJc w:val="left"/>
      <w:pPr>
        <w:tabs>
          <w:tab w:val="num" w:pos="1440"/>
        </w:tabs>
        <w:ind w:left="1440" w:hanging="1440"/>
      </w:pPr>
      <w:rPr>
        <w:sz w:val="24"/>
        <w:szCs w:val="24"/>
        <w:rFonts w:ascii="Times New Roman" w:hAnsi="Times New Roman" w:cs="Times New Roman"/>
      </w:rPr>
    </w:lvl>
    <w:lvl w:ilvl="7">
      <w:start w:val="1"/>
      <w:numFmt w:val="decimal"/>
      <w:lvlText w:val="%1.%2.%3.%4.%5.%6.%7.%8."/>
      <w:lvlJc w:val="left"/>
      <w:pPr>
        <w:tabs>
          <w:tab w:val="num" w:pos="1440"/>
        </w:tabs>
        <w:ind w:left="1440" w:hanging="1440"/>
      </w:pPr>
      <w:rPr>
        <w:sz w:val="24"/>
        <w:szCs w:val="24"/>
        <w:rFonts w:ascii="Times New Roman" w:hAnsi="Times New Roman" w:cs="Times New Roman"/>
      </w:rPr>
    </w:lvl>
    <w:lvl w:ilvl="8">
      <w:start w:val="1"/>
      <w:numFmt w:val="decimal"/>
      <w:lvlText w:val="%1.%2.%3.%4.%5.%6.%7.%8.%9."/>
      <w:lvlJc w:val="left"/>
      <w:pPr>
        <w:tabs>
          <w:tab w:val="num" w:pos="1800"/>
        </w:tabs>
        <w:ind w:left="1800" w:hanging="1800"/>
      </w:pPr>
      <w:rPr>
        <w:sz w:val="24"/>
        <w:szCs w:val="24"/>
        <w:rFonts w:ascii="Times New Roman" w:hAnsi="Times New Roman" w:cs="Times New Roman"/>
      </w:rPr>
    </w:lvl>
  </w:abstractNum>
  <w:abstractNum w:abstractNumId="13">
    <w:lvl w:ilvl="0">
      <w:start w:val="1"/>
      <w:numFmt w:val="lowerLetter"/>
      <w:lvlText w:val="%1)"/>
      <w:lvlJc w:val="left"/>
      <w:pPr>
        <w:tabs>
          <w:tab w:val="num" w:pos="0"/>
        </w:tabs>
        <w:ind w:left="7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decimal"/>
      <w:lvlText w:val="%1)"/>
      <w:lvlJc w:val="left"/>
      <w:pPr>
        <w:tabs>
          <w:tab w:val="num" w:pos="0"/>
        </w:tabs>
        <w:ind w:left="720" w:hanging="360"/>
      </w:pPr>
      <w:rPr>
        <w:b w:val="false"/>
        <w:bC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
    <w:lvl w:ilvl="0">
      <w:start w:val="1"/>
      <w:numFmt w:val="bullet"/>
      <w:lvlText w:val=""/>
      <w:lvlJc w:val="left"/>
      <w:pPr>
        <w:tabs>
          <w:tab w:val="num" w:pos="0"/>
        </w:tabs>
        <w:ind w:left="120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Normal"/>
    <w:next w:val="Normal"/>
    <w:qFormat/>
    <w:pPr>
      <w:keepNext w:val="true"/>
      <w:keepLines/>
      <w:numPr>
        <w:ilvl w:val="0"/>
        <w:numId w:val="2"/>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val="true"/>
      <w:widowControl w:val="false"/>
      <w:numPr>
        <w:ilvl w:val="0"/>
        <w:numId w:val="12"/>
      </w:numPr>
      <w:jc w:val="both"/>
      <w:outlineLvl w:val="1"/>
    </w:pPr>
    <w:rPr>
      <w:b/>
      <w:bCs/>
      <w:color w:val="000000"/>
      <w:sz w:val="28"/>
      <w:szCs w:val="28"/>
    </w:rPr>
  </w:style>
  <w:style w:type="character" w:styleId="WW8Num1z0">
    <w:name w:val="WW8Num1z0"/>
    <w:qFormat/>
    <w:rPr>
      <w:rFonts w:ascii="Symbol" w:hAnsi="Symbol" w:cs="Symbol"/>
    </w:rPr>
  </w:style>
  <w:style w:type="character" w:styleId="WW8Num2z0">
    <w:name w:val="WW8Num2z0"/>
    <w:qFormat/>
    <w:rPr>
      <w:rFonts w:cs="Times New Roman"/>
    </w:rPr>
  </w:style>
  <w:style w:type="character" w:styleId="WW8Num3z0">
    <w:name w:val="WW8Num3z0"/>
    <w:qFormat/>
    <w:rPr>
      <w:rFonts w:cs="Times New Roman"/>
    </w:rPr>
  </w:style>
  <w:style w:type="character" w:styleId="WW8Num3z1">
    <w:name w:val="WW8Num3z1"/>
    <w:qFormat/>
    <w:rPr>
      <w:rFonts w:cs="Times New Roman"/>
      <w:sz w:val="22"/>
      <w:szCs w:val="22"/>
    </w:rPr>
  </w:style>
  <w:style w:type="character" w:styleId="WW8Num4z0">
    <w:name w:val="WW8Num4z0"/>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Times New Roman" w:hAnsi="Times New Roman" w:cs="Times New Roman"/>
      <w:sz w:val="24"/>
      <w:szCs w:val="24"/>
    </w:rPr>
  </w:style>
  <w:style w:type="character" w:styleId="WW8Num6z1">
    <w:name w:val="WW8Num6z1"/>
    <w:qFormat/>
    <w:rPr>
      <w:rFonts w:ascii="Times New Roman" w:hAnsi="Times New Roman" w:cs="Times New Roman"/>
      <w:sz w:val="22"/>
      <w:szCs w:val="22"/>
    </w:rPr>
  </w:style>
  <w:style w:type="character" w:styleId="WW8Num7z0">
    <w:name w:val="WW8Num7z0"/>
    <w:qFormat/>
    <w:rPr>
      <w:rFonts w:ascii="Wingdings" w:hAnsi="Wingdings" w:cs="Wingdings"/>
      <w:sz w:val="24"/>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style>
  <w:style w:type="character" w:styleId="WW8Num9z1">
    <w:name w:val="WW8Num9z1"/>
    <w:qFormat/>
    <w:rPr>
      <w:b/>
    </w:rPr>
  </w:style>
  <w:style w:type="character" w:styleId="WW8Num10z0">
    <w:name w:val="WW8Num10z0"/>
    <w:qFormat/>
    <w:rPr>
      <w:sz w:val="22"/>
    </w:rPr>
  </w:style>
  <w:style w:type="character" w:styleId="WW8Num11z0">
    <w:name w:val="WW8Num11z0"/>
    <w:qFormat/>
    <w:rPr>
      <w:sz w:val="22"/>
    </w:rPr>
  </w:style>
  <w:style w:type="character" w:styleId="WW8Num12z0">
    <w:name w:val="WW8Num12z0"/>
    <w:qFormat/>
    <w:rPr>
      <w:rFonts w:ascii="Symbol" w:hAnsi="Symbol" w:cs="Symbol"/>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style>
  <w:style w:type="character" w:styleId="WW8Num16z0">
    <w:name w:val="WW8Num16z0"/>
    <w:qFormat/>
    <w:rPr/>
  </w:style>
  <w:style w:type="character" w:styleId="WW8Num17z0">
    <w:name w:val="WW8Num17z0"/>
    <w:qFormat/>
    <w:rPr>
      <w:rFonts w:ascii="Times New Roman" w:hAnsi="Times New Roman" w:cs="Times New Roman"/>
      <w:b w:val="false"/>
      <w:i w:val="false"/>
      <w:sz w:val="22"/>
      <w:szCs w:val="22"/>
      <w:u w:val="none"/>
    </w:rPr>
  </w:style>
  <w:style w:type="character" w:styleId="WW8Num17z1">
    <w:name w:val="WW8Num17z1"/>
    <w:qFormat/>
    <w:rPr>
      <w:rFonts w:cs="Times New Roman"/>
    </w:rPr>
  </w:style>
  <w:style w:type="character" w:styleId="WW8Num18z0">
    <w:name w:val="WW8Num18z0"/>
    <w:qFormat/>
    <w:rPr>
      <w:rFonts w:ascii="Times New Roman" w:hAnsi="Times New Roman" w:cs="Times New Roman"/>
      <w:b/>
      <w:bCs/>
      <w:sz w:val="28"/>
      <w:szCs w:val="28"/>
    </w:rPr>
  </w:style>
  <w:style w:type="character" w:styleId="WW8Num18z1">
    <w:name w:val="WW8Num18z1"/>
    <w:qFormat/>
    <w:rPr>
      <w:rFonts w:ascii="Times New Roman" w:hAnsi="Times New Roman" w:cs="Times New Roman"/>
      <w:b/>
      <w:i w:val="false"/>
      <w:sz w:val="24"/>
      <w:szCs w:val="24"/>
    </w:rPr>
  </w:style>
  <w:style w:type="character" w:styleId="WW8Num18z2">
    <w:name w:val="WW8Num18z2"/>
    <w:qFormat/>
    <w:rPr>
      <w:rFonts w:ascii="Times New Roman" w:hAnsi="Times New Roman" w:cs="Times New Roman"/>
      <w:b/>
      <w:sz w:val="24"/>
      <w:szCs w:val="24"/>
    </w:rPr>
  </w:style>
  <w:style w:type="character" w:styleId="WW8Num18z3">
    <w:name w:val="WW8Num18z3"/>
    <w:qFormat/>
    <w:rPr>
      <w:rFonts w:ascii="Times New Roman" w:hAnsi="Times New Roman" w:cs="Times New Roman"/>
      <w:sz w:val="24"/>
      <w:szCs w:val="24"/>
    </w:rPr>
  </w:style>
  <w:style w:type="character" w:styleId="WW8Num19z0">
    <w:name w:val="WW8Num19z0"/>
    <w:qFormat/>
    <w:rPr/>
  </w:style>
  <w:style w:type="character" w:styleId="WW8Num20z0">
    <w:name w:val="WW8Num20z0"/>
    <w:qFormat/>
    <w:rPr>
      <w:rFonts w:ascii="Times New Roman" w:hAnsi="Times New Roman" w:cs="Times New Roman"/>
      <w:b w:val="false"/>
      <w:i w:val="false"/>
      <w:sz w:val="22"/>
      <w:szCs w:val="22"/>
      <w:u w:val="none"/>
    </w:rPr>
  </w:style>
  <w:style w:type="character" w:styleId="WW8Num20z1">
    <w:name w:val="WW8Num20z1"/>
    <w:qFormat/>
    <w:rPr>
      <w:rFonts w:cs="Times New Roman"/>
    </w:rPr>
  </w:style>
  <w:style w:type="character" w:styleId="WW8Num21z0">
    <w:name w:val="WW8Num21z0"/>
    <w:qFormat/>
    <w:rPr>
      <w:b w:val="false"/>
      <w:bCs/>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Style12">
    <w:name w:val="Основной шрифт абзаца"/>
    <w:qFormat/>
    <w:rPr/>
  </w:style>
  <w:style w:type="character" w:styleId="1">
    <w:name w:val="Заголовок 1 Знак"/>
    <w:qFormat/>
    <w:rPr>
      <w:rFonts w:ascii="Cambria" w:hAnsi="Cambria" w:cs="Times New Roman"/>
      <w:b/>
      <w:bCs/>
      <w:color w:val="365F91"/>
      <w:sz w:val="28"/>
      <w:szCs w:val="28"/>
      <w:lang w:val="ru-RU"/>
    </w:rPr>
  </w:style>
  <w:style w:type="character" w:styleId="2">
    <w:name w:val="Заголовок 2 Знак"/>
    <w:qFormat/>
    <w:rPr>
      <w:rFonts w:ascii="Times New Roman" w:hAnsi="Times New Roman" w:cs="Times New Roman"/>
      <w:b/>
      <w:bCs/>
      <w:color w:val="000000"/>
      <w:sz w:val="28"/>
      <w:szCs w:val="28"/>
      <w:lang w:val="ru-RU"/>
    </w:rPr>
  </w:style>
  <w:style w:type="character" w:styleId="Normaltext">
    <w:name w:val="Normal text"/>
    <w:qFormat/>
    <w:rPr>
      <w:sz w:val="20"/>
    </w:rPr>
  </w:style>
  <w:style w:type="character" w:styleId="Heading">
    <w:name w:val="Heading"/>
    <w:qFormat/>
    <w:rPr>
      <w:b/>
      <w:sz w:val="20"/>
    </w:rPr>
  </w:style>
  <w:style w:type="character" w:styleId="Keywords">
    <w:name w:val="Keywords"/>
    <w:qFormat/>
    <w:rPr>
      <w:i/>
      <w:color w:val="800000"/>
      <w:sz w:val="20"/>
    </w:rPr>
  </w:style>
  <w:style w:type="character" w:styleId="Style13">
    <w:name w:val="Основной текст Знак"/>
    <w:qFormat/>
    <w:rPr>
      <w:rFonts w:ascii="Times New Roman" w:hAnsi="Times New Roman" w:cs="Times New Roman"/>
      <w:sz w:val="20"/>
      <w:szCs w:val="20"/>
    </w:rPr>
  </w:style>
  <w:style w:type="character" w:styleId="Hyperlink">
    <w:name w:val="Hyperlink"/>
    <w:rPr>
      <w:rFonts w:cs="Times New Roman"/>
      <w:color w:val="0000FF"/>
      <w:u w:val="single"/>
    </w:rPr>
  </w:style>
  <w:style w:type="character" w:styleId="Style14">
    <w:name w:val="Текст выноски Знак"/>
    <w:qFormat/>
    <w:rPr>
      <w:rFonts w:ascii="Tahoma" w:hAnsi="Tahoma" w:cs="Tahoma"/>
      <w:sz w:val="16"/>
      <w:szCs w:val="16"/>
    </w:rPr>
  </w:style>
  <w:style w:type="character" w:styleId="Style15">
    <w:name w:val="Знак примечания"/>
    <w:qFormat/>
    <w:rPr>
      <w:rFonts w:cs="Times New Roman"/>
      <w:sz w:val="16"/>
      <w:szCs w:val="16"/>
    </w:rPr>
  </w:style>
  <w:style w:type="character" w:styleId="Style16">
    <w:name w:val="Текст примечания Знак"/>
    <w:qFormat/>
    <w:rPr>
      <w:rFonts w:ascii="Times New Roman" w:hAnsi="Times New Roman" w:cs="Times New Roman"/>
    </w:rPr>
  </w:style>
  <w:style w:type="character" w:styleId="Style17">
    <w:name w:val="Тема примечания Знак"/>
    <w:qFormat/>
    <w:rPr>
      <w:rFonts w:ascii="Times New Roman" w:hAnsi="Times New Roman" w:cs="Times New Roman"/>
      <w:b/>
      <w:bCs/>
    </w:rPr>
  </w:style>
  <w:style w:type="character" w:styleId="HTML">
    <w:name w:val="Стандартный HTML Знак"/>
    <w:qFormat/>
    <w:rPr>
      <w:rFonts w:ascii="Courier New" w:hAnsi="Courier New" w:cs="Courier New"/>
    </w:rPr>
  </w:style>
  <w:style w:type="character" w:styleId="Style18">
    <w:name w:val="Подпись Знак"/>
    <w:qFormat/>
    <w:rPr>
      <w:rFonts w:ascii="Liberation Sans;Calibri" w:hAnsi="Liberation Sans;Calibri" w:eastAsia="SimSun;宋体" w:cs="Mangal"/>
      <w:kern w:val="2"/>
      <w:sz w:val="24"/>
      <w:szCs w:val="24"/>
      <w:lang w:val="ru-RU" w:eastAsia="zh-CN" w:bidi="hi-IN"/>
    </w:rPr>
  </w:style>
  <w:style w:type="character" w:styleId="s1">
    <w:name w:val="s1"/>
    <w:qFormat/>
    <w:rPr/>
  </w:style>
  <w:style w:type="character" w:styleId="FollowedHyperlink">
    <w:name w:val="FollowedHyperlink"/>
    <w:rPr>
      <w:color w:val="800080"/>
      <w:u w:val="single"/>
    </w:rPr>
  </w:style>
  <w:style w:type="character" w:styleId="Style19">
    <w:name w:val="Абзац списка Знак"/>
    <w:qFormat/>
    <w:rPr>
      <w:rFonts w:ascii="Times New Roman" w:hAnsi="Times New Roman" w:cs="Times New Roman"/>
      <w:sz w:val="24"/>
      <w:szCs w:val="24"/>
    </w:rPr>
  </w:style>
  <w:style w:type="character" w:styleId="Style20">
    <w:name w:val="Основной текст_"/>
    <w:qFormat/>
    <w:rPr>
      <w:sz w:val="27"/>
      <w:szCs w:val="27"/>
      <w:shd w:fill="FFFFFF" w:val="clear"/>
    </w:rPr>
  </w:style>
  <w:style w:type="character" w:styleId="Style21">
    <w:name w:val="Без интервала Знак"/>
    <w:qFormat/>
    <w:rPr>
      <w:rFonts w:eastAsia="Calibri"/>
      <w:sz w:val="22"/>
      <w:szCs w:val="22"/>
      <w:lang w:val="en-US"/>
    </w:rPr>
  </w:style>
  <w:style w:type="character" w:styleId="ConsPlusNormal">
    <w:name w:val="ConsPlusNormal Знак"/>
    <w:qFormat/>
    <w:rPr>
      <w:rFonts w:ascii="Arial" w:hAnsi="Arial" w:cs="Arial"/>
    </w:rPr>
  </w:style>
  <w:style w:type="character" w:styleId="Style22">
    <w:name w:val="Верхний колонтитул Знак"/>
    <w:qFormat/>
    <w:rPr>
      <w:rFonts w:ascii="Times New Roman" w:hAnsi="Times New Roman" w:cs="Times New Roman"/>
      <w:sz w:val="24"/>
      <w:szCs w:val="24"/>
    </w:rPr>
  </w:style>
  <w:style w:type="character" w:styleId="Style23">
    <w:name w:val="Нижний колонтитул Знак"/>
    <w:qFormat/>
    <w:rPr>
      <w:rFonts w:ascii="Times New Roman" w:hAnsi="Times New Roman" w:cs="Times New Roman"/>
      <w:sz w:val="24"/>
      <w:szCs w:val="24"/>
    </w:rPr>
  </w:style>
  <w:style w:type="character" w:styleId="Style24">
    <w:name w:val="Неразрешенное упоминание"/>
    <w:qFormat/>
    <w:rPr>
      <w:color w:val="605E5C"/>
      <w:shd w:fill="E1DFDD" w:val="clear"/>
    </w:rPr>
  </w:style>
  <w:style w:type="paragraph" w:styleId="Style25">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pacing w:before="0" w:after="280"/>
      <w:jc w:val="both"/>
    </w:pPr>
    <w:rPr>
      <w:sz w:val="20"/>
      <w:szCs w:val="20"/>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26">
    <w:name w:val="Указатель"/>
    <w:basedOn w:val="Normal"/>
    <w:qFormat/>
    <w:pPr>
      <w:suppressLineNumbers/>
    </w:pPr>
    <w:rPr>
      <w:rFonts w:cs="Droid Sans"/>
    </w:rPr>
  </w:style>
  <w:style w:type="paragraph" w:styleId="ParagraphStyle">
    <w:name w:val="Paragraph Style"/>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3">
    <w:name w:val="заголовок 13"/>
    <w:basedOn w:val="Normal"/>
    <w:next w:val="Normal"/>
    <w:qFormat/>
    <w:pPr>
      <w:keepNext w:val="true"/>
      <w:spacing w:before="240" w:after="60"/>
      <w:jc w:val="center"/>
    </w:pPr>
    <w:rPr>
      <w:b/>
      <w:caps/>
      <w:kern w:val="2"/>
      <w:szCs w:val="20"/>
    </w:rPr>
  </w:style>
  <w:style w:type="paragraph" w:styleId="Style27">
    <w:name w:val="Инструкция"/>
    <w:basedOn w:val="Normal"/>
    <w:qFormat/>
    <w:pPr>
      <w:ind w:firstLine="720" w:left="0" w:right="0"/>
      <w:jc w:val="both"/>
    </w:pPr>
    <w:rPr>
      <w:sz w:val="20"/>
      <w:szCs w:val="20"/>
    </w:rPr>
  </w:style>
  <w:style w:type="paragraph" w:styleId="Style28">
    <w:name w:val="Абзац списка"/>
    <w:basedOn w:val="Normal"/>
    <w:qFormat/>
    <w:pPr>
      <w:spacing w:before="0" w:after="0"/>
      <w:ind w:hanging="0" w:left="720" w:right="0"/>
      <w:contextualSpacing/>
    </w:pPr>
    <w:rPr/>
  </w:style>
  <w:style w:type="paragraph" w:styleId="ConsPlusNormal1">
    <w:name w:val="ConsPlusNormal"/>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Style29">
    <w:name w:val="Текст выноски"/>
    <w:basedOn w:val="Normal"/>
    <w:qFormat/>
    <w:pPr/>
    <w:rPr>
      <w:rFonts w:ascii="Tahoma" w:hAnsi="Tahoma" w:cs="Tahoma"/>
      <w:sz w:val="16"/>
      <w:szCs w:val="16"/>
    </w:rPr>
  </w:style>
  <w:style w:type="paragraph" w:styleId="Style30">
    <w:name w:val="Текст примечания"/>
    <w:basedOn w:val="Normal"/>
    <w:qFormat/>
    <w:pPr/>
    <w:rPr>
      <w:sz w:val="20"/>
      <w:szCs w:val="20"/>
    </w:rPr>
  </w:style>
  <w:style w:type="paragraph" w:styleId="Style31">
    <w:name w:val="Тема примечания"/>
    <w:basedOn w:val="Style30"/>
    <w:next w:val="Style30"/>
    <w:qFormat/>
    <w:pPr/>
    <w:rPr>
      <w:b/>
      <w:bCs/>
    </w:rPr>
  </w:style>
  <w:style w:type="paragraph" w:styleId="HTML1">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Style32">
    <w:name w:val="Содержимое таблицы"/>
    <w:basedOn w:val="Normal"/>
    <w:qFormat/>
    <w:pPr>
      <w:widowControl w:val="false"/>
      <w:suppressLineNumbers/>
      <w:suppressAutoHyphens w:val="true"/>
    </w:pPr>
    <w:rPr>
      <w:rFonts w:ascii="Liberation Sans;Calibri" w:hAnsi="Liberation Sans;Calibri" w:eastAsia="SimSun;宋体" w:cs="Mangal"/>
      <w:kern w:val="2"/>
      <w:sz w:val="18"/>
      <w:lang w:eastAsia="zh-CN" w:bidi="hi-IN"/>
    </w:rPr>
  </w:style>
  <w:style w:type="paragraph" w:styleId="Signature">
    <w:name w:val="Signature"/>
    <w:basedOn w:val="Normal"/>
    <w:pPr>
      <w:widowControl w:val="false"/>
      <w:suppressLineNumbers/>
      <w:suppressAutoHyphens w:val="true"/>
      <w:spacing w:before="0" w:after="170"/>
    </w:pPr>
    <w:rPr>
      <w:rFonts w:ascii="Liberation Sans;Calibri" w:hAnsi="Liberation Sans;Calibri" w:eastAsia="SimSun;宋体" w:cs="Mangal"/>
      <w:kern w:val="2"/>
      <w:sz w:val="12"/>
      <w:lang w:eastAsia="zh-CN" w:bidi="hi-IN"/>
    </w:rPr>
  </w:style>
  <w:style w:type="paragraph" w:styleId="Style33">
    <w:name w:val="Заголовок таблицы"/>
    <w:basedOn w:val="Style32"/>
    <w:qFormat/>
    <w:pPr>
      <w:jc w:val="center"/>
    </w:pPr>
    <w:rPr>
      <w:bCs/>
      <w:sz w:val="16"/>
    </w:rPr>
  </w:style>
  <w:style w:type="paragraph" w:styleId="4">
    <w:name w:val="Основной текст4"/>
    <w:basedOn w:val="Normal"/>
    <w:qFormat/>
    <w:pPr>
      <w:shd w:val="clear" w:fill="FFFFFF"/>
      <w:spacing w:lineRule="exact" w:line="313" w:before="0" w:after="300"/>
      <w:ind w:hanging="380" w:left="0" w:right="0"/>
      <w:jc w:val="both"/>
    </w:pPr>
    <w:rPr>
      <w:rFonts w:ascii="Calibri" w:hAnsi="Calibri" w:cs="Calibri"/>
      <w:sz w:val="27"/>
      <w:szCs w:val="27"/>
    </w:rPr>
  </w:style>
  <w:style w:type="paragraph" w:styleId="Style34">
    <w:name w:val="Без интервала"/>
    <w:qFormat/>
    <w:pPr>
      <w:widowControl w:val="false"/>
      <w:suppressAutoHyphens w:val="true"/>
      <w:bidi w:val="0"/>
      <w:spacing w:before="0" w:after="0"/>
      <w:jc w:val="left"/>
    </w:pPr>
    <w:rPr>
      <w:rFonts w:ascii="Calibri" w:hAnsi="Calibri" w:eastAsia="Calibri" w:cs="Calibri"/>
      <w:color w:val="auto"/>
      <w:kern w:val="0"/>
      <w:sz w:val="22"/>
      <w:szCs w:val="22"/>
      <w:lang w:val="en-US" w:eastAsia="zh-CN" w:bidi="ar-SA"/>
    </w:rPr>
  </w:style>
  <w:style w:type="paragraph" w:styleId="Standard">
    <w:name w:val="Standard"/>
    <w:qFormat/>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zh-CN" w:bidi="ar-SA"/>
    </w:rPr>
  </w:style>
  <w:style w:type="paragraph" w:styleId="Style35">
    <w:name w:val="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11">
    <w:name w:val="Обычный1"/>
    <w:qFormat/>
    <w:pPr>
      <w:widowControl/>
      <w:suppressAutoHyphens w:val="true"/>
      <w:bidi w:val="0"/>
      <w:spacing w:before="0" w:after="0"/>
      <w:contextualSpacing/>
      <w:jc w:val="left"/>
    </w:pPr>
    <w:rPr>
      <w:rFonts w:ascii="Times New Roman" w:hAnsi="Times New Roman" w:eastAsia="Times New Roman" w:cs="Times New Roman"/>
      <w:color w:val="auto"/>
      <w:kern w:val="0"/>
      <w:sz w:val="22"/>
      <w:szCs w:val="22"/>
      <w:lang w:val="ru-RU" w:eastAsia="zh-CN" w:bidi="ar-SA"/>
    </w:rPr>
  </w:style>
  <w:style w:type="paragraph" w:styleId="Style36">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formattext">
    <w:name w:val="formattext"/>
    <w:basedOn w:val="Normal"/>
    <w:qFormat/>
    <w:pPr>
      <w:spacing w:before="280" w:after="28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331074&amp;date=25.07.2020&amp;dst=3&amp;fld=134" TargetMode="External"/><Relationship Id="rId3" Type="http://schemas.openxmlformats.org/officeDocument/2006/relationships/hyperlink" Target="https://login.consultant.ru/link/?req=doc&amp;base=LAW&amp;n=324349&amp;date=10.11.2019&amp;dst=101309&amp;fld=134" TargetMode="External"/><Relationship Id="rId4"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5" Type="http://schemas.openxmlformats.org/officeDocument/2006/relationships/hyperlink" Target="https://login.consultant.ru/link/?rnd=3726B4C3C56D1CDC96C58F6F9753A225&amp;req=doc&amp;base=LAW&amp;n=313359&amp;REFFIELD=134&amp;REFDST=101047&amp;REFDOC=327695&amp;REFBASE=LAW&amp;stat=refcode%3D16876%3Bindex%3D1638&amp;date=06.02.2020" TargetMode="External"/><Relationship Id="rId6"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7" Type="http://schemas.openxmlformats.org/officeDocument/2006/relationships/hyperlink" Target="https://login.consultant.ru/link/?rnd=3726B4C3C56D1CDC96C58F6F9753A225&amp;req=doc&amp;base=LAW&amp;n=333450&amp;REFFIELD=134&amp;REFDST=101051&amp;REFDOC=327695&amp;REFBASE=LAW&amp;stat=refcode%3D16876%3Bindex%3D1644&amp;date=06.02.2020" TargetMode="External"/><Relationship Id="rId8" Type="http://schemas.openxmlformats.org/officeDocument/2006/relationships/hyperlink" Target="https://login.consultant.ru/link/?rnd=3726B4C3C56D1CDC96C58F6F9753A225&amp;req=doc&amp;base=LAW&amp;n=149911&amp;REFFIELD=134&amp;REFDST=101052&amp;REFDOC=327695&amp;REFBASE=LAW&amp;stat=refcode%3D16876%3Bindex%3D1646&amp;date=06.02.2020" TargetMode="External"/><Relationship Id="rId9" Type="http://schemas.openxmlformats.org/officeDocument/2006/relationships/hyperlink" Target="mailto:info.hms@meteorf.ru"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1.png"/><Relationship Id="rId14" Type="http://schemas.openxmlformats.org/officeDocument/2006/relationships/hyperlink" Target="mailto:n.butuzova@meteorf.ru" TargetMode="Externa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18</TotalTime>
  <Application>LibreOffice/24.8.4.1$Linux_X86_64 LibreOffice_project/480$Build-1</Application>
  <AppVersion>15.0000</AppVersion>
  <Pages>18</Pages>
  <Words>5133</Words>
  <Characters>36689</Characters>
  <CharactersWithSpaces>41703</CharactersWithSpaces>
  <Paragraphs>348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2025-04-15T10:25:00Z</dcterms:created>
  <dc:creator>eleshina</dc:creator>
  <dc:description/>
  <dc:language>ru-RU</dc:language>
  <cp:lastModifiedBy/>
  <cp:lastPrinted>2022-04-25T12:16:00Z</cp:lastPrinted>
  <dcterms:modified xsi:type="dcterms:W3CDTF">2026-08-21T09:26:40Z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