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34F56" w14:textId="5E6C0AF3" w:rsidR="00126F95" w:rsidRPr="0007434B" w:rsidRDefault="004A597E" w:rsidP="0007434B">
      <w:pPr>
        <w:spacing w:line="240" w:lineRule="auto"/>
        <w:jc w:val="center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ЛИЦЕНЗИОННЫЙ ДОГОВОР № ___</w:t>
      </w:r>
    </w:p>
    <w:p w14:paraId="71ECF925" w14:textId="2B1EFDB9" w:rsidR="004A597E" w:rsidRPr="0007434B" w:rsidRDefault="004A597E" w:rsidP="0007434B">
      <w:pPr>
        <w:spacing w:line="240" w:lineRule="auto"/>
        <w:jc w:val="both"/>
        <w:rPr>
          <w:rFonts w:ascii="Times New Roman" w:hAnsi="Times New Roman" w:cs="Times New Roman"/>
        </w:rPr>
      </w:pPr>
    </w:p>
    <w:p w14:paraId="5EF870A8" w14:textId="17FAD8A6" w:rsidR="004A597E" w:rsidRPr="0007434B" w:rsidRDefault="0024522F" w:rsidP="0007434B">
      <w:pPr>
        <w:spacing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г</w:t>
      </w:r>
      <w:r w:rsidR="004A597E" w:rsidRPr="0007434B">
        <w:rPr>
          <w:rFonts w:ascii="Times New Roman" w:hAnsi="Times New Roman" w:cs="Times New Roman"/>
        </w:rPr>
        <w:t>. Петропавловск-Камчатский</w:t>
      </w:r>
      <w:r w:rsidR="0007434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roofErr w:type="gramStart"/>
      <w:r w:rsidR="0007434B">
        <w:rPr>
          <w:rFonts w:ascii="Times New Roman" w:hAnsi="Times New Roman" w:cs="Times New Roman"/>
        </w:rPr>
        <w:t xml:space="preserve">   «</w:t>
      </w:r>
      <w:proofErr w:type="gramEnd"/>
      <w:r w:rsidR="0007434B">
        <w:rPr>
          <w:rFonts w:ascii="Times New Roman" w:hAnsi="Times New Roman" w:cs="Times New Roman"/>
        </w:rPr>
        <w:t>__»____2026 г.</w:t>
      </w:r>
    </w:p>
    <w:p w14:paraId="716BF183" w14:textId="7BA08F11" w:rsidR="004A597E" w:rsidRPr="0007434B" w:rsidRDefault="004A597E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 xml:space="preserve">__________________________________, именуемое в дальнейшем «Лицензиар», в лице ________________, действующего на основании _______ с одной стороны, и </w:t>
      </w:r>
      <w:r w:rsidRPr="0007434B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 высшего образования «Камчатский государственный университет имени Витуса Беринга»,</w:t>
      </w:r>
      <w:r w:rsidRPr="0007434B">
        <w:rPr>
          <w:rFonts w:ascii="Times New Roman" w:hAnsi="Times New Roman" w:cs="Times New Roman"/>
        </w:rPr>
        <w:t xml:space="preserve"> именуемое в дальнейшем «Лицензиат», в лице исполняющего обязанности ректора </w:t>
      </w:r>
      <w:proofErr w:type="spellStart"/>
      <w:r w:rsidRPr="0007434B">
        <w:rPr>
          <w:rFonts w:ascii="Times New Roman" w:hAnsi="Times New Roman" w:cs="Times New Roman"/>
          <w:b/>
          <w:bCs/>
        </w:rPr>
        <w:t>Ребковец</w:t>
      </w:r>
      <w:proofErr w:type="spellEnd"/>
      <w:r w:rsidRPr="0007434B">
        <w:rPr>
          <w:rFonts w:ascii="Times New Roman" w:hAnsi="Times New Roman" w:cs="Times New Roman"/>
          <w:b/>
          <w:bCs/>
        </w:rPr>
        <w:t xml:space="preserve"> Ольги Александровны</w:t>
      </w:r>
      <w:r w:rsidRPr="0007434B">
        <w:rPr>
          <w:rFonts w:ascii="Times New Roman" w:hAnsi="Times New Roman" w:cs="Times New Roman"/>
        </w:rPr>
        <w:t>, действующего на основании Устава, с другой стороны, заключили настоящий Лицензионный договор (далее - «Договор»)</w:t>
      </w:r>
      <w:r w:rsidR="0024522F" w:rsidRPr="0007434B">
        <w:rPr>
          <w:rFonts w:ascii="Times New Roman" w:hAnsi="Times New Roman" w:cs="Times New Roman"/>
        </w:rPr>
        <w:t xml:space="preserve"> в соответствие  с  пунктом 5 части 1 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</w:t>
      </w:r>
      <w:r w:rsidRPr="0007434B">
        <w:rPr>
          <w:rFonts w:ascii="Times New Roman" w:hAnsi="Times New Roman" w:cs="Times New Roman"/>
        </w:rPr>
        <w:t xml:space="preserve"> о нижеследующем:</w:t>
      </w:r>
    </w:p>
    <w:p w14:paraId="1718ED7F" w14:textId="325BEAA2" w:rsidR="004A597E" w:rsidRPr="0007434B" w:rsidRDefault="004A597E" w:rsidP="000743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52E24" w14:textId="5134A993" w:rsidR="004A597E" w:rsidRPr="0007434B" w:rsidRDefault="004A597E" w:rsidP="000743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1. ПРЕДМЕТ ДОГОВОРА</w:t>
      </w:r>
    </w:p>
    <w:p w14:paraId="76580E04" w14:textId="50EA7589" w:rsidR="004A597E" w:rsidRPr="0007434B" w:rsidRDefault="004A597E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1.1. В соответствии с условиями настоящего Договора Лицензиар предоставляет Лицензиату неисключительное право на использование в сети интернет Программы для ЭВМ ___________ (далее - Программа) для управления модулями в соответствии со Спецификацией (Приложение № 1), путем запуска Программы через сайт _______ для использования Лицензиатом, без права воспроизведения и дальнейшего распространения Программы, если иное прямо не предусмотрено в настоящем Договоре.</w:t>
      </w:r>
    </w:p>
    <w:p w14:paraId="0B451AB7" w14:textId="0D5617C6" w:rsidR="004A597E" w:rsidRDefault="004A597E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ОКПД2: 58.29.50.000</w:t>
      </w:r>
    </w:p>
    <w:p w14:paraId="3ADAB4A3" w14:textId="4FAD0648" w:rsidR="0007434B" w:rsidRPr="0007434B" w:rsidRDefault="0007434B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ИКЗ:</w:t>
      </w:r>
      <w:r w:rsidR="00F262F1" w:rsidRPr="00F262F1">
        <w:t xml:space="preserve"> </w:t>
      </w:r>
      <w:r w:rsidR="00F262F1" w:rsidRPr="00F262F1">
        <w:rPr>
          <w:rFonts w:ascii="Times New Roman" w:hAnsi="Times New Roman" w:cs="Times New Roman"/>
        </w:rPr>
        <w:t>261410000118941010100100070000000244</w:t>
      </w:r>
    </w:p>
    <w:p w14:paraId="1C1C5598" w14:textId="6D0754E8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1.2. Лицензиар гарантирует, что является правообладателем исключительного права на программу для ЭВМ. Программа зарегистрирована в федеральном органе исполнительной власти по интеллектуальной собственности (Свидетельство о регистрации программы для ЭВМ № ____)</w:t>
      </w:r>
    </w:p>
    <w:p w14:paraId="5775D10E" w14:textId="3DEAF22D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1.3. Лицензия, выдаваемая Лицензиату по настоящему Договору, является простой (неисключительной). За Лицензиаром сохраняется право выдачи лицензий другим лицам.</w:t>
      </w:r>
    </w:p>
    <w:p w14:paraId="7712BD91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1.4. Лицензиат не имеет права на использование Программы кроме как способом, указанным в пункте 1.1. настоящего Договора. </w:t>
      </w:r>
    </w:p>
    <w:p w14:paraId="48C11D3E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1.5. Стороны соглашаются, что Лицензиат получает право использования приобретенной Программы без ограничения по территории на условиях и в порядке, предусмотренных действующим законодательством Российской Федерации и настоящим Договором. </w:t>
      </w:r>
    </w:p>
    <w:p w14:paraId="0F392976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1.6. Количество Модулей Программы указывается в Спецификации (Приложение № 1 к настоящему Договору). </w:t>
      </w:r>
    </w:p>
    <w:p w14:paraId="386AEEE5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1.7. За предоставляемое по настоящему Договору неисключительное право на использование Программы Лицензиат выплачивает Лицензиару вознаграждение в форме фиксированного разового платежа. Вознаграждение выплачивается Лицензиатом в порядке, предусмотренном в разделе 3 настоящего Договора. </w:t>
      </w:r>
    </w:p>
    <w:p w14:paraId="4CDB6EF4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1.8. Право использования Программы передается Лицензиату на </w:t>
      </w:r>
      <w:r w:rsidRPr="0007434B">
        <w:rPr>
          <w:rFonts w:ascii="Times New Roman" w:hAnsi="Times New Roman" w:cs="Times New Roman"/>
          <w:b/>
          <w:bCs/>
          <w:color w:val="000000"/>
        </w:rPr>
        <w:t>1 год</w:t>
      </w:r>
      <w:r w:rsidRPr="0007434B">
        <w:rPr>
          <w:rFonts w:ascii="Times New Roman" w:hAnsi="Times New Roman" w:cs="Times New Roman"/>
          <w:color w:val="000000"/>
        </w:rPr>
        <w:t xml:space="preserve"> с момента передачи неисключительных прав. </w:t>
      </w:r>
    </w:p>
    <w:p w14:paraId="3F507DB2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1.9. Факт передачи прав на Программу на условиях простой (неисключительной) лицензии Лицензиаром и получения их Лицензиатом подтверждается универсальным передаточным документом (далее – УПД)/Актом приема-передачи неисключительных прав. </w:t>
      </w:r>
    </w:p>
    <w:p w14:paraId="2AC3A5CE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002C58" w14:textId="4AB20702" w:rsidR="0024522F" w:rsidRPr="0007434B" w:rsidRDefault="0024522F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2. ПРАВА И ОБЯЗАННОСТИ СТОРОН</w:t>
      </w:r>
    </w:p>
    <w:p w14:paraId="48858825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2.1. Лицензиар обязан: </w:t>
      </w:r>
    </w:p>
    <w:p w14:paraId="129313E4" w14:textId="45C4CBEF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2.1.1. Предоставить Лицензиату право использования Программы не позднее 5 (пяти) рабочих дней с даты оплаты вознаграждения по Договору путем направления реквизитов для доступа к личному кабинету посредством электронной почты, указанной в пункте 9.1. Договора. </w:t>
      </w:r>
    </w:p>
    <w:p w14:paraId="4A5FDA5B" w14:textId="5A48B9D6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2.1.2. Направить Лицензиату УПД после предоставления доступа к Программе. 2.1.3. Производить, при необходимости, бесплатное консультирование представителя Лицензиата, оказывать методическую и техническую поддержку работы Программы. 2.1.4. Совершенствовать Программу путем внесения в нее изменений в целях улучшения потребительских свойств Программы. </w:t>
      </w:r>
    </w:p>
    <w:p w14:paraId="3B847658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2.2. Лицензиат обязан:</w:t>
      </w:r>
    </w:p>
    <w:p w14:paraId="63BCF046" w14:textId="1643E18F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lastRenderedPageBreak/>
        <w:t xml:space="preserve">2.2.1. Оплатить вознаграждение за предоставленное неисключительное право на использование Программы. 2.2.2. Подписать УПД и возвратить Лицензиату один экземпляр подписанного Сторонами УПД. 2.2.3. Использовать предоставленное неисключительное право в пределах, предусмотренных настоящим Договором. 2.3. В случае нарушения Лицензиатом положений пункта 1.1. настоящего Договора Лицензиат несет ответственность, предусмотренную законодательством Российской Федерации и Договором. </w:t>
      </w:r>
    </w:p>
    <w:p w14:paraId="46F443C4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C51ACEB" w14:textId="36B132BD" w:rsidR="0024522F" w:rsidRPr="0007434B" w:rsidRDefault="0024522F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3. ЦЕНА ДОГОВОРА. ПОРЯДОК ПРИЕМКИ И ОПЛАТЫ</w:t>
      </w:r>
    </w:p>
    <w:p w14:paraId="4382F2D3" w14:textId="3F6DA8B1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3.1. Вознаграждение Лицензиара (далее – «Цена Договора») по настоящему Договору составляет </w:t>
      </w:r>
      <w:r w:rsidRPr="0007434B">
        <w:rPr>
          <w:rFonts w:ascii="Times New Roman" w:hAnsi="Times New Roman" w:cs="Times New Roman"/>
          <w:b/>
          <w:bCs/>
          <w:i/>
          <w:iCs/>
          <w:color w:val="000000"/>
        </w:rPr>
        <w:t xml:space="preserve">_____ (__________) рублей </w:t>
      </w:r>
      <w:r w:rsidR="00F262F1">
        <w:rPr>
          <w:rFonts w:ascii="Times New Roman" w:hAnsi="Times New Roman" w:cs="Times New Roman"/>
          <w:b/>
          <w:bCs/>
          <w:i/>
          <w:iCs/>
          <w:color w:val="000000"/>
        </w:rPr>
        <w:t>___</w:t>
      </w:r>
      <w:r w:rsidRPr="0007434B">
        <w:rPr>
          <w:rFonts w:ascii="Times New Roman" w:hAnsi="Times New Roman" w:cs="Times New Roman"/>
          <w:b/>
          <w:bCs/>
          <w:i/>
          <w:iCs/>
          <w:color w:val="000000"/>
        </w:rPr>
        <w:t xml:space="preserve"> копеек</w:t>
      </w:r>
      <w:r w:rsidRPr="0007434B">
        <w:rPr>
          <w:rFonts w:ascii="Times New Roman" w:hAnsi="Times New Roman" w:cs="Times New Roman"/>
          <w:i/>
          <w:iCs/>
          <w:color w:val="000000"/>
        </w:rPr>
        <w:t>,</w:t>
      </w:r>
      <w:r w:rsidRPr="0007434B">
        <w:rPr>
          <w:rFonts w:ascii="Times New Roman" w:hAnsi="Times New Roman" w:cs="Times New Roman"/>
          <w:color w:val="000000"/>
        </w:rPr>
        <w:t xml:space="preserve"> </w:t>
      </w:r>
      <w:r w:rsidRPr="006733FD">
        <w:rPr>
          <w:rFonts w:ascii="Times New Roman" w:hAnsi="Times New Roman" w:cs="Times New Roman"/>
          <w:color w:val="000000"/>
        </w:rPr>
        <w:t>НДС не облагается</w:t>
      </w:r>
      <w:r w:rsidRPr="0007434B">
        <w:rPr>
          <w:rFonts w:ascii="Times New Roman" w:hAnsi="Times New Roman" w:cs="Times New Roman"/>
          <w:color w:val="000000"/>
        </w:rPr>
        <w:t xml:space="preserve"> на основании пп.26 п. 2 ст. 149 Налогового кодекса </w:t>
      </w:r>
      <w:proofErr w:type="gramStart"/>
      <w:r w:rsidRPr="0007434B">
        <w:rPr>
          <w:rFonts w:ascii="Times New Roman" w:hAnsi="Times New Roman" w:cs="Times New Roman"/>
          <w:color w:val="000000"/>
        </w:rPr>
        <w:t>РФ .</w:t>
      </w:r>
      <w:proofErr w:type="gramEnd"/>
      <w:r w:rsidRPr="0007434B">
        <w:rPr>
          <w:rFonts w:ascii="Times New Roman" w:hAnsi="Times New Roman" w:cs="Times New Roman"/>
          <w:color w:val="000000"/>
        </w:rPr>
        <w:t xml:space="preserve"> </w:t>
      </w:r>
    </w:p>
    <w:p w14:paraId="1895FFB2" w14:textId="08E2B84A" w:rsidR="006733FD" w:rsidRDefault="006733FD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733FD">
        <w:rPr>
          <w:rFonts w:ascii="Times New Roman" w:hAnsi="Times New Roman" w:cs="Times New Roman"/>
          <w:color w:val="000000"/>
        </w:rPr>
        <w:t xml:space="preserve">3.2. </w:t>
      </w:r>
      <w:r w:rsidR="00AD5236">
        <w:rPr>
          <w:rFonts w:ascii="Times New Roman" w:hAnsi="Times New Roman" w:cs="Times New Roman"/>
          <w:color w:val="000000"/>
        </w:rPr>
        <w:t>Цена</w:t>
      </w:r>
      <w:r w:rsidRPr="006733FD">
        <w:rPr>
          <w:rFonts w:ascii="Times New Roman" w:hAnsi="Times New Roman" w:cs="Times New Roman"/>
          <w:color w:val="000000"/>
        </w:rPr>
        <w:t xml:space="preserve"> Договора является твёрдой и не может быть изменена в течение всего периода исполнения Договора, за исключением случаев предусмотренных ст.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487D2C1F" w14:textId="7CC4B709" w:rsidR="0024522F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3.3. Цена Договора включает в себя все расходы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 сборов и другие обязательные платежи. </w:t>
      </w:r>
    </w:p>
    <w:p w14:paraId="21AED167" w14:textId="42B6C2DD" w:rsidR="00AD5236" w:rsidRPr="0007434B" w:rsidRDefault="00AD5236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3.4. </w:t>
      </w:r>
      <w:r w:rsidRPr="00AD5236">
        <w:rPr>
          <w:rFonts w:ascii="Times New Roman" w:hAnsi="Times New Roman" w:cs="Times New Roman"/>
          <w:color w:val="000000"/>
        </w:rPr>
        <w:t>Оплата вознаграждения Лицензиару за предоставление (передачу) Лицензиату права на использование Программы осуществляется Лицензиатом путем перечисления денежных средств на расчетный счет Лицензиара, указанный в настоящем Договоре, в течение 7 (семи) рабочих дней с момента подписания настоящего Договора.</w:t>
      </w:r>
    </w:p>
    <w:p w14:paraId="4D269F15" w14:textId="5B8EF8D0" w:rsidR="00AD5236" w:rsidRP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Передача неисключительных прав на Программу подтверждается подписанием Сторонами Универсального передаточного документа (далее – УПД).</w:t>
      </w:r>
    </w:p>
    <w:p w14:paraId="084D3DF5" w14:textId="7AF74CAC" w:rsidR="00AD5236" w:rsidRP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 течение 3 (трех) рабочих дней с момента предоставления Лицензиату доступа к Программе (п. 2.1.1) Лицензиар направляет Лицензиату подписанный со своей стороны УПД в электронном виде через систему ЭДО.</w:t>
      </w:r>
    </w:p>
    <w:p w14:paraId="60F2568B" w14:textId="0DB102A3" w:rsidR="00AD5236" w:rsidRP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Лицензиат в течение 7 (семи) рабочих дней с момента получения УПД, указанного в п. 3.6, обязан:</w:t>
      </w:r>
    </w:p>
    <w:p w14:paraId="280FEF5D" w14:textId="3E6EEB80" w:rsidR="00AD5236" w:rsidRP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подписать УПД со своей стороны и направить его Лицензиару через систему ЭДО;</w:t>
      </w:r>
    </w:p>
    <w:p w14:paraId="74F0CBB6" w14:textId="404D537C" w:rsidR="00AD5236" w:rsidRP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либо направить Лицензиару мотивированный отказ от подписания УПД с указанием выявленных недостатков (несоответствие модулей Спецификации, отсутствие доступа к Программе и т.п.).</w:t>
      </w:r>
    </w:p>
    <w:p w14:paraId="7C5B0B92" w14:textId="64D8E0FE" w:rsidR="00AD5236" w:rsidRP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 случае получения мотивированного отказа Лицензиар обязан устранить выявленные недостатки в течение 3 (трех) рабочих дней с даты получения такого отказа и повторно направить Лицензиату УПД для приемки в порядке, предусмотренном п. 3.6 настоящего Договора.</w:t>
      </w:r>
    </w:p>
    <w:p w14:paraId="46DFA156" w14:textId="77777777" w:rsidR="00AD5236" w:rsidRDefault="00AD5236" w:rsidP="00AD5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AD52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Права на Программу считаются переданными, а обязательства Лицензиара по предоставлению прав исполненными надлежащим образом с даты подписания Лицензиатом УПД.</w:t>
      </w:r>
    </w:p>
    <w:p w14:paraId="2BA83233" w14:textId="1C03E335" w:rsidR="006733FD" w:rsidRDefault="006733FD" w:rsidP="00AD523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</w:t>
      </w:r>
      <w:r w:rsidR="00AD5236">
        <w:rPr>
          <w:rFonts w:ascii="Times New Roman" w:hAnsi="Times New Roman" w:cs="Times New Roman"/>
          <w:sz w:val="23"/>
          <w:szCs w:val="23"/>
        </w:rPr>
        <w:t>10</w:t>
      </w:r>
      <w:r w:rsidRPr="007F7BF2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7F7BF2" w:rsidRPr="007F7BF2">
        <w:rPr>
          <w:rFonts w:ascii="Times New Roman" w:hAnsi="Times New Roman" w:cs="Times New Roman"/>
          <w:b/>
          <w:bCs/>
          <w:sz w:val="23"/>
          <w:szCs w:val="23"/>
        </w:rPr>
        <w:t>Источник финансирования</w:t>
      </w:r>
      <w:r w:rsidR="007F7BF2" w:rsidRPr="007F7BF2">
        <w:rPr>
          <w:rFonts w:ascii="Times New Roman" w:hAnsi="Times New Roman" w:cs="Times New Roman"/>
          <w:sz w:val="23"/>
          <w:szCs w:val="23"/>
        </w:rPr>
        <w:t xml:space="preserve"> – средства бюджетного учреждения в рамках </w:t>
      </w:r>
      <w:r w:rsidR="007F7BF2" w:rsidRPr="007F7BF2">
        <w:rPr>
          <w:rFonts w:ascii="Times New Roman" w:hAnsi="Times New Roman" w:cs="Times New Roman"/>
          <w:b/>
          <w:bCs/>
          <w:sz w:val="23"/>
          <w:szCs w:val="23"/>
        </w:rPr>
        <w:t>соглашения 075-15-2026-065 от 20.04.2026</w:t>
      </w:r>
      <w:r w:rsidR="007F7BF2" w:rsidRPr="007F7BF2">
        <w:rPr>
          <w:rFonts w:ascii="Times New Roman" w:hAnsi="Times New Roman" w:cs="Times New Roman"/>
          <w:sz w:val="23"/>
          <w:szCs w:val="23"/>
        </w:rPr>
        <w:t xml:space="preserve"> о предоставлении из федерального бюджета грантов в форме субсидий в соответствии с пунктом 4 статьи 78.1 Бюджетного кодекса Российской Федерации в рамках федерального проекта «Развитие интеграционных процессов в сфере науки, высшего образования и индустрии» национального проекта «Наука и университеты»: «Реализация программ развития образовательных организаций высшего образования с целью формирования группы университетов – национальных лидеров для формирования научного, технологического и кадрового обеспечения экономики и социальной сферы, повышения глобальной конкурентоспособности системы высшего образования и содействия региональному развитию», код вида расходов (КВР) – 244.</w:t>
      </w:r>
    </w:p>
    <w:p w14:paraId="75AF6C43" w14:textId="755227EB" w:rsidR="006733FD" w:rsidRPr="0007434B" w:rsidRDefault="007F7BF2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7BF2">
        <w:rPr>
          <w:rFonts w:ascii="Times New Roman" w:hAnsi="Times New Roman" w:cs="Times New Roman"/>
          <w:b/>
          <w:bCs/>
          <w:color w:val="000000"/>
        </w:rPr>
        <w:t>Идентификатор государственного контракта (ИГК) – 000000Ю807526R760002</w:t>
      </w:r>
      <w:r w:rsidRPr="007F7BF2">
        <w:rPr>
          <w:rFonts w:ascii="Times New Roman" w:hAnsi="Times New Roman" w:cs="Times New Roman"/>
          <w:color w:val="000000"/>
        </w:rPr>
        <w:t>.</w:t>
      </w:r>
    </w:p>
    <w:p w14:paraId="2B13EE7E" w14:textId="77777777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1D55C3" w14:textId="47B2A294" w:rsidR="0024522F" w:rsidRPr="0007434B" w:rsidRDefault="0024522F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4. СРОК ДЕЙСТВИЯ ДОГОВОРА, ФОРС-МАЖОР, ИЗМЕНЕНИЕ И РАСТОРЖЕНИЕ ДОГОВОРА</w:t>
      </w:r>
    </w:p>
    <w:p w14:paraId="271ABC32" w14:textId="5422D8BC" w:rsidR="0024522F" w:rsidRPr="00C449B5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lastRenderedPageBreak/>
        <w:t>4.1.</w:t>
      </w:r>
      <w:r w:rsidRPr="00C449B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F7BF2" w:rsidRPr="007F7BF2">
        <w:rPr>
          <w:rFonts w:ascii="Times New Roman" w:hAnsi="Times New Roman" w:cs="Times New Roman"/>
          <w:b/>
          <w:bCs/>
          <w:color w:val="000000"/>
        </w:rPr>
        <w:t>Настоящий Договор вступает в силу с момента его подписания Сторонами и действует до полного исполнения Сторонами всех принятых на себя обязательств, но не позднее «30» июня 2027 года</w:t>
      </w:r>
      <w:r w:rsidR="00C449B5" w:rsidRPr="00C449B5">
        <w:rPr>
          <w:rFonts w:ascii="Times New Roman" w:hAnsi="Times New Roman" w:cs="Times New Roman"/>
          <w:b/>
          <w:bCs/>
          <w:color w:val="000000"/>
        </w:rPr>
        <w:t>.</w:t>
      </w:r>
    </w:p>
    <w:p w14:paraId="78D159CC" w14:textId="77777777" w:rsidR="00385E33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4.</w:t>
      </w:r>
      <w:r w:rsidR="00385E33" w:rsidRPr="0007434B">
        <w:rPr>
          <w:rFonts w:ascii="Times New Roman" w:hAnsi="Times New Roman" w:cs="Times New Roman"/>
          <w:color w:val="000000"/>
        </w:rPr>
        <w:t>2</w:t>
      </w:r>
      <w:r w:rsidRPr="0007434B">
        <w:rPr>
          <w:rFonts w:ascii="Times New Roman" w:hAnsi="Times New Roman" w:cs="Times New Roman"/>
          <w:color w:val="000000"/>
        </w:rPr>
        <w:t xml:space="preserve">. Стороны освобождаются от ответственности за полное или частичное невыполнение обязательств по настоящему Договору, если такое невыполнение явилось следствием обстоятельств непреодолимой силы (форс-мажор), возникших после заключения Договора в результате событий чрезвычайного характера, к которым относятся: землетрясение, наводнение или иные стихийные явления, военные действия, общественные беспорядки. Данные обстоятельства должны быть подтверждены официальными документами соответствующих уполномоченных органов (организаций). </w:t>
      </w:r>
    </w:p>
    <w:p w14:paraId="48458EB5" w14:textId="442B341E" w:rsidR="0024522F" w:rsidRPr="0007434B" w:rsidRDefault="0024522F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4.</w:t>
      </w:r>
      <w:r w:rsidR="00385E33" w:rsidRPr="0007434B">
        <w:rPr>
          <w:rFonts w:ascii="Times New Roman" w:hAnsi="Times New Roman" w:cs="Times New Roman"/>
          <w:color w:val="000000"/>
        </w:rPr>
        <w:t>3</w:t>
      </w:r>
      <w:r w:rsidRPr="0007434B">
        <w:rPr>
          <w:rFonts w:ascii="Times New Roman" w:hAnsi="Times New Roman" w:cs="Times New Roman"/>
          <w:color w:val="000000"/>
        </w:rPr>
        <w:t xml:space="preserve">. Сторона, для которой создалась невозможность исполнения Договора по причине обстоятельств непреодолимой силы, обязана письменно уведомить другую Сторону в течение 3 (трех) рабочих дней, приложив к своему уведомлению подтверждающие официальные документы соответствующих уполномоченных органов (организаций). В противном случае такая Сторона лишается права ссылаться на обстоятельства форс-мажор в качестве основания освобождения от ответственности по Договору. </w:t>
      </w:r>
    </w:p>
    <w:p w14:paraId="3D6272FA" w14:textId="711FE8C2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4.4. Любая Сторона обязана в течение 5 (Пяти) календарных дней уведомлять другую Сторону об изменении своего наименования, адреса и реквизитов, указанных в разделе 10 настоящего Договора. </w:t>
      </w:r>
    </w:p>
    <w:p w14:paraId="453C0FD0" w14:textId="52E998F7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4.5. Расторжение Договора допускается по соглашению Сторон, по решению суда, а также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14:paraId="2C377C99" w14:textId="77777777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0314FBD" w14:textId="1D1E82F5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4.6.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в порядке, установленном статьей 95 Федерального закона от 05.04.2013 № 44-ФЗ.</w:t>
      </w:r>
    </w:p>
    <w:p w14:paraId="7D873EA8" w14:textId="77777777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10EA6D" w14:textId="02E09A2C" w:rsidR="00385E33" w:rsidRPr="0007434B" w:rsidRDefault="00385E33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5. ОТВЕТСТВЕННОСТЬ СТОРОН</w:t>
      </w:r>
    </w:p>
    <w:p w14:paraId="1BFE3915" w14:textId="77777777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5.1. 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Федерации. </w:t>
      </w:r>
    </w:p>
    <w:p w14:paraId="03687694" w14:textId="73729762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5.2. Ответственность Лицензиара за просрочку:</w:t>
      </w:r>
    </w:p>
    <w:p w14:paraId="3692AA8D" w14:textId="61CFD876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В случае просрочки исполнения </w:t>
      </w:r>
      <w:r w:rsidR="00D4548A">
        <w:rPr>
          <w:rFonts w:ascii="Times New Roman" w:hAnsi="Times New Roman" w:cs="Times New Roman"/>
          <w:color w:val="000000"/>
        </w:rPr>
        <w:t>Лицензиаром</w:t>
      </w:r>
      <w:r w:rsidRPr="0007434B">
        <w:rPr>
          <w:rFonts w:ascii="Times New Roman" w:hAnsi="Times New Roman" w:cs="Times New Roman"/>
          <w:color w:val="000000"/>
        </w:rPr>
        <w:t xml:space="preserve"> обязательств по выплате вознаграждения, предусмотренного п. 3.1 Договора, Лицензиат вправе потребовать уплаты пеней. Пеня начисляется за каждый день просрочки, начиная со дня, следующего после дня истечения установленного срока,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678C7CC" w14:textId="09BBEB0E" w:rsidR="00385E33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5.3. Ответственность Лицензиата за просрочку</w:t>
      </w:r>
      <w:r w:rsidR="00833DBB" w:rsidRPr="0007434B">
        <w:rPr>
          <w:rFonts w:ascii="Times New Roman" w:hAnsi="Times New Roman" w:cs="Times New Roman"/>
          <w:color w:val="000000"/>
        </w:rPr>
        <w:t>:</w:t>
      </w:r>
    </w:p>
    <w:p w14:paraId="1F031C93" w14:textId="62F26FE7" w:rsidR="0024522F" w:rsidRPr="0007434B" w:rsidRDefault="00385E33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В случае просрочки исполнения Лицензиатом обязательств, предусмотренных Договором, Лицензиар вправе потребовать уплаты пеней. Пеня начисляется за каждый день просрочки, начиная со дня, следующего после дня истечения установленного срока, в размере одной трехсотой действующей на дату уплаты пеней ключевой ставки Центрального банка Российской Федерации от суммы, не исполненной в срок (или от цены Договора, уменьшенной на сумму исполненных обязательств)</w:t>
      </w:r>
      <w:r w:rsidR="00833DBB" w:rsidRPr="0007434B">
        <w:rPr>
          <w:rFonts w:ascii="Times New Roman" w:hAnsi="Times New Roman" w:cs="Times New Roman"/>
          <w:color w:val="000000"/>
        </w:rPr>
        <w:t>.</w:t>
      </w:r>
    </w:p>
    <w:p w14:paraId="188A9BE2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5.4. Ответственность за иные нарушения (штрафы)</w:t>
      </w:r>
    </w:p>
    <w:p w14:paraId="4530E864" w14:textId="22B1011F" w:rsidR="0024522F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За неисполнение или ненадлежащее исполнение Сторонами обязательств по Договору, за исключением просрочки исполнения обязательств, Стороны уплачивают штраф. Размер штрафа устанавливается в соответствии с Правилами определения размера штрафа, утвержденными Постановлением Правительства РФ от 30.08.2017 № 1042.</w:t>
      </w:r>
    </w:p>
    <w:p w14:paraId="4BBF3B08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5.5. Возмещение убытков и право на отказ от Договора</w:t>
      </w:r>
    </w:p>
    <w:p w14:paraId="330E2C59" w14:textId="02487FA5" w:rsidR="0024522F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Уплата неустойки (пени, штрафа) не освобождает Стороны от исполнения обязательств по Договору, а также от возмещения убытков, причиненных ненадлежащим исполнением. При существенном нарушении Лицензиатом обязанности по уплате вознаграждения Лицензиар вправе в одностороннем порядке отказаться от Договора и потребовать возмещения убытков, в порядке, установленном п. 4.7 Договора и Гражданским кодексом РФ.</w:t>
      </w:r>
    </w:p>
    <w:p w14:paraId="39A9611F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5.6. Прочие условия</w:t>
      </w:r>
    </w:p>
    <w:p w14:paraId="29D05728" w14:textId="31FFC578" w:rsidR="0024522F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Использование Лицензиатом Программы способом, не предусмотренным Договором, либо после его прекращения, влечет ответственность за нарушение исключительных прав. Лицензиар не несет </w:t>
      </w:r>
      <w:r w:rsidRPr="0007434B">
        <w:rPr>
          <w:rFonts w:ascii="Times New Roman" w:hAnsi="Times New Roman" w:cs="Times New Roman"/>
          <w:color w:val="000000"/>
        </w:rPr>
        <w:lastRenderedPageBreak/>
        <w:t>ответственности за отсутствие интеграции Программы с другими программами, имеющимися у Лицензиата. Несовместимость с другим ПО не является недостатком Программы.</w:t>
      </w:r>
    </w:p>
    <w:p w14:paraId="42DADC61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1455A17" w14:textId="77777777" w:rsidR="00833DBB" w:rsidRPr="0007434B" w:rsidRDefault="00833DBB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6. КОНФИДЕНЦИАЛЬНОСТЬ</w:t>
      </w:r>
    </w:p>
    <w:p w14:paraId="649D74CC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6.1. Условия настоящего Договора и дополнительных соглашений к нему, а также все материалы и (или) сведения, принадлежащие Лицензиару в отношении программы, ставшие известными Лицензиату, конфиденциальны и не подлежат разглашению. </w:t>
      </w:r>
    </w:p>
    <w:p w14:paraId="36E945C5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6.2. Лицензиат обязан сохранять конфиденциальность сведений, касающихся программы и иных прав Лицензиара, в течение всего срока действия настоящего Договора, а также в течение трех лет по его истечении, расторжении. </w:t>
      </w:r>
    </w:p>
    <w:p w14:paraId="3C9E10ED" w14:textId="07969546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6.3. Условия настоящего Договора и дополнительных соглашений к нему, а также все материалы и (или) сведения, вносимые Лицензиатом в программу, ставшие известными Лицензиару, конфиденциальны и не подлежат разглашению. </w:t>
      </w:r>
    </w:p>
    <w:p w14:paraId="2591CEC1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A65448" w14:textId="4E7CD204" w:rsidR="00833DBB" w:rsidRPr="0007434B" w:rsidRDefault="00833DBB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7. АНТИКОРРУПЦИОННАЯ ОГОВОРКА</w:t>
      </w:r>
    </w:p>
    <w:p w14:paraId="7E0DEC48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7.1. При исполнении своих обязательств по настоящему Договору Стороны, их аффилированные лица, работники или посредники отказываются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 целью оказать влияние на действия или решения, связанные с заключением или исполнением настоящего Договора, с целью получить какие-либо неправомерные преимущества или иные неправомерные цели. </w:t>
      </w:r>
    </w:p>
    <w:p w14:paraId="4EBD0AFB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7.2.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</w:t>
      </w:r>
    </w:p>
    <w:p w14:paraId="0A4B8EE9" w14:textId="1D32793D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7.3.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конфиденциальности. 7.4. В случае подтверждения факта нарушения каких-либо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Стороны, что нарушение полностью устранено, и проверки факта устранения нарушения. </w:t>
      </w:r>
    </w:p>
    <w:p w14:paraId="0ED72518" w14:textId="73F7F3A9" w:rsidR="00833DBB" w:rsidRPr="0007434B" w:rsidRDefault="00833DBB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8. РАЗРЕШЕНИЕ СПОРОВ</w:t>
      </w:r>
    </w:p>
    <w:p w14:paraId="5E953CEE" w14:textId="77777777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и в претензионном порядке. Срок рассмотрения претензии и предоставления ответа по существу заявленных требований составляет 10 (десять) рабочих дней с момента получения претензии Стороной. </w:t>
      </w:r>
    </w:p>
    <w:p w14:paraId="6EB6C030" w14:textId="0FB64582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8.2.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 и настоящим договором.</w:t>
      </w:r>
    </w:p>
    <w:p w14:paraId="4030829D" w14:textId="77777777" w:rsidR="00833DBB" w:rsidRPr="0007434B" w:rsidRDefault="00833DBB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9. ЗАКЛЮЧИТЕЛЬНЫЕ ПОЛОЖЕНИЯ</w:t>
      </w:r>
    </w:p>
    <w:p w14:paraId="200F9C00" w14:textId="27CC2A2E" w:rsidR="00833DBB" w:rsidRPr="0007434B" w:rsidRDefault="00833DBB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9.1. Реквизиты доступа к личному кабинету для использования Программы передаются Лицензиату по следующему электронному адресу: </w:t>
      </w:r>
      <w:r w:rsidRPr="00C00649">
        <w:rPr>
          <w:rFonts w:ascii="Times New Roman" w:hAnsi="Times New Roman" w:cs="Times New Roman"/>
          <w:color w:val="000000"/>
          <w:highlight w:val="yellow"/>
        </w:rPr>
        <w:t>_____</w:t>
      </w:r>
      <w:r w:rsidRPr="0007434B">
        <w:rPr>
          <w:rFonts w:ascii="Times New Roman" w:hAnsi="Times New Roman" w:cs="Times New Roman"/>
          <w:color w:val="000000"/>
        </w:rPr>
        <w:t xml:space="preserve"> </w:t>
      </w:r>
    </w:p>
    <w:p w14:paraId="7B3750CF" w14:textId="144A4D15" w:rsidR="0024522F" w:rsidRPr="0007434B" w:rsidRDefault="00833DBB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 xml:space="preserve">9.2. Лицензиат не вправе передавать права и обязанности по настоящему Договору третьим лицам, в том числе предоставлять третьим лицам доступ к Программе и (или) ее копиям, заключать </w:t>
      </w:r>
      <w:proofErr w:type="spellStart"/>
      <w:r w:rsidRPr="0007434B">
        <w:rPr>
          <w:rFonts w:ascii="Times New Roman" w:hAnsi="Times New Roman" w:cs="Times New Roman"/>
        </w:rPr>
        <w:t>сублицензионные</w:t>
      </w:r>
      <w:proofErr w:type="spellEnd"/>
      <w:r w:rsidRPr="0007434B">
        <w:rPr>
          <w:rFonts w:ascii="Times New Roman" w:hAnsi="Times New Roman" w:cs="Times New Roman"/>
        </w:rPr>
        <w:t xml:space="preserve"> договоры, а также иным образом распоряжаться правами на Программу, без предварительного письменного согласия Лицензиара.</w:t>
      </w:r>
    </w:p>
    <w:p w14:paraId="3D244682" w14:textId="0E12DDA3" w:rsidR="00876587" w:rsidRPr="0007434B" w:rsidRDefault="00876587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 xml:space="preserve">9.3. По всем вопросам, не урегулированным настоящим Договором, Стороны руководствуются действующим законодательством Российской Федерации. </w:t>
      </w:r>
    </w:p>
    <w:p w14:paraId="47BF25DC" w14:textId="5AD1D524" w:rsidR="00876587" w:rsidRPr="0007434B" w:rsidRDefault="00876587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9.</w:t>
      </w:r>
      <w:r w:rsidR="00D4548A">
        <w:rPr>
          <w:rFonts w:ascii="Times New Roman" w:hAnsi="Times New Roman" w:cs="Times New Roman"/>
        </w:rPr>
        <w:t>4</w:t>
      </w:r>
      <w:r w:rsidRPr="0007434B">
        <w:rPr>
          <w:rFonts w:ascii="Times New Roman" w:hAnsi="Times New Roman" w:cs="Times New Roman"/>
        </w:rPr>
        <w:t>. Стороны осуществляют обмен электронными документами, связанными с исполнением настоящего Договора, с использованием систем электронного документооборота. Документы подписываются усиленной квалифицированной электронной подписью Сторон и признаются юридически значимыми, равнозначными документам на бумажном носителе.</w:t>
      </w:r>
    </w:p>
    <w:p w14:paraId="017BCD77" w14:textId="543E8C15" w:rsidR="00876587" w:rsidRDefault="00876587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434B">
        <w:rPr>
          <w:rFonts w:ascii="Times New Roman" w:hAnsi="Times New Roman" w:cs="Times New Roman"/>
        </w:rPr>
        <w:t>Стороны обязуются обеспечивать конфиденциальность ключей электронных подписей и незамедлительно уведомлять друг друга о любых фактах нарушения их конфиденциальности.</w:t>
      </w:r>
    </w:p>
    <w:p w14:paraId="7E90D28C" w14:textId="59157CCA" w:rsidR="00C00649" w:rsidRDefault="00C00649" w:rsidP="000743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 Лицензиар</w:t>
      </w:r>
      <w:r w:rsidRPr="00C00649">
        <w:rPr>
          <w:rFonts w:ascii="Times New Roman" w:hAnsi="Times New Roman" w:cs="Times New Roman"/>
        </w:rPr>
        <w:t xml:space="preserve"> дает согласие на осуществление проверок Министерством науки и высшего образования Российской Федерации и органами государственного финансового контроля на </w:t>
      </w:r>
      <w:r w:rsidRPr="00C00649">
        <w:rPr>
          <w:rFonts w:ascii="Times New Roman" w:hAnsi="Times New Roman" w:cs="Times New Roman"/>
        </w:rPr>
        <w:lastRenderedPageBreak/>
        <w:t>предмет запрета приобретения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Федерации.</w:t>
      </w:r>
    </w:p>
    <w:p w14:paraId="286124EE" w14:textId="3188C40B" w:rsidR="00C00649" w:rsidRPr="00C00649" w:rsidRDefault="00C00649" w:rsidP="000743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0649">
        <w:rPr>
          <w:rFonts w:ascii="Times New Roman" w:hAnsi="Times New Roman" w:cs="Times New Roman"/>
          <w:b/>
          <w:bCs/>
        </w:rPr>
        <w:t>Стороны договорились, что все первичные учетные документы (в т.ч. УПД), оформляемые в рамках исполнения настоящего Договора, в обязательном порядке должны содержать Идентификатор государственного контракта (ИГК) и номер соглашения о предоставлении субсидии</w:t>
      </w:r>
      <w:r>
        <w:rPr>
          <w:rFonts w:ascii="Times New Roman" w:hAnsi="Times New Roman" w:cs="Times New Roman"/>
          <w:b/>
          <w:bCs/>
        </w:rPr>
        <w:t xml:space="preserve"> (</w:t>
      </w:r>
      <w:r w:rsidRPr="007F7BF2">
        <w:rPr>
          <w:rFonts w:ascii="Times New Roman" w:hAnsi="Times New Roman" w:cs="Times New Roman"/>
          <w:b/>
          <w:bCs/>
          <w:sz w:val="23"/>
          <w:szCs w:val="23"/>
        </w:rPr>
        <w:t>соглашения 075-15-2026-065 от 20.04.2026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7F7BF2">
        <w:rPr>
          <w:rFonts w:ascii="Times New Roman" w:hAnsi="Times New Roman" w:cs="Times New Roman"/>
          <w:b/>
          <w:bCs/>
          <w:color w:val="000000"/>
        </w:rPr>
        <w:t>(ИГК) – 000000Ю807526R760002</w:t>
      </w:r>
      <w:r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3CE58FC7" w14:textId="77777777" w:rsidR="00C00649" w:rsidRDefault="00876587" w:rsidP="00CA5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9.</w:t>
      </w:r>
      <w:r w:rsidR="00C00649">
        <w:rPr>
          <w:rFonts w:ascii="Times New Roman" w:hAnsi="Times New Roman" w:cs="Times New Roman"/>
          <w:color w:val="000000"/>
        </w:rPr>
        <w:t>6</w:t>
      </w:r>
      <w:r w:rsidRPr="0007434B">
        <w:rPr>
          <w:rFonts w:ascii="Times New Roman" w:hAnsi="Times New Roman" w:cs="Times New Roman"/>
          <w:color w:val="000000"/>
        </w:rPr>
        <w:t xml:space="preserve">. Все приложения к настоящему договору вступают в силу с момента их подписания и становятся неотъемлемой частью настоящего Договора: - Приложение №1. Спецификация. </w:t>
      </w:r>
    </w:p>
    <w:p w14:paraId="07335AF8" w14:textId="479D930C" w:rsidR="00876587" w:rsidRPr="00CA5528" w:rsidRDefault="00876587" w:rsidP="00CA5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9.</w:t>
      </w:r>
      <w:r w:rsidR="00C00649">
        <w:rPr>
          <w:rFonts w:ascii="Times New Roman" w:hAnsi="Times New Roman" w:cs="Times New Roman"/>
          <w:color w:val="000000"/>
        </w:rPr>
        <w:t>7</w:t>
      </w:r>
      <w:r w:rsidRPr="0007434B">
        <w:rPr>
          <w:rFonts w:ascii="Times New Roman" w:hAnsi="Times New Roman" w:cs="Times New Roman"/>
          <w:color w:val="000000"/>
        </w:rPr>
        <w:t xml:space="preserve">. Настоящий Договор составлен в двух экземплярах, имеющих одинаковую юридическую силу, по одному для каждой из Сторон. </w:t>
      </w:r>
    </w:p>
    <w:p w14:paraId="6F7B02B2" w14:textId="67248930" w:rsidR="00876587" w:rsidRPr="0007434B" w:rsidRDefault="00876587" w:rsidP="00F26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7434B">
        <w:rPr>
          <w:rFonts w:ascii="Times New Roman" w:hAnsi="Times New Roman" w:cs="Times New Roman"/>
          <w:color w:val="000000"/>
        </w:rPr>
        <w:t>10. АДРЕСА, РЕКВИЗИТЫ И ПОДПИСИ СТОРОН</w:t>
      </w:r>
    </w:p>
    <w:p w14:paraId="7FAFE241" w14:textId="1987E66E" w:rsidR="00876587" w:rsidRPr="0007434B" w:rsidRDefault="00876587" w:rsidP="0007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6587" w:rsidRPr="0007434B" w14:paraId="2822DA97" w14:textId="77777777" w:rsidTr="00307465">
        <w:tc>
          <w:tcPr>
            <w:tcW w:w="4672" w:type="dxa"/>
          </w:tcPr>
          <w:p w14:paraId="7A785A06" w14:textId="30CD9A1C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434B">
              <w:rPr>
                <w:rFonts w:ascii="Times New Roman" w:hAnsi="Times New Roman" w:cs="Times New Roman"/>
                <w:b/>
                <w:bCs/>
                <w:color w:val="000000"/>
              </w:rPr>
              <w:t>Лицензиар</w:t>
            </w:r>
          </w:p>
        </w:tc>
        <w:tc>
          <w:tcPr>
            <w:tcW w:w="4673" w:type="dxa"/>
          </w:tcPr>
          <w:p w14:paraId="762297B4" w14:textId="133B933D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434B">
              <w:rPr>
                <w:rFonts w:ascii="Times New Roman" w:hAnsi="Times New Roman" w:cs="Times New Roman"/>
                <w:b/>
                <w:bCs/>
                <w:color w:val="000000"/>
              </w:rPr>
              <w:t>Лицензиат</w:t>
            </w:r>
          </w:p>
        </w:tc>
      </w:tr>
      <w:tr w:rsidR="00876587" w:rsidRPr="0007434B" w14:paraId="305B0095" w14:textId="77777777" w:rsidTr="00307465">
        <w:tc>
          <w:tcPr>
            <w:tcW w:w="4672" w:type="dxa"/>
          </w:tcPr>
          <w:p w14:paraId="6CFE3144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3" w:type="dxa"/>
          </w:tcPr>
          <w:p w14:paraId="0B51DB67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Федеральное государственное бюджетное образовательное учреждение высшего образования «Камчатский государственный университет имени Витуса Беринга»</w:t>
            </w:r>
          </w:p>
          <w:p w14:paraId="57FA4047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 xml:space="preserve"> 683032, Камчатский край, г. Петропавловск- Камчатский, улица Пограничная, д. 4 </w:t>
            </w:r>
          </w:p>
          <w:p w14:paraId="56C29DBA" w14:textId="5C28129B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Тел. 8(4152)426842 (113)</w:t>
            </w:r>
          </w:p>
          <w:p w14:paraId="48776A60" w14:textId="77777777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ИНН 4100001189</w:t>
            </w:r>
          </w:p>
          <w:p w14:paraId="2838B7F9" w14:textId="77777777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КПП 410101001</w:t>
            </w:r>
          </w:p>
          <w:p w14:paraId="22F68FCB" w14:textId="009B53B7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 xml:space="preserve">Банковский счет, открытый ТОФК 40102810545370000012 </w:t>
            </w:r>
          </w:p>
          <w:p w14:paraId="67F72B65" w14:textId="38EED8C2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Казначейский счет 03215643000000012001</w:t>
            </w:r>
          </w:p>
          <w:p w14:paraId="1048BAEE" w14:textId="77777777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ОКЦ № 1 ДГУ Банка России//УФК по Приморскому краю, г Владивосток</w:t>
            </w:r>
          </w:p>
          <w:p w14:paraId="5137EBE4" w14:textId="77777777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БИК ТОФК 010507002</w:t>
            </w:r>
          </w:p>
          <w:p w14:paraId="696162D7" w14:textId="77777777" w:rsidR="00533155" w:rsidRPr="00533155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ОКТМО 30701000</w:t>
            </w:r>
          </w:p>
          <w:p w14:paraId="6061A25F" w14:textId="77777777" w:rsidR="00876587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 xml:space="preserve">УФК ПО ПРИМОРСКОМУ КРАЮ (ФГБОУ ВО </w:t>
            </w:r>
            <w:proofErr w:type="spellStart"/>
            <w:r w:rsidRPr="00533155">
              <w:rPr>
                <w:rFonts w:ascii="Times New Roman" w:hAnsi="Times New Roman" w:cs="Times New Roman"/>
                <w:color w:val="000000"/>
              </w:rPr>
              <w:t>КамГУ</w:t>
            </w:r>
            <w:proofErr w:type="spellEnd"/>
            <w:r w:rsidRPr="00533155">
              <w:rPr>
                <w:rFonts w:ascii="Times New Roman" w:hAnsi="Times New Roman" w:cs="Times New Roman"/>
                <w:color w:val="000000"/>
              </w:rPr>
              <w:t xml:space="preserve"> им. Витуса Беринга л/с </w:t>
            </w:r>
            <w:r w:rsidRPr="00533155">
              <w:rPr>
                <w:rFonts w:ascii="Times New Roman" w:hAnsi="Times New Roman" w:cs="Times New Roman"/>
                <w:b/>
                <w:bCs/>
                <w:color w:val="000000"/>
              </w:rPr>
              <w:t>711У9213001</w:t>
            </w:r>
            <w:r w:rsidRPr="00533155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EB4FD01" w14:textId="3DFE5076" w:rsidR="00533155" w:rsidRPr="0007434B" w:rsidRDefault="00533155" w:rsidP="00533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6587" w:rsidRPr="0007434B" w14:paraId="0916E16F" w14:textId="77777777" w:rsidTr="00307465">
        <w:tc>
          <w:tcPr>
            <w:tcW w:w="4672" w:type="dxa"/>
          </w:tcPr>
          <w:p w14:paraId="1B72DF00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C73E226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5C104DA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63DBE27" w14:textId="510CC2F3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___________________________ /________/</w:t>
            </w:r>
          </w:p>
          <w:p w14:paraId="10B871A1" w14:textId="22948198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673" w:type="dxa"/>
          </w:tcPr>
          <w:p w14:paraId="483B5AD4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Исполняющий обязанности ректора</w:t>
            </w:r>
          </w:p>
          <w:p w14:paraId="17DB1215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067C811" w14:textId="77777777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1149142" w14:textId="0523B3A4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 xml:space="preserve">_____________________/О. А. </w:t>
            </w:r>
            <w:proofErr w:type="spellStart"/>
            <w:r w:rsidRPr="0007434B">
              <w:rPr>
                <w:rFonts w:ascii="Times New Roman" w:hAnsi="Times New Roman" w:cs="Times New Roman"/>
                <w:color w:val="000000"/>
              </w:rPr>
              <w:t>Ребковец</w:t>
            </w:r>
            <w:proofErr w:type="spellEnd"/>
            <w:r w:rsidRPr="0007434B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0EEBDA00" w14:textId="385C096D" w:rsidR="00876587" w:rsidRPr="0007434B" w:rsidRDefault="00876587" w:rsidP="00074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14:paraId="1BE6D8F3" w14:textId="77777777" w:rsidR="00307465" w:rsidRDefault="00307465" w:rsidP="00307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D832D0" w14:textId="77777777" w:rsidR="00307465" w:rsidRDefault="00307465" w:rsidP="00307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D1CBA6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178C7FFE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01061E3E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6678AACA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4145919F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312FF5E1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36D40129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139BC579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68491208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487B1AA0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1FD4E55F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7A6C130B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31573600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3920BA7F" w14:textId="1E936C4B" w:rsidR="00C00649" w:rsidRDefault="00C00649" w:rsidP="008D5F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18AE2BD3" w14:textId="77777777" w:rsidR="008D5F2D" w:rsidRDefault="008D5F2D" w:rsidP="008D5F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7B22B023" w14:textId="77777777" w:rsidR="00C00649" w:rsidRDefault="00C00649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</w:p>
    <w:p w14:paraId="592D8C50" w14:textId="379F739A" w:rsidR="00307465" w:rsidRDefault="00307465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 xml:space="preserve">№ 1 </w:t>
      </w:r>
    </w:p>
    <w:p w14:paraId="33C8E95F" w14:textId="77777777" w:rsidR="00307465" w:rsidRDefault="00307465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 Лицензионному договору </w:t>
      </w:r>
    </w:p>
    <w:p w14:paraId="66114BCF" w14:textId="22E8E4B1" w:rsidR="00307465" w:rsidRDefault="00307465" w:rsidP="00307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 CYR" w:hAnsi="Times New Roman CYR" w:cs="Times New Roman CYR"/>
          <w:color w:val="000000"/>
        </w:rPr>
        <w:t xml:space="preserve">____ от </w:t>
      </w:r>
      <w:r>
        <w:rPr>
          <w:rFonts w:ascii="Times New Roman" w:hAnsi="Times New Roman" w:cs="Times New Roman"/>
          <w:color w:val="000000"/>
        </w:rPr>
        <w:t xml:space="preserve">«__» </w:t>
      </w:r>
      <w:r>
        <w:rPr>
          <w:rFonts w:ascii="Times New Roman CYR" w:hAnsi="Times New Roman CYR" w:cs="Times New Roman CYR"/>
          <w:color w:val="000000"/>
        </w:rPr>
        <w:t>_____ 2026 г.</w:t>
      </w:r>
    </w:p>
    <w:p w14:paraId="3FD8BF6C" w14:textId="79346D32" w:rsidR="00307465" w:rsidRDefault="00307465" w:rsidP="00307465">
      <w:pPr>
        <w:rPr>
          <w:rFonts w:ascii="Times New Roman" w:hAnsi="Times New Roman" w:cs="Times New Roman"/>
        </w:rPr>
      </w:pPr>
    </w:p>
    <w:p w14:paraId="6B4E04A2" w14:textId="44463740" w:rsidR="00307465" w:rsidRDefault="00307465" w:rsidP="00307465">
      <w:pPr>
        <w:tabs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07465">
        <w:rPr>
          <w:rFonts w:ascii="Times New Roman" w:hAnsi="Times New Roman" w:cs="Times New Roman"/>
        </w:rPr>
        <w:t>СПЕЦИФИКАЦИЯ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426"/>
        <w:gridCol w:w="3333"/>
        <w:gridCol w:w="1372"/>
        <w:gridCol w:w="1605"/>
        <w:gridCol w:w="1236"/>
        <w:gridCol w:w="2660"/>
      </w:tblGrid>
      <w:tr w:rsidR="00307465" w14:paraId="7E1A8BE7" w14:textId="77777777" w:rsidTr="00307465">
        <w:tc>
          <w:tcPr>
            <w:tcW w:w="426" w:type="dxa"/>
            <w:vAlign w:val="center"/>
          </w:tcPr>
          <w:p w14:paraId="179C3BF7" w14:textId="5B76261C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33" w:type="dxa"/>
            <w:vAlign w:val="center"/>
          </w:tcPr>
          <w:p w14:paraId="5FB53454" w14:textId="2B04AA0B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72" w:type="dxa"/>
            <w:vAlign w:val="center"/>
          </w:tcPr>
          <w:p w14:paraId="45A5688C" w14:textId="354C1D4D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1605" w:type="dxa"/>
            <w:vAlign w:val="center"/>
          </w:tcPr>
          <w:p w14:paraId="75A8A5E9" w14:textId="7E3B3651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использования</w:t>
            </w:r>
          </w:p>
        </w:tc>
        <w:tc>
          <w:tcPr>
            <w:tcW w:w="1236" w:type="dxa"/>
            <w:vAlign w:val="center"/>
          </w:tcPr>
          <w:p w14:paraId="61F1E0CA" w14:textId="1C7FBE48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2660" w:type="dxa"/>
            <w:vAlign w:val="center"/>
          </w:tcPr>
          <w:p w14:paraId="17499D0C" w14:textId="502F169B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 (НДС не облагается/облагается)</w:t>
            </w:r>
          </w:p>
        </w:tc>
      </w:tr>
      <w:tr w:rsidR="00307465" w14:paraId="1AB2088D" w14:textId="77777777" w:rsidTr="00307465">
        <w:tc>
          <w:tcPr>
            <w:tcW w:w="426" w:type="dxa"/>
            <w:vAlign w:val="center"/>
          </w:tcPr>
          <w:p w14:paraId="1F370932" w14:textId="0B859591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3" w:type="dxa"/>
            <w:vAlign w:val="center"/>
          </w:tcPr>
          <w:p w14:paraId="7F387305" w14:textId="77777777" w:rsidR="00307465" w:rsidRPr="00307465" w:rsidRDefault="00307465" w:rsidP="0030746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</w:rPr>
            </w:pPr>
            <w:r w:rsidRPr="00307465">
              <w:rPr>
                <w:rFonts w:ascii="Times New Roman" w:hAnsi="Times New Roman" w:cs="Times New Roman"/>
              </w:rPr>
              <w:t>Предоставление неисключительного права на использование Программы для ЭВМ «Информационный модуль сайта - VIKON» - Модуль VIKON.</w:t>
            </w:r>
          </w:p>
          <w:p w14:paraId="1D688E18" w14:textId="33A17650" w:rsidR="00307465" w:rsidRDefault="00307465" w:rsidP="0030746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</w:rPr>
            </w:pPr>
            <w:r w:rsidRPr="00307465">
              <w:rPr>
                <w:rFonts w:ascii="Times New Roman" w:hAnsi="Times New Roman" w:cs="Times New Roman"/>
              </w:rPr>
              <w:t>Сведения об образовательной организации</w:t>
            </w:r>
          </w:p>
        </w:tc>
        <w:tc>
          <w:tcPr>
            <w:tcW w:w="1372" w:type="dxa"/>
            <w:vAlign w:val="center"/>
          </w:tcPr>
          <w:p w14:paraId="4F1FFAC5" w14:textId="55B3A630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14:paraId="18E43F6B" w14:textId="32B7E7A1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36" w:type="dxa"/>
            <w:vAlign w:val="center"/>
          </w:tcPr>
          <w:p w14:paraId="0761BC46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Align w:val="center"/>
          </w:tcPr>
          <w:p w14:paraId="4B807915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65" w14:paraId="22D796C4" w14:textId="77777777" w:rsidTr="00307465">
        <w:tc>
          <w:tcPr>
            <w:tcW w:w="426" w:type="dxa"/>
            <w:vAlign w:val="center"/>
          </w:tcPr>
          <w:p w14:paraId="001A4436" w14:textId="1EC79FF0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3" w:type="dxa"/>
            <w:vAlign w:val="center"/>
          </w:tcPr>
          <w:p w14:paraId="37DD7034" w14:textId="77777777" w:rsidR="00307465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Предоставление неисключительного права на использование Программы для ЭВМ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Информационный модуль сайта - VIKON</w:t>
            </w:r>
            <w:r>
              <w:rPr>
                <w:rFonts w:ascii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 CYR" w:hAnsi="Times New Roman CYR" w:cs="Times New Roman CYR"/>
                <w:color w:val="000000"/>
              </w:rPr>
              <w:t>Модуль VIKON.</w:t>
            </w:r>
          </w:p>
          <w:p w14:paraId="45265F12" w14:textId="77777777" w:rsidR="00307465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Абитуриенту</w:t>
            </w:r>
          </w:p>
          <w:p w14:paraId="0AB772CF" w14:textId="77777777" w:rsidR="00307465" w:rsidRDefault="00307465" w:rsidP="0030746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3ABC229A" w14:textId="5238B6B2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14:paraId="5E884706" w14:textId="6AAB2C78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36" w:type="dxa"/>
            <w:vAlign w:val="center"/>
          </w:tcPr>
          <w:p w14:paraId="2D19A0F9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Align w:val="center"/>
          </w:tcPr>
          <w:p w14:paraId="4B414A98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65" w14:paraId="59EE4E1C" w14:textId="77777777" w:rsidTr="00307465">
        <w:tc>
          <w:tcPr>
            <w:tcW w:w="426" w:type="dxa"/>
            <w:vAlign w:val="center"/>
          </w:tcPr>
          <w:p w14:paraId="6DAA0EBD" w14:textId="6B4F7FDE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3" w:type="dxa"/>
            <w:vAlign w:val="center"/>
          </w:tcPr>
          <w:p w14:paraId="03633750" w14:textId="77777777" w:rsidR="00307465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Предоставление неисключительного права на использование Программы для ЭВМ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Информационный модуль сайта - VIKON</w:t>
            </w:r>
            <w:r>
              <w:rPr>
                <w:rFonts w:ascii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 CYR" w:hAnsi="Times New Roman CYR" w:cs="Times New Roman CYR"/>
                <w:color w:val="000000"/>
              </w:rPr>
              <w:t>Модуль VIKON.</w:t>
            </w:r>
          </w:p>
          <w:p w14:paraId="104DB129" w14:textId="77777777" w:rsidR="00307465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Аккредитационный мониторинг</w:t>
            </w:r>
          </w:p>
          <w:p w14:paraId="30044B6B" w14:textId="77777777" w:rsidR="00307465" w:rsidRDefault="00307465" w:rsidP="0030746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2FCE0AEF" w14:textId="64C5A639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14:paraId="0E863C1C" w14:textId="48FF2DF1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36" w:type="dxa"/>
            <w:vAlign w:val="center"/>
          </w:tcPr>
          <w:p w14:paraId="4EBCA403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Align w:val="center"/>
          </w:tcPr>
          <w:p w14:paraId="35ECD684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65" w14:paraId="13907447" w14:textId="77777777" w:rsidTr="00307465">
        <w:tc>
          <w:tcPr>
            <w:tcW w:w="426" w:type="dxa"/>
            <w:vAlign w:val="center"/>
          </w:tcPr>
          <w:p w14:paraId="50DD97CC" w14:textId="63E96500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3" w:type="dxa"/>
            <w:vAlign w:val="center"/>
          </w:tcPr>
          <w:p w14:paraId="27CEE481" w14:textId="77777777" w:rsidR="00307465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bookmarkStart w:id="0" w:name="_GoBack"/>
            <w:r>
              <w:rPr>
                <w:rFonts w:ascii="Times New Roman CYR" w:hAnsi="Times New Roman CYR" w:cs="Times New Roman CYR"/>
                <w:color w:val="000000"/>
              </w:rPr>
              <w:t xml:space="preserve">Предоставление неисключительного права на использование Программы для ЭВМ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Информационный модуль сайта - VIKON</w:t>
            </w:r>
            <w:r>
              <w:rPr>
                <w:rFonts w:ascii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 CYR" w:hAnsi="Times New Roman CYR" w:cs="Times New Roman CYR"/>
                <w:color w:val="000000"/>
              </w:rPr>
              <w:t>Модуль VIKON.</w:t>
            </w:r>
          </w:p>
          <w:p w14:paraId="4720F91D" w14:textId="77777777" w:rsidR="00307465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ВСОКО</w:t>
            </w:r>
          </w:p>
          <w:bookmarkEnd w:id="0"/>
          <w:p w14:paraId="60155D20" w14:textId="77777777" w:rsidR="00307465" w:rsidRDefault="00307465" w:rsidP="0030746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2EA283AC" w14:textId="0D86D790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14:paraId="2BA2184E" w14:textId="6490F0BD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36" w:type="dxa"/>
            <w:vAlign w:val="center"/>
          </w:tcPr>
          <w:p w14:paraId="048B325E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Align w:val="center"/>
          </w:tcPr>
          <w:p w14:paraId="6B18054E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65" w14:paraId="45C4CAA7" w14:textId="77777777" w:rsidTr="00307465">
        <w:tc>
          <w:tcPr>
            <w:tcW w:w="426" w:type="dxa"/>
            <w:vAlign w:val="center"/>
          </w:tcPr>
          <w:p w14:paraId="05A47C05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vAlign w:val="center"/>
          </w:tcPr>
          <w:p w14:paraId="12367182" w14:textId="69BEA7D0" w:rsidR="00307465" w:rsidRDefault="00307465" w:rsidP="003074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Итого:</w:t>
            </w:r>
          </w:p>
        </w:tc>
        <w:tc>
          <w:tcPr>
            <w:tcW w:w="1372" w:type="dxa"/>
            <w:vAlign w:val="center"/>
          </w:tcPr>
          <w:p w14:paraId="4DAD49B7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0BF1C1E2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Align w:val="center"/>
          </w:tcPr>
          <w:p w14:paraId="54A7AAC1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Align w:val="center"/>
          </w:tcPr>
          <w:p w14:paraId="3F4E9C09" w14:textId="77777777" w:rsidR="00307465" w:rsidRDefault="00307465" w:rsidP="00307465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C3DC32" w14:textId="14E322D0" w:rsidR="00307465" w:rsidRDefault="00307465" w:rsidP="00307465">
      <w:pPr>
        <w:tabs>
          <w:tab w:val="left" w:pos="3240"/>
        </w:tabs>
        <w:rPr>
          <w:rFonts w:ascii="Times New Roman" w:hAnsi="Times New Roman" w:cs="Times New Roman"/>
        </w:rPr>
      </w:pPr>
    </w:p>
    <w:tbl>
      <w:tblPr>
        <w:tblStyle w:val="a3"/>
        <w:tblW w:w="1063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33"/>
      </w:tblGrid>
      <w:tr w:rsidR="00307465" w14:paraId="6958CA08" w14:textId="77777777" w:rsidTr="00307465">
        <w:tc>
          <w:tcPr>
            <w:tcW w:w="5104" w:type="dxa"/>
          </w:tcPr>
          <w:p w14:paraId="32534D48" w14:textId="22A75366" w:rsidR="00307465" w:rsidRP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</w:rPr>
            </w:pPr>
            <w:r w:rsidRPr="00307465">
              <w:rPr>
                <w:rFonts w:ascii="Times New Roman" w:hAnsi="Times New Roman" w:cs="Times New Roman"/>
                <w:b/>
                <w:bCs/>
              </w:rPr>
              <w:t>Лицензиар</w:t>
            </w:r>
          </w:p>
        </w:tc>
        <w:tc>
          <w:tcPr>
            <w:tcW w:w="5533" w:type="dxa"/>
          </w:tcPr>
          <w:p w14:paraId="40C89068" w14:textId="2A2E2B19" w:rsidR="00307465" w:rsidRP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</w:rPr>
            </w:pPr>
            <w:r w:rsidRPr="00307465">
              <w:rPr>
                <w:rFonts w:ascii="Times New Roman" w:hAnsi="Times New Roman" w:cs="Times New Roman"/>
                <w:b/>
                <w:bCs/>
              </w:rPr>
              <w:t>Лицензиат</w:t>
            </w:r>
          </w:p>
        </w:tc>
      </w:tr>
      <w:tr w:rsidR="00307465" w14:paraId="5E700532" w14:textId="77777777" w:rsidTr="00307465">
        <w:tc>
          <w:tcPr>
            <w:tcW w:w="5104" w:type="dxa"/>
          </w:tcPr>
          <w:p w14:paraId="0DAC9FF1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08B04E3F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696174E1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21B8B50F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67E5ECFF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7C04257E" w14:textId="77777777" w:rsidR="00307465" w:rsidRPr="00307465" w:rsidRDefault="00307465" w:rsidP="00307465">
            <w:pPr>
              <w:rPr>
                <w:rFonts w:ascii="Times New Roman" w:hAnsi="Times New Roman" w:cs="Times New Roman"/>
              </w:rPr>
            </w:pPr>
          </w:p>
          <w:p w14:paraId="390FE5F7" w14:textId="77777777" w:rsidR="00307465" w:rsidRDefault="00307465" w:rsidP="00307465">
            <w:pPr>
              <w:rPr>
                <w:rFonts w:ascii="Times New Roman" w:hAnsi="Times New Roman" w:cs="Times New Roman"/>
              </w:rPr>
            </w:pPr>
          </w:p>
          <w:p w14:paraId="493A95F5" w14:textId="766CEE65" w:rsidR="00307465" w:rsidRDefault="00307465" w:rsidP="00307465">
            <w:pPr>
              <w:rPr>
                <w:rFonts w:ascii="Times New Roman" w:hAnsi="Times New Roman" w:cs="Times New Roman"/>
              </w:rPr>
            </w:pPr>
          </w:p>
          <w:p w14:paraId="4C028F9A" w14:textId="77777777" w:rsidR="00307465" w:rsidRDefault="00307465" w:rsidP="00307465">
            <w:pPr>
              <w:rPr>
                <w:rFonts w:ascii="Times New Roman" w:hAnsi="Times New Roman" w:cs="Times New Roman"/>
              </w:rPr>
            </w:pPr>
          </w:p>
          <w:p w14:paraId="6797C1A7" w14:textId="29CA1BFB" w:rsidR="00307465" w:rsidRPr="0007434B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___________________________ /_______</w:t>
            </w:r>
            <w:r>
              <w:rPr>
                <w:rFonts w:ascii="Times New Roman" w:hAnsi="Times New Roman" w:cs="Times New Roman"/>
                <w:color w:val="000000"/>
              </w:rPr>
              <w:t>_____</w:t>
            </w:r>
            <w:r w:rsidRPr="0007434B">
              <w:rPr>
                <w:rFonts w:ascii="Times New Roman" w:hAnsi="Times New Roman" w:cs="Times New Roman"/>
                <w:color w:val="000000"/>
              </w:rPr>
              <w:t>_/</w:t>
            </w:r>
          </w:p>
          <w:p w14:paraId="0E817244" w14:textId="43ED01DA" w:rsidR="00307465" w:rsidRPr="00307465" w:rsidRDefault="00307465" w:rsidP="00307465">
            <w:pPr>
              <w:rPr>
                <w:rFonts w:ascii="Times New Roman" w:hAnsi="Times New Roman" w:cs="Times New Roman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5533" w:type="dxa"/>
          </w:tcPr>
          <w:p w14:paraId="0D44F956" w14:textId="77777777" w:rsidR="00307465" w:rsidRDefault="00307465" w:rsidP="0030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Камчатский государственный университет имени Витуса Беринга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6DD31AD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13DF3925" w14:textId="77777777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</w:p>
          <w:p w14:paraId="75A00A9E" w14:textId="77777777" w:rsidR="00307465" w:rsidRPr="0007434B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Исполняющий обязанности ректора</w:t>
            </w:r>
          </w:p>
          <w:p w14:paraId="0EE36481" w14:textId="77777777" w:rsidR="00307465" w:rsidRPr="0007434B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4935140" w14:textId="77777777" w:rsidR="00307465" w:rsidRPr="0007434B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2A0DA6A" w14:textId="77777777" w:rsidR="00307465" w:rsidRPr="0007434B" w:rsidRDefault="00307465" w:rsidP="00307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 xml:space="preserve">_____________________/О. А. </w:t>
            </w:r>
            <w:proofErr w:type="spellStart"/>
            <w:r w:rsidRPr="0007434B">
              <w:rPr>
                <w:rFonts w:ascii="Times New Roman" w:hAnsi="Times New Roman" w:cs="Times New Roman"/>
                <w:color w:val="000000"/>
              </w:rPr>
              <w:t>Ребковец</w:t>
            </w:r>
            <w:proofErr w:type="spellEnd"/>
            <w:r w:rsidRPr="0007434B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170964E3" w14:textId="4FE8105D" w:rsidR="00307465" w:rsidRDefault="00307465" w:rsidP="00307465">
            <w:pPr>
              <w:tabs>
                <w:tab w:val="left" w:pos="3240"/>
              </w:tabs>
              <w:rPr>
                <w:rFonts w:ascii="Times New Roman" w:hAnsi="Times New Roman" w:cs="Times New Roman"/>
              </w:rPr>
            </w:pPr>
            <w:r w:rsidRPr="0007434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14:paraId="68BB4553" w14:textId="77777777" w:rsidR="00307465" w:rsidRPr="00307465" w:rsidRDefault="00307465" w:rsidP="00307465">
      <w:pPr>
        <w:tabs>
          <w:tab w:val="left" w:pos="3240"/>
        </w:tabs>
        <w:rPr>
          <w:rFonts w:ascii="Times New Roman" w:hAnsi="Times New Roman" w:cs="Times New Roman"/>
        </w:rPr>
      </w:pPr>
    </w:p>
    <w:sectPr w:rsidR="00307465" w:rsidRPr="0030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4A"/>
    <w:rsid w:val="0007434B"/>
    <w:rsid w:val="000D6781"/>
    <w:rsid w:val="0024522F"/>
    <w:rsid w:val="00307465"/>
    <w:rsid w:val="00313B38"/>
    <w:rsid w:val="00385E33"/>
    <w:rsid w:val="004A597E"/>
    <w:rsid w:val="00533155"/>
    <w:rsid w:val="00574ADF"/>
    <w:rsid w:val="006733FD"/>
    <w:rsid w:val="006F40DA"/>
    <w:rsid w:val="007F7BF2"/>
    <w:rsid w:val="00833DBB"/>
    <w:rsid w:val="00876587"/>
    <w:rsid w:val="008D5F2D"/>
    <w:rsid w:val="00AD42B8"/>
    <w:rsid w:val="00AD5236"/>
    <w:rsid w:val="00C00649"/>
    <w:rsid w:val="00C449B5"/>
    <w:rsid w:val="00CA5528"/>
    <w:rsid w:val="00D4548A"/>
    <w:rsid w:val="00D6234A"/>
    <w:rsid w:val="00EF164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EFFC"/>
  <w15:chartTrackingRefBased/>
  <w15:docId w15:val="{265FFA16-138E-48E1-8856-45FBED6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ТЗ список Знак,it_List1 Знак,Абзац списка литеральный Знак,асз.Списка Знак,Абзац основного текста Знак,AC List 01 Знак,Bullet_IRAO Знак,RSHB_Table-Normal Знак,Table-Normal Знак,Маркер Знак"/>
    <w:link w:val="a5"/>
    <w:uiPriority w:val="34"/>
    <w:qFormat/>
    <w:locked/>
    <w:rsid w:val="00AD5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ТЗ список,it_List1,Абзац списка литеральный,асз.Списка,Абзац основного текста,AC List 01,Bullet_IRAO,RSHB_Table-Normal,Table-Normal,Заголовок_3,Мой Список,Подпись рисунка,Маркер,Bullet Number,Индексы,lp1"/>
    <w:basedOn w:val="a"/>
    <w:link w:val="a4"/>
    <w:uiPriority w:val="34"/>
    <w:qFormat/>
    <w:rsid w:val="00AD52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Дарья Романовна</dc:creator>
  <cp:keywords/>
  <dc:description/>
  <cp:lastModifiedBy>Сидоренко Дарья Романовна</cp:lastModifiedBy>
  <cp:revision>15</cp:revision>
  <dcterms:created xsi:type="dcterms:W3CDTF">2026-06-22T03:02:00Z</dcterms:created>
  <dcterms:modified xsi:type="dcterms:W3CDTF">2026-06-22T22:26:00Z</dcterms:modified>
</cp:coreProperties>
</file>