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КОНТРАКТ № </w:t>
      </w:r>
      <w:r>
        <w:rPr>
          <w:rFonts w:ascii="Times New Roman" w:hAnsi="Times New Roman" w:cs="Times New Roman"/>
          <w:b/>
          <w:color w:val="000000"/>
          <w:sz w:val="24"/>
          <w:szCs w:val="24"/>
        </w:rPr>
        <w:t xml:space="preserve">________________________</w:t>
      </w:r>
      <w:r>
        <w:rPr>
          <w:rFonts w:ascii="Times New Roman" w:hAnsi="Times New Roman" w:cs="Times New Roman"/>
          <w:b/>
          <w:color w:val="000000"/>
          <w:sz w:val="24"/>
          <w:szCs w:val="24"/>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lang w:eastAsia="zh-CN"/>
        </w:rPr>
        <w:t xml:space="preserve">Поставка товаров в рамках текущего ремонта инженерных систем учебных корпусов и общежитий для нужд ФГБОУ ВО «Алтайск</w:t>
      </w:r>
      <w:r>
        <w:rPr>
          <w:rFonts w:ascii="Times New Roman" w:hAnsi="Times New Roman" w:eastAsia="Times New Roman" w:cs="Times New Roman"/>
          <w:sz w:val="24"/>
          <w:szCs w:val="24"/>
          <w:lang w:eastAsia="zh-CN"/>
        </w:rPr>
        <w:t xml:space="preserve">ий государственный университет»</w:t>
      </w:r>
      <w:r>
        <w:rPr>
          <w:rFonts w:ascii="Times New Roman" w:hAnsi="Times New Roman" w:eastAsia="Times New Roman" w:cs="Times New Roman"/>
          <w:sz w:val="24"/>
          <w:szCs w:val="24"/>
          <w:highlight w:val="white"/>
        </w:rPr>
      </w:r>
    </w:p>
    <w:p>
      <w:pPr>
        <w:contextualSpacing/>
        <w:jc w:val="center"/>
        <w:keepNext/>
        <w:spacing w:after="0" w:line="240" w:lineRule="auto"/>
        <w:rPr>
          <w:rFonts w:ascii="Times New Roman" w:hAnsi="Times New Roman" w:cs="Times New Roman"/>
          <w:color w:val="000000"/>
          <w:sz w:val="24"/>
          <w:szCs w:val="24"/>
          <w:highlight w:val="white"/>
          <w:shd w:val="clear" w:color="auto" w:fill="e0e0e0"/>
        </w:rPr>
      </w:pPr>
      <w:r>
        <w:rPr>
          <w:rFonts w:ascii="Times New Roman" w:hAnsi="Times New Roman" w:eastAsia="Times New Roman" w:cs="Times New Roman"/>
          <w:sz w:val="24"/>
          <w:szCs w:val="24"/>
          <w:highlight w:val="white"/>
        </w:rPr>
        <w:t xml:space="preserve">ИКЗ </w:t>
      </w:r>
      <w:r>
        <w:rPr>
          <w:rFonts w:ascii="Times New Roman" w:hAnsi="Times New Roman" w:cs="Times New Roman"/>
          <w:color w:val="000000"/>
          <w:sz w:val="24"/>
          <w:szCs w:val="24"/>
          <w:highlight w:val="white"/>
          <w:shd w:val="clear" w:color="auto" w:fill="e0e0e0"/>
        </w:rPr>
        <w:t xml:space="preserve">26 1 2225004738 222501001 0042 0</w:t>
      </w:r>
      <w:r>
        <w:rPr>
          <w:rFonts w:ascii="Times New Roman" w:hAnsi="Times New Roman" w:cs="Times New Roman"/>
          <w:color w:val="000000"/>
          <w:sz w:val="24"/>
          <w:szCs w:val="24"/>
          <w:highlight w:val="white"/>
          <w:shd w:val="clear" w:color="auto" w:fill="e0e0e0"/>
        </w:rPr>
        <w:t xml:space="preserve">36</w:t>
      </w:r>
      <w:r>
        <w:rPr>
          <w:rFonts w:ascii="Times New Roman" w:hAnsi="Times New Roman" w:cs="Times New Roman"/>
          <w:color w:val="000000"/>
          <w:sz w:val="24"/>
          <w:szCs w:val="24"/>
          <w:highlight w:val="white"/>
          <w:shd w:val="clear" w:color="auto" w:fill="e0e0e0"/>
        </w:rPr>
        <w:t xml:space="preserve"> 0000 000</w:t>
      </w:r>
      <w:r>
        <w:rPr>
          <w:rFonts w:ascii="Times New Roman" w:hAnsi="Times New Roman" w:cs="Times New Roman"/>
          <w:color w:val="000000"/>
          <w:sz w:val="24"/>
          <w:szCs w:val="24"/>
          <w:highlight w:val="white"/>
          <w:shd w:val="clear" w:color="auto" w:fill="e0e0e0"/>
        </w:rPr>
      </w:r>
    </w:p>
    <w:p>
      <w:pPr>
        <w:contextualSpacing/>
        <w:jc w:val="center"/>
        <w:keepNext/>
        <w:spacing w:after="0" w:line="24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contextualSpacing/>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 Барнаул</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 2026 г.</w:t>
      </w:r>
      <w:r>
        <w:rPr>
          <w:rFonts w:ascii="Times New Roman" w:hAnsi="Times New Roman" w:cs="Times New Roman"/>
          <w:bCs/>
          <w:sz w:val="24"/>
          <w:szCs w:val="24"/>
        </w:rPr>
      </w:r>
    </w:p>
    <w:p>
      <w:pPr>
        <w:contextualSpacing/>
        <w:keepNext/>
        <w:spacing w:after="0" w:line="240" w:lineRule="auto"/>
        <w:tabs>
          <w:tab w:val="left" w:pos="6585" w:leader="none"/>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lang w:eastAsia="ar-SA"/>
        </w:rPr>
      </w:pPr>
      <w:r>
        <w:rPr>
          <w:rFonts w:ascii="Times New Roman" w:hAnsi="Times New Roman" w:cs="Times New Roman"/>
          <w:bCs/>
          <w:spacing w:val="-1"/>
          <w:sz w:val="24"/>
          <w:szCs w:val="24"/>
          <w:lang w:eastAsia="ar-SA"/>
        </w:rPr>
        <w:t xml:space="preserve">Федеральное г</w:t>
      </w:r>
      <w:r>
        <w:rPr>
          <w:rFonts w:ascii="Times New Roman" w:hAnsi="Times New Roman" w:cs="Times New Roman"/>
          <w:bCs/>
          <w:sz w:val="24"/>
          <w:szCs w:val="24"/>
          <w:lang w:eastAsia="ar-SA"/>
        </w:rPr>
        <w:t xml:space="preserve">о</w:t>
      </w:r>
      <w:r>
        <w:rPr>
          <w:rFonts w:ascii="Times New Roman" w:hAnsi="Times New Roman" w:cs="Times New Roman"/>
          <w:bCs/>
          <w:spacing w:val="-2"/>
          <w:sz w:val="24"/>
          <w:szCs w:val="24"/>
          <w:lang w:eastAsia="ar-SA"/>
        </w:rPr>
        <w:t xml:space="preserve">с</w:t>
      </w:r>
      <w:r>
        <w:rPr>
          <w:rFonts w:ascii="Times New Roman" w:hAnsi="Times New Roman" w:cs="Times New Roman"/>
          <w:bCs/>
          <w:sz w:val="24"/>
          <w:szCs w:val="24"/>
          <w:lang w:eastAsia="ar-SA"/>
        </w:rPr>
        <w:t xml:space="preserve">у</w:t>
      </w:r>
      <w:r>
        <w:rPr>
          <w:rFonts w:ascii="Times New Roman" w:hAnsi="Times New Roman" w:cs="Times New Roman"/>
          <w:bCs/>
          <w:spacing w:val="-1"/>
          <w:sz w:val="24"/>
          <w:szCs w:val="24"/>
          <w:lang w:eastAsia="ar-SA"/>
        </w:rPr>
        <w:t xml:space="preserve">д</w:t>
      </w:r>
      <w:r>
        <w:rPr>
          <w:rFonts w:ascii="Times New Roman" w:hAnsi="Times New Roman" w:cs="Times New Roman"/>
          <w:bCs/>
          <w:sz w:val="24"/>
          <w:szCs w:val="24"/>
          <w:lang w:eastAsia="ar-SA"/>
        </w:rPr>
        <w:t xml:space="preserve">а</w:t>
      </w:r>
      <w:r>
        <w:rPr>
          <w:rFonts w:ascii="Times New Roman" w:hAnsi="Times New Roman" w:cs="Times New Roman"/>
          <w:bCs/>
          <w:spacing w:val="-3"/>
          <w:sz w:val="24"/>
          <w:szCs w:val="24"/>
          <w:lang w:eastAsia="ar-SA"/>
        </w:rPr>
        <w:t xml:space="preserve">р</w:t>
      </w:r>
      <w:r>
        <w:rPr>
          <w:rFonts w:ascii="Times New Roman" w:hAnsi="Times New Roman" w:cs="Times New Roman"/>
          <w:bCs/>
          <w:spacing w:val="3"/>
          <w:sz w:val="24"/>
          <w:szCs w:val="24"/>
          <w:lang w:eastAsia="ar-SA"/>
        </w:rPr>
        <w:t xml:space="preserve">с</w:t>
      </w:r>
      <w:r>
        <w:rPr>
          <w:rFonts w:ascii="Times New Roman" w:hAnsi="Times New Roman" w:cs="Times New Roman"/>
          <w:bCs/>
          <w:spacing w:val="-3"/>
          <w:sz w:val="24"/>
          <w:szCs w:val="24"/>
          <w:lang w:eastAsia="ar-SA"/>
        </w:rPr>
        <w:t xml:space="preserve">т</w:t>
      </w:r>
      <w:r>
        <w:rPr>
          <w:rFonts w:ascii="Times New Roman" w:hAnsi="Times New Roman" w:cs="Times New Roman"/>
          <w:bCs/>
          <w:spacing w:val="1"/>
          <w:sz w:val="24"/>
          <w:szCs w:val="24"/>
          <w:lang w:eastAsia="ar-SA"/>
        </w:rPr>
        <w:t xml:space="preserve">в</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нн</w:t>
      </w:r>
      <w:r>
        <w:rPr>
          <w:rFonts w:ascii="Times New Roman" w:hAnsi="Times New Roman" w:cs="Times New Roman"/>
          <w:bCs/>
          <w:sz w:val="24"/>
          <w:szCs w:val="24"/>
          <w:lang w:eastAsia="ar-SA"/>
        </w:rPr>
        <w:t xml:space="preserve">ое бюджетное 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6"/>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3"/>
          <w:sz w:val="24"/>
          <w:szCs w:val="24"/>
          <w:lang w:eastAsia="ar-SA"/>
        </w:rPr>
        <w:t xml:space="preserve">т</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л</w:t>
      </w:r>
      <w:r>
        <w:rPr>
          <w:rFonts w:ascii="Times New Roman" w:hAnsi="Times New Roman" w:cs="Times New Roman"/>
          <w:bCs/>
          <w:spacing w:val="-2"/>
          <w:sz w:val="24"/>
          <w:szCs w:val="24"/>
          <w:lang w:eastAsia="ar-SA"/>
        </w:rPr>
        <w:t xml:space="preserve">ь</w:t>
      </w:r>
      <w:r>
        <w:rPr>
          <w:rFonts w:ascii="Times New Roman" w:hAnsi="Times New Roman" w:cs="Times New Roman"/>
          <w:bCs/>
          <w:spacing w:val="2"/>
          <w:sz w:val="24"/>
          <w:szCs w:val="24"/>
          <w:lang w:eastAsia="ar-SA"/>
        </w:rPr>
        <w:t xml:space="preserve">н</w:t>
      </w:r>
      <w:r>
        <w:rPr>
          <w:rFonts w:ascii="Times New Roman" w:hAnsi="Times New Roman" w:cs="Times New Roman"/>
          <w:bCs/>
          <w:sz w:val="24"/>
          <w:szCs w:val="24"/>
          <w:lang w:eastAsia="ar-SA"/>
        </w:rPr>
        <w:t xml:space="preserve">ое</w:t>
      </w:r>
      <w:r>
        <w:rPr>
          <w:rFonts w:ascii="Times New Roman" w:hAnsi="Times New Roman" w:cs="Times New Roman"/>
          <w:bCs/>
          <w:spacing w:val="1"/>
          <w:sz w:val="24"/>
          <w:szCs w:val="24"/>
          <w:lang w:eastAsia="ar-SA"/>
        </w:rPr>
        <w:t xml:space="preserve"> </w:t>
      </w:r>
      <w:r>
        <w:rPr>
          <w:rFonts w:ascii="Times New Roman" w:hAnsi="Times New Roman" w:cs="Times New Roman"/>
          <w:bCs/>
          <w:sz w:val="24"/>
          <w:szCs w:val="24"/>
          <w:lang w:eastAsia="ar-SA"/>
        </w:rPr>
        <w:t xml:space="preserve">уч</w:t>
      </w:r>
      <w:r>
        <w:rPr>
          <w:rFonts w:ascii="Times New Roman" w:hAnsi="Times New Roman" w:cs="Times New Roman"/>
          <w:bCs/>
          <w:spacing w:val="-3"/>
          <w:sz w:val="24"/>
          <w:szCs w:val="24"/>
          <w:lang w:eastAsia="ar-SA"/>
        </w:rPr>
        <w:t xml:space="preserve">р</w:t>
      </w:r>
      <w:r>
        <w:rPr>
          <w:rFonts w:ascii="Times New Roman" w:hAnsi="Times New Roman" w:cs="Times New Roman"/>
          <w:bCs/>
          <w:spacing w:val="-2"/>
          <w:sz w:val="24"/>
          <w:szCs w:val="24"/>
          <w:lang w:eastAsia="ar-SA"/>
        </w:rPr>
        <w:t xml:space="preserve">е</w:t>
      </w:r>
      <w:r>
        <w:rPr>
          <w:rFonts w:ascii="Times New Roman" w:hAnsi="Times New Roman" w:cs="Times New Roman"/>
          <w:bCs/>
          <w:spacing w:val="3"/>
          <w:sz w:val="24"/>
          <w:szCs w:val="24"/>
          <w:lang w:eastAsia="ar-SA"/>
        </w:rPr>
        <w:t xml:space="preserve">ж</w:t>
      </w:r>
      <w:r>
        <w:rPr>
          <w:rFonts w:ascii="Times New Roman" w:hAnsi="Times New Roman" w:cs="Times New Roman"/>
          <w:bCs/>
          <w:spacing w:val="-1"/>
          <w:sz w:val="24"/>
          <w:szCs w:val="24"/>
          <w:lang w:eastAsia="ar-SA"/>
        </w:rPr>
        <w:t xml:space="preserve">д</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ни</w:t>
      </w:r>
      <w:r>
        <w:rPr>
          <w:rFonts w:ascii="Times New Roman" w:hAnsi="Times New Roman" w:cs="Times New Roman"/>
          <w:bCs/>
          <w:sz w:val="24"/>
          <w:szCs w:val="24"/>
          <w:lang w:eastAsia="ar-SA"/>
        </w:rPr>
        <w:t xml:space="preserve">е</w:t>
      </w:r>
      <w:r>
        <w:rPr>
          <w:rFonts w:ascii="Times New Roman" w:hAnsi="Times New Roman" w:cs="Times New Roman"/>
          <w:bCs/>
          <w:spacing w:val="1"/>
          <w:sz w:val="24"/>
          <w:szCs w:val="24"/>
          <w:lang w:eastAsia="ar-SA"/>
        </w:rPr>
        <w:t xml:space="preserve"> </w:t>
      </w:r>
      <w:r>
        <w:rPr>
          <w:rFonts w:ascii="Times New Roman" w:hAnsi="Times New Roman" w:cs="Times New Roman"/>
          <w:bCs/>
          <w:spacing w:val="-4"/>
          <w:sz w:val="24"/>
          <w:szCs w:val="24"/>
          <w:lang w:eastAsia="ar-SA"/>
        </w:rPr>
        <w:t xml:space="preserve">вы</w:t>
      </w:r>
      <w:r>
        <w:rPr>
          <w:rFonts w:ascii="Times New Roman" w:hAnsi="Times New Roman" w:cs="Times New Roman"/>
          <w:bCs/>
          <w:spacing w:val="-2"/>
          <w:sz w:val="24"/>
          <w:szCs w:val="24"/>
          <w:lang w:eastAsia="ar-SA"/>
        </w:rPr>
        <w:t xml:space="preserve">с</w:t>
      </w:r>
      <w:r>
        <w:rPr>
          <w:rFonts w:ascii="Times New Roman" w:hAnsi="Times New Roman" w:cs="Times New Roman"/>
          <w:bCs/>
          <w:spacing w:val="6"/>
          <w:sz w:val="24"/>
          <w:szCs w:val="24"/>
          <w:lang w:eastAsia="ar-SA"/>
        </w:rPr>
        <w:t xml:space="preserve">ш</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г</w:t>
      </w:r>
      <w:r>
        <w:rPr>
          <w:rFonts w:ascii="Times New Roman" w:hAnsi="Times New Roman" w:cs="Times New Roman"/>
          <w:bCs/>
          <w:sz w:val="24"/>
          <w:szCs w:val="24"/>
          <w:lang w:eastAsia="ar-SA"/>
        </w:rPr>
        <w:t xml:space="preserve">о</w:t>
      </w:r>
      <w:r>
        <w:rPr>
          <w:rFonts w:ascii="Times New Roman" w:hAnsi="Times New Roman" w:cs="Times New Roman"/>
          <w:bCs/>
          <w:spacing w:val="3"/>
          <w:sz w:val="24"/>
          <w:szCs w:val="24"/>
          <w:lang w:eastAsia="ar-SA"/>
        </w:rPr>
        <w:t xml:space="preserve"> </w:t>
      </w:r>
      <w:r>
        <w:rPr>
          <w:rFonts w:ascii="Times New Roman" w:hAnsi="Times New Roman" w:cs="Times New Roman"/>
          <w:bCs/>
          <w:sz w:val="24"/>
          <w:szCs w:val="24"/>
          <w:lang w:eastAsia="ar-SA"/>
        </w:rPr>
        <w:t xml:space="preserve">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1"/>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ния </w:t>
      </w:r>
      <w:r>
        <w:rPr>
          <w:rFonts w:ascii="Times New Roman" w:hAnsi="Times New Roman" w:cs="Times New Roman"/>
          <w:bCs/>
          <w:spacing w:val="-1"/>
          <w:sz w:val="24"/>
          <w:szCs w:val="24"/>
          <w:lang w:eastAsia="ar-SA"/>
        </w:rPr>
        <w:t xml:space="preserve">«Алтайский государственный университет»</w:t>
      </w:r>
      <w:r>
        <w:rPr>
          <w:rFonts w:ascii="Times New Roman" w:hAnsi="Times New Roman" w:cs="Times New Roman"/>
          <w:sz w:val="24"/>
          <w:szCs w:val="24"/>
          <w:lang w:eastAsia="ar-SA"/>
        </w:rPr>
        <w:t xml:space="preserve">, </w:t>
      </w:r>
      <w:r>
        <w:rPr>
          <w:rFonts w:ascii="Times New Roman" w:hAnsi="Times New Roman" w:cs="Times New Roman"/>
          <w:spacing w:val="2"/>
          <w:sz w:val="24"/>
          <w:szCs w:val="24"/>
          <w:lang w:eastAsia="ar-SA"/>
        </w:rPr>
        <w:t xml:space="preserve">и</w:t>
      </w:r>
      <w:r>
        <w:rPr>
          <w:rFonts w:ascii="Times New Roman" w:hAnsi="Times New Roman" w:cs="Times New Roman"/>
          <w:spacing w:val="-1"/>
          <w:sz w:val="24"/>
          <w:szCs w:val="24"/>
          <w:lang w:eastAsia="ar-SA"/>
        </w:rPr>
        <w:t xml:space="preserve">м</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н</w:t>
      </w:r>
      <w:r>
        <w:rPr>
          <w:rFonts w:ascii="Times New Roman" w:hAnsi="Times New Roman" w:cs="Times New Roman"/>
          <w:sz w:val="24"/>
          <w:szCs w:val="24"/>
          <w:lang w:eastAsia="ar-SA"/>
        </w:rPr>
        <w:t xml:space="preserve">у</w:t>
      </w:r>
      <w:r>
        <w:rPr>
          <w:rFonts w:ascii="Times New Roman" w:hAnsi="Times New Roman" w:cs="Times New Roman"/>
          <w:spacing w:val="-7"/>
          <w:sz w:val="24"/>
          <w:szCs w:val="24"/>
          <w:lang w:eastAsia="ar-SA"/>
        </w:rPr>
        <w:t xml:space="preserve">е</w:t>
      </w:r>
      <w:r>
        <w:rPr>
          <w:rFonts w:ascii="Times New Roman" w:hAnsi="Times New Roman" w:cs="Times New Roman"/>
          <w:spacing w:val="4"/>
          <w:sz w:val="24"/>
          <w:szCs w:val="24"/>
          <w:lang w:eastAsia="ar-SA"/>
        </w:rPr>
        <w:t xml:space="preserve">м</w:t>
      </w:r>
      <w:r>
        <w:rPr>
          <w:rFonts w:ascii="Times New Roman" w:hAnsi="Times New Roman" w:cs="Times New Roman"/>
          <w:sz w:val="24"/>
          <w:szCs w:val="24"/>
          <w:lang w:eastAsia="ar-SA"/>
        </w:rPr>
        <w:t xml:space="preserve">ое</w:t>
      </w:r>
      <w:r>
        <w:rPr>
          <w:rFonts w:ascii="Times New Roman" w:hAnsi="Times New Roman" w:cs="Times New Roman"/>
          <w:spacing w:val="-4"/>
          <w:sz w:val="24"/>
          <w:szCs w:val="24"/>
          <w:lang w:eastAsia="ar-SA"/>
        </w:rPr>
        <w:t xml:space="preserve"> </w:t>
      </w:r>
      <w:r>
        <w:rPr>
          <w:rFonts w:ascii="Times New Roman" w:hAnsi="Times New Roman" w:cs="Times New Roman"/>
          <w:sz w:val="24"/>
          <w:szCs w:val="24"/>
          <w:lang w:eastAsia="ar-SA"/>
        </w:rPr>
        <w:t xml:space="preserve">в</w:t>
      </w:r>
      <w:r>
        <w:rPr>
          <w:rFonts w:ascii="Times New Roman" w:hAnsi="Times New Roman" w:cs="Times New Roman"/>
          <w:spacing w:val="4"/>
          <w:sz w:val="24"/>
          <w:szCs w:val="24"/>
          <w:lang w:eastAsia="ar-SA"/>
        </w:rPr>
        <w:t xml:space="preserve"> </w:t>
      </w:r>
      <w:r>
        <w:rPr>
          <w:rFonts w:ascii="Times New Roman" w:hAnsi="Times New Roman" w:cs="Times New Roman"/>
          <w:spacing w:val="-2"/>
          <w:sz w:val="24"/>
          <w:szCs w:val="24"/>
          <w:lang w:eastAsia="ar-SA"/>
        </w:rPr>
        <w:t xml:space="preserve">д</w:t>
      </w:r>
      <w:r>
        <w:rPr>
          <w:rFonts w:ascii="Times New Roman" w:hAnsi="Times New Roman" w:cs="Times New Roman"/>
          <w:spacing w:val="3"/>
          <w:sz w:val="24"/>
          <w:szCs w:val="24"/>
          <w:lang w:eastAsia="ar-SA"/>
        </w:rPr>
        <w:t xml:space="preserve">а</w:t>
      </w:r>
      <w:r>
        <w:rPr>
          <w:rFonts w:ascii="Times New Roman" w:hAnsi="Times New Roman" w:cs="Times New Roman"/>
          <w:sz w:val="24"/>
          <w:szCs w:val="24"/>
          <w:lang w:eastAsia="ar-SA"/>
        </w:rPr>
        <w:t xml:space="preserve">ль</w:t>
      </w:r>
      <w:r>
        <w:rPr>
          <w:rFonts w:ascii="Times New Roman" w:hAnsi="Times New Roman" w:cs="Times New Roman"/>
          <w:spacing w:val="2"/>
          <w:sz w:val="24"/>
          <w:szCs w:val="24"/>
          <w:lang w:eastAsia="ar-SA"/>
        </w:rPr>
        <w:t xml:space="preserve">н</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й</w:t>
      </w:r>
      <w:r>
        <w:rPr>
          <w:rFonts w:ascii="Times New Roman" w:hAnsi="Times New Roman" w:cs="Times New Roman"/>
          <w:spacing w:val="3"/>
          <w:sz w:val="24"/>
          <w:szCs w:val="24"/>
          <w:lang w:eastAsia="ar-SA"/>
        </w:rPr>
        <w:t xml:space="preserve">ш</w:t>
      </w:r>
      <w:r>
        <w:rPr>
          <w:rFonts w:ascii="Times New Roman" w:hAnsi="Times New Roman" w:cs="Times New Roman"/>
          <w:spacing w:val="-7"/>
          <w:sz w:val="24"/>
          <w:szCs w:val="24"/>
          <w:lang w:eastAsia="ar-SA"/>
        </w:rPr>
        <w:t xml:space="preserve">е</w:t>
      </w:r>
      <w:r>
        <w:rPr>
          <w:rFonts w:ascii="Times New Roman" w:hAnsi="Times New Roman" w:cs="Times New Roman"/>
          <w:sz w:val="24"/>
          <w:szCs w:val="24"/>
          <w:lang w:eastAsia="ar-SA"/>
        </w:rPr>
        <w:t xml:space="preserve">м</w:t>
      </w:r>
      <w:r>
        <w:rPr>
          <w:rFonts w:ascii="Times New Roman" w:hAnsi="Times New Roman" w:cs="Times New Roman"/>
          <w:spacing w:val="2"/>
          <w:sz w:val="24"/>
          <w:szCs w:val="24"/>
          <w:lang w:eastAsia="ar-SA"/>
        </w:rPr>
        <w:t xml:space="preserve"> «</w:t>
      </w:r>
      <w:r>
        <w:rPr>
          <w:rFonts w:ascii="Times New Roman" w:hAnsi="Times New Roman" w:cs="Times New Roman"/>
          <w:sz w:val="24"/>
          <w:szCs w:val="24"/>
          <w:lang w:eastAsia="ar-SA"/>
        </w:rPr>
        <w:t xml:space="preserve">З</w:t>
      </w:r>
      <w:r>
        <w:rPr>
          <w:rFonts w:ascii="Times New Roman" w:hAnsi="Times New Roman" w:cs="Times New Roman"/>
          <w:spacing w:val="3"/>
          <w:sz w:val="24"/>
          <w:szCs w:val="24"/>
          <w:lang w:eastAsia="ar-SA"/>
        </w:rPr>
        <w:t xml:space="preserve">а</w:t>
      </w:r>
      <w:r>
        <w:rPr>
          <w:rFonts w:ascii="Times New Roman" w:hAnsi="Times New Roman" w:cs="Times New Roman"/>
          <w:spacing w:val="-2"/>
          <w:sz w:val="24"/>
          <w:szCs w:val="24"/>
          <w:lang w:eastAsia="ar-SA"/>
        </w:rPr>
        <w:t xml:space="preserve">к</w:t>
      </w:r>
      <w:r>
        <w:rPr>
          <w:rFonts w:ascii="Times New Roman" w:hAnsi="Times New Roman" w:cs="Times New Roman"/>
          <w:spacing w:val="3"/>
          <w:sz w:val="24"/>
          <w:szCs w:val="24"/>
          <w:lang w:eastAsia="ar-SA"/>
        </w:rPr>
        <w:t xml:space="preserve">а</w:t>
      </w:r>
      <w:r>
        <w:rPr>
          <w:rFonts w:ascii="Times New Roman" w:hAnsi="Times New Roman" w:cs="Times New Roman"/>
          <w:spacing w:val="-1"/>
          <w:sz w:val="24"/>
          <w:szCs w:val="24"/>
          <w:lang w:eastAsia="ar-SA"/>
        </w:rPr>
        <w:t xml:space="preserve">зч</w:t>
      </w:r>
      <w:r>
        <w:rPr>
          <w:rFonts w:ascii="Times New Roman" w:hAnsi="Times New Roman" w:cs="Times New Roman"/>
          <w:spacing w:val="2"/>
          <w:sz w:val="24"/>
          <w:szCs w:val="24"/>
          <w:lang w:eastAsia="ar-SA"/>
        </w:rPr>
        <w:t xml:space="preserve">и</w:t>
      </w:r>
      <w:r>
        <w:rPr>
          <w:rFonts w:ascii="Times New Roman" w:hAnsi="Times New Roman" w:cs="Times New Roman"/>
          <w:spacing w:val="-2"/>
          <w:sz w:val="24"/>
          <w:szCs w:val="24"/>
          <w:lang w:eastAsia="ar-SA"/>
        </w:rPr>
        <w:t xml:space="preserve">к»,</w:t>
      </w:r>
      <w:r>
        <w:rPr>
          <w:rFonts w:ascii="Times New Roman" w:hAnsi="Times New Roman" w:cs="Times New Roman"/>
          <w:sz w:val="24"/>
          <w:szCs w:val="24"/>
          <w:lang w:eastAsia="ar-SA"/>
        </w:rPr>
        <w:t xml:space="preserve"> в </w:t>
      </w:r>
      <w:r>
        <w:rPr>
          <w:rFonts w:ascii="Times New Roman" w:hAnsi="Times New Roman" w:cs="Times New Roman"/>
          <w:spacing w:val="-5"/>
          <w:sz w:val="24"/>
          <w:szCs w:val="24"/>
          <w:lang w:eastAsia="ar-SA"/>
        </w:rPr>
        <w:t xml:space="preserve">л</w:t>
      </w:r>
      <w:r>
        <w:rPr>
          <w:rFonts w:ascii="Times New Roman" w:hAnsi="Times New Roman" w:cs="Times New Roman"/>
          <w:spacing w:val="2"/>
          <w:sz w:val="24"/>
          <w:szCs w:val="24"/>
          <w:lang w:eastAsia="ar-SA"/>
        </w:rPr>
        <w:t xml:space="preserve">иц</w:t>
      </w:r>
      <w:r>
        <w:rPr>
          <w:rFonts w:ascii="Times New Roman" w:hAnsi="Times New Roman" w:cs="Times New Roman"/>
          <w:sz w:val="24"/>
          <w:szCs w:val="24"/>
          <w:lang w:eastAsia="ar-SA"/>
        </w:rPr>
        <w:t xml:space="preserve">е </w:t>
      </w:r>
      <w:r>
        <w:rPr>
          <w:rFonts w:ascii="Times New Roman" w:hAnsi="Times New Roman" w:cs="Times New Roman"/>
          <w:spacing w:val="5"/>
          <w:sz w:val="24"/>
          <w:szCs w:val="24"/>
          <w:lang w:eastAsia="ar-SA"/>
        </w:rPr>
        <w:t xml:space="preserve">ректора Бочарова Сергея Николаевича, действующего на основании Устава</w:t>
      </w:r>
      <w:r>
        <w:rPr>
          <w:rFonts w:ascii="Times New Roman" w:hAnsi="Times New Roman" w:cs="Times New Roman"/>
          <w:sz w:val="24"/>
          <w:szCs w:val="24"/>
          <w:lang w:eastAsia="ar-SA"/>
        </w:rPr>
        <w:t xml:space="preserve">, с одной стороны, и </w:t>
      </w:r>
      <w:r>
        <w:rPr>
          <w:rFonts w:ascii="Times New Roman" w:hAnsi="Times New Roman" w:cs="Times New Roman"/>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eastAsia="Times New Roman" w:cs="Times New Roman"/>
          <w:color w:val="000000" w:themeColor="text1"/>
          <w:sz w:val="24"/>
          <w:szCs w:val="24"/>
        </w:rPr>
        <w:t xml:space="preserve">___________________</w:t>
      </w:r>
      <w:r>
        <w:rPr>
          <w:rFonts w:ascii="Times New Roman" w:hAnsi="Times New Roman" w:cs="Times New Roman"/>
          <w:color w:val="000000" w:themeColor="text1"/>
          <w:spacing w:val="5"/>
          <w:sz w:val="24"/>
          <w:szCs w:val="24"/>
          <w:lang w:eastAsia="ar-SA"/>
        </w:rPr>
        <w:t xml:space="preserve">,</w:t>
      </w:r>
      <w:r>
        <w:rPr>
          <w:rFonts w:ascii="Times New Roman" w:hAnsi="Times New Roman" w:cs="Times New Roman"/>
          <w:spacing w:val="5"/>
          <w:sz w:val="24"/>
          <w:szCs w:val="24"/>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sz w:val="24"/>
          <w:szCs w:val="24"/>
          <w:lang w:eastAsia="ar-SA"/>
        </w:rPr>
        <w:t xml:space="preserve">, </w:t>
      </w:r>
      <w:r>
        <w:rPr>
          <w:rFonts w:ascii="Times New Roman" w:hAnsi="Times New Roman" w:cs="Times New Roman"/>
          <w:spacing w:val="5"/>
          <w:sz w:val="24"/>
          <w:szCs w:val="24"/>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rPr>
      </w:pPr>
      <w:r>
        <w:rPr>
          <w:rFonts w:ascii="Times New Roman" w:hAnsi="Times New Roman" w:cs="Times New Roman"/>
          <w:spacing w:val="5"/>
          <w:sz w:val="24"/>
          <w:szCs w:val="24"/>
          <w:lang w:eastAsia="ar-SA"/>
        </w:rPr>
        <w:t xml:space="preserve">на</w:t>
      </w:r>
      <w:r>
        <w:rPr>
          <w:rFonts w:ascii="Times New Roman" w:hAnsi="Times New Roman" w:cs="Times New Roman"/>
          <w:spacing w:val="5"/>
          <w:sz w:val="24"/>
          <w:szCs w:val="24"/>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sz w:val="24"/>
          <w:szCs w:val="24"/>
        </w:rPr>
      </w:r>
    </w:p>
    <w:p>
      <w:pPr>
        <w:contextualSpacing/>
        <w:ind w:firstLine="567"/>
        <w:jc w:val="center"/>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p>
    <w:p>
      <w:pPr>
        <w:pStyle w:val="666"/>
        <w:contextualSpacing/>
        <w:ind w:left="0"/>
        <w:jc w:val="center"/>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lang w:val="en-US"/>
        </w:rPr>
        <w:t xml:space="preserve">I</w:t>
      </w:r>
      <w:r>
        <w:rPr>
          <w:rFonts w:cs="Times New Roman"/>
          <w:b w:val="0"/>
          <w:i w:val="0"/>
          <w:color w:val="000000"/>
          <w:sz w:val="24"/>
          <w:szCs w:val="24"/>
        </w:rPr>
        <w:t xml:space="preserve">. Предмет Контракта</w:t>
      </w:r>
      <w:r>
        <w:rPr>
          <w:rFonts w:cs="Times New Roman"/>
          <w:b w:val="0"/>
          <w:i w:val="0"/>
          <w:color w:val="000000"/>
          <w:sz w:val="24"/>
          <w:szCs w:val="24"/>
        </w:rPr>
      </w:r>
    </w:p>
    <w:p>
      <w:pPr>
        <w:pStyle w:val="666"/>
        <w:ind w:left="0"/>
        <w:jc w:val="both"/>
        <w:tabs>
          <w:tab w:val="left" w:pos="708" w:leader="none"/>
        </w:tabs>
        <w:rPr>
          <w:rFonts w:cs="Times New Roman"/>
          <w:sz w:val="24"/>
          <w:szCs w:val="24"/>
        </w:rPr>
      </w:pPr>
      <w:r>
        <w:rPr>
          <w:rFonts w:cs="Times New Roman"/>
          <w:b w:val="0"/>
          <w:i w:val="0"/>
          <w:color w:val="000000"/>
          <w:sz w:val="24"/>
          <w:szCs w:val="24"/>
        </w:rPr>
        <w:t xml:space="preserve">      </w:t>
      </w:r>
      <w:r>
        <w:rPr>
          <w:rFonts w:cs="Times New Roman"/>
          <w:b w:val="0"/>
          <w:i w:val="0"/>
          <w:sz w:val="24"/>
          <w:szCs w:val="24"/>
        </w:rPr>
        <w:t xml:space="preserve"> 1.1. Поставщик обязуется  поставить товары </w:t>
      </w:r>
      <w:r>
        <w:rPr>
          <w:rFonts w:cs="Times New Roman"/>
          <w:sz w:val="24"/>
          <w:szCs w:val="24"/>
        </w:rPr>
        <w:t xml:space="preserve">в рамках текущего ремонта инженерных систем учебных корпусов и общежитий для нужд ФГБОУ ВО «Алтайский государственный университет»</w:t>
      </w:r>
      <w:r>
        <w:rPr>
          <w:rFonts w:cs="Times New Roman"/>
          <w:b w:val="0"/>
          <w:i w:val="0"/>
          <w:sz w:val="24"/>
          <w:szCs w:val="24"/>
        </w:rPr>
        <w:t xml:space="preserve">, </w:t>
      </w:r>
      <w:r>
        <w:rPr>
          <w:rFonts w:cs="Times New Roman"/>
          <w:b w:val="0"/>
          <w:i w:val="0"/>
          <w:sz w:val="24"/>
          <w:szCs w:val="24"/>
        </w:rPr>
        <w:t xml:space="preserve">(далее - Товар), а Заказчик обязуется принять и оплатить Товар в порядке и на условиях, предусмотренных Контрактом.</w:t>
      </w:r>
      <w:r>
        <w:rPr>
          <w:rFonts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66"/>
        <w:contextualSpacing/>
        <w:ind w:left="0"/>
        <w:jc w:val="center"/>
        <w:spacing w:before="0" w:after="0"/>
        <w:tabs>
          <w:tab w:val="clear" w:pos="0" w:leader="none"/>
          <w:tab w:val="left" w:pos="708" w:leader="none"/>
        </w:tabs>
        <w:rPr>
          <w:rFonts w:cs="Times New Roman"/>
          <w:color w:val="000000"/>
          <w:sz w:val="24"/>
          <w:szCs w:val="24"/>
        </w:rPr>
      </w:pPr>
      <w:r>
        <w:rPr>
          <w:rFonts w:cs="Times New Roman"/>
          <w:i w:val="0"/>
          <w:color w:val="000000"/>
          <w:sz w:val="24"/>
          <w:szCs w:val="24"/>
        </w:rPr>
        <w:t xml:space="preserve">II</w:t>
      </w:r>
      <w:r>
        <w:rPr>
          <w:rFonts w:cs="Times New Roman"/>
          <w:color w:val="000000"/>
          <w:sz w:val="24"/>
          <w:szCs w:val="24"/>
        </w:rPr>
        <w:t xml:space="preserve">. </w:t>
      </w:r>
      <w:r>
        <w:rPr>
          <w:rFonts w:cs="Times New Roman"/>
          <w:i w:val="0"/>
          <w:color w:val="000000"/>
          <w:sz w:val="24"/>
          <w:szCs w:val="24"/>
        </w:rPr>
        <w:t xml:space="preserve">Цена</w:t>
      </w:r>
      <w:r>
        <w:rPr>
          <w:rFonts w:cs="Times New Roman"/>
          <w:color w:val="000000"/>
          <w:sz w:val="24"/>
          <w:szCs w:val="24"/>
        </w:rPr>
        <w:t xml:space="preserve"> </w:t>
      </w:r>
      <w:r>
        <w:rPr>
          <w:rFonts w:cs="Times New Roman"/>
          <w:i w:val="0"/>
          <w:color w:val="000000"/>
          <w:sz w:val="24"/>
          <w:szCs w:val="24"/>
        </w:rPr>
        <w:t xml:space="preserve">Контракта и порядок расчетов</w:t>
      </w:r>
      <w:r>
        <w:rPr>
          <w:rFonts w:cs="Times New Roman"/>
          <w:color w:val="000000"/>
          <w:sz w:val="24"/>
          <w:szCs w:val="24"/>
        </w:rPr>
      </w:r>
    </w:p>
    <w:p>
      <w:pPr>
        <w:contextualSpacing/>
        <w:ind w:firstLine="426"/>
        <w:jc w:val="both"/>
        <w:keepN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 Цена Контракта составляет: _______________, в том числе НДС/без НДС.</w:t>
      </w:r>
      <w:r>
        <w:rPr>
          <w:rFonts w:ascii="Times New Roman" w:hAnsi="Times New Roman" w:cs="Times New Roman"/>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Цена Контракта включает в себя стоимость Товара, стоимость упаковки, доставки Товара до склада</w:t>
      </w:r>
      <w:r>
        <w:rPr>
          <w:rFonts w:ascii="Times New Roman" w:hAnsi="Times New Roman" w:cs="Times New Roman"/>
          <w:sz w:val="24"/>
          <w:szCs w:val="24"/>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sz w:val="24"/>
          <w:szCs w:val="24"/>
        </w:rPr>
        <w:t xml:space="preserve">2.3. </w:t>
      </w:r>
      <w:r>
        <w:rPr>
          <w:rFonts w:ascii="Times New Roman" w:hAnsi="Times New Roman" w:cs="Times New Roman"/>
          <w:bCs/>
          <w:sz w:val="24"/>
          <w:szCs w:val="24"/>
          <w:lang w:eastAsia="ru-RU"/>
        </w:rPr>
        <w:t xml:space="preserve">Источник финансирования</w:t>
      </w:r>
      <w:r>
        <w:rPr>
          <w:rFonts w:ascii="Times New Roman" w:hAnsi="Times New Roman" w:cs="Times New Roman"/>
          <w:bCs/>
          <w:sz w:val="24"/>
          <w:szCs w:val="24"/>
          <w:lang w:eastAsia="ru-RU"/>
        </w:rPr>
        <w:t xml:space="preserve">:</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Pr>
          <w:rFonts w:ascii="Times New Roman" w:hAnsi="Times New Roman" w:cs="Times New Roman"/>
          <w:bCs/>
          <w:sz w:val="24"/>
          <w:szCs w:val="24"/>
          <w:lang w:eastAsia="ru-RU"/>
        </w:rPr>
        <w:t xml:space="preserve">венных услуг (выполнение работ);</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доходы от приносящей доход деятельности.</w:t>
      </w:r>
      <w:r>
        <w:rPr>
          <w:rFonts w:ascii="Times New Roman" w:hAnsi="Times New Roman" w:cs="Times New Roman"/>
          <w:bCs/>
          <w:sz w:val="24"/>
          <w:szCs w:val="24"/>
          <w:lang w:eastAsia="ru-RU"/>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с даты подписания акта приемки товаров, работ, услуг (ф. 0510452).</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 </w:t>
      </w:r>
      <w:r>
        <w:rPr>
          <w:rFonts w:ascii="Times New Roman" w:hAnsi="Times New Roman" w:cs="Times New Roman"/>
          <w:sz w:val="24"/>
          <w:szCs w:val="24"/>
        </w:rPr>
        <w:t xml:space="preserve">Цена Контракта является твердой и опреде</w:t>
      </w:r>
      <w:r>
        <w:rPr>
          <w:rFonts w:ascii="Times New Roman" w:hAnsi="Times New Roman" w:cs="Times New Roman"/>
          <w:sz w:val="24"/>
          <w:szCs w:val="24"/>
        </w:rPr>
        <w:t xml:space="preserve">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имеет право произвести полный отказ от оплаты расходов, не предусмотренных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Порядок, сроки и условия поставки и приемки Товара</w:t>
      </w:r>
      <w:r>
        <w:rPr>
          <w:rFonts w:ascii="Times New Roman" w:hAnsi="Times New Roman" w:cs="Times New Roman"/>
          <w:b/>
          <w:bCs/>
          <w:sz w:val="24"/>
          <w:szCs w:val="24"/>
        </w:rPr>
      </w:r>
    </w:p>
    <w:p>
      <w:pPr>
        <w:pStyle w:val="882"/>
        <w:jc w:val="both"/>
        <w:keepNext/>
        <w:rPr>
          <w:rFonts w:ascii="Times New Roman" w:hAnsi="Times New Roman" w:cs="Times New Roman"/>
          <w:sz w:val="24"/>
          <w:szCs w:val="24"/>
        </w:rPr>
      </w:pPr>
      <w:r>
        <w:rPr>
          <w:rFonts w:ascii="Times New Roman" w:hAnsi="Times New Roman" w:cs="Times New Roman"/>
          <w:sz w:val="24"/>
          <w:szCs w:val="24"/>
        </w:rPr>
        <w:tab/>
        <w:t xml:space="preserve">3.1. Место поставки Товара: Российская Федерация, край Алтайский, г.о. город Барнаул, г Барнаул, пр-кт Социалистический, зд. 68 (склад).</w:t>
      </w:r>
      <w:r>
        <w:rPr>
          <w:rFonts w:ascii="Times New Roman" w:hAnsi="Times New Roman" w:cs="Times New Roman"/>
          <w:sz w:val="24"/>
          <w:szCs w:val="24"/>
        </w:rPr>
      </w:r>
    </w:p>
    <w:p>
      <w:pPr>
        <w:pStyle w:val="882"/>
        <w:contextualSpacing/>
        <w:ind w:firstLine="709"/>
        <w:jc w:val="both"/>
        <w:keepLines/>
        <w:keepNext/>
        <w:rPr>
          <w:rFonts w:ascii="Times New Roman" w:hAnsi="Times New Roman" w:eastAsia="Calibri" w:cs="Times New Roman"/>
          <w:b/>
          <w:color w:val="ff0000"/>
          <w:sz w:val="24"/>
          <w:szCs w:val="24"/>
        </w:rPr>
        <w:suppressLineNumbers/>
      </w:pPr>
      <w:r>
        <w:rPr>
          <w:rFonts w:ascii="Times New Roman" w:hAnsi="Times New Roman" w:cs="Times New Roman"/>
          <w:sz w:val="24"/>
          <w:szCs w:val="24"/>
        </w:rPr>
        <w:t xml:space="preserve">3.2. Сроки поставки Товара: Поставка Товара </w:t>
      </w:r>
      <w:r>
        <w:rPr>
          <w:rFonts w:ascii="Times New Roman" w:hAnsi="Times New Roman" w:cs="Times New Roman"/>
          <w:sz w:val="24"/>
          <w:szCs w:val="24"/>
        </w:rPr>
        <w:t xml:space="preserve">в течение </w:t>
      </w:r>
      <w:r>
        <w:rPr>
          <w:rFonts w:ascii="Times New Roman" w:hAnsi="Times New Roman" w:cs="Times New Roman"/>
          <w:sz w:val="24"/>
          <w:szCs w:val="24"/>
        </w:rPr>
        <w:t xml:space="preserve">1</w:t>
      </w:r>
      <w:r>
        <w:rPr>
          <w:rFonts w:ascii="Times New Roman" w:hAnsi="Times New Roman" w:cs="Times New Roman"/>
          <w:sz w:val="24"/>
          <w:szCs w:val="24"/>
        </w:rPr>
        <w:t xml:space="preserve">0 (</w:t>
      </w:r>
      <w:r>
        <w:rPr>
          <w:rFonts w:ascii="Times New Roman" w:hAnsi="Times New Roman" w:cs="Times New Roman"/>
          <w:sz w:val="24"/>
          <w:szCs w:val="24"/>
        </w:rPr>
        <w:t xml:space="preserve">Д</w:t>
      </w:r>
      <w:r>
        <w:rPr>
          <w:rFonts w:ascii="Times New Roman" w:hAnsi="Times New Roman" w:cs="Times New Roman"/>
          <w:sz w:val="24"/>
          <w:szCs w:val="24"/>
        </w:rPr>
        <w:t xml:space="preserve">есяти</w:t>
      </w:r>
      <w:bookmarkStart w:id="0" w:name="_GoBack"/>
      <w:r/>
      <w:bookmarkEnd w:id="0"/>
      <w:r>
        <w:rPr>
          <w:rFonts w:ascii="Times New Roman" w:hAnsi="Times New Roman" w:cs="Times New Roman"/>
          <w:sz w:val="24"/>
          <w:szCs w:val="24"/>
        </w:rPr>
        <w:t xml:space="preserve">) рабочих дней с момента заключения Контракта.</w:t>
      </w:r>
      <w:r>
        <w:rPr>
          <w:rFonts w:ascii="Times New Roman" w:hAnsi="Times New Roman" w:eastAsia="Calibri" w:cs="Times New Roman"/>
          <w:b/>
          <w:color w:val="ff0000"/>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3.3. Условия поставки Товара: </w:t>
      </w:r>
      <w:r>
        <w:rPr>
          <w:rFonts w:ascii="Times New Roman" w:hAnsi="Times New Roman" w:cs="Times New Roman"/>
          <w:sz w:val="24"/>
          <w:szCs w:val="24"/>
        </w:rPr>
        <w:t xml:space="preserve">Товар соответств</w:t>
      </w:r>
      <w:r>
        <w:rPr>
          <w:rFonts w:ascii="Times New Roman" w:hAnsi="Times New Roman" w:cs="Times New Roman"/>
          <w:sz w:val="24"/>
          <w:szCs w:val="24"/>
        </w:rPr>
        <w:t xml:space="preserve">ует</w:t>
      </w:r>
      <w:r>
        <w:rPr>
          <w:rFonts w:ascii="Times New Roman" w:hAnsi="Times New Roman" w:cs="Times New Roman"/>
          <w:sz w:val="24"/>
          <w:szCs w:val="24"/>
        </w:rPr>
        <w:t xml:space="preserve"> требованиям, подтверждающи</w:t>
      </w:r>
      <w:r>
        <w:rPr>
          <w:rFonts w:ascii="Times New Roman" w:hAnsi="Times New Roman" w:cs="Times New Roman"/>
          <w:sz w:val="24"/>
          <w:szCs w:val="24"/>
        </w:rPr>
        <w:t xml:space="preserve">м</w:t>
      </w:r>
      <w:r>
        <w:rPr>
          <w:rFonts w:ascii="Times New Roman" w:hAnsi="Times New Roman" w:cs="Times New Roman"/>
          <w:sz w:val="24"/>
          <w:szCs w:val="24"/>
        </w:rPr>
        <w:t xml:space="preserve"> качество товара, обеспечивающие ее безопасность для жизни и здоровья окружающих. Товар должен поставляться в полном объеме, в соответствии с требованиями документации Заказчика. Поставщик вместе с поставляемым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оваром направляет оригиналы первичных бухгалтерских документов</w:t>
      </w:r>
      <w:r>
        <w:rPr>
          <w:rFonts w:ascii="Times New Roman" w:hAnsi="Times New Roman" w:cs="Times New Roman"/>
          <w:sz w:val="24"/>
          <w:szCs w:val="24"/>
        </w:rPr>
        <w:t xml:space="preserve">: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Поставщик должен своими силами осуществить: поставку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3.5. Порядок приемки Товар</w:t>
      </w:r>
      <w:r>
        <w:rPr>
          <w:rFonts w:ascii="Times New Roman" w:hAnsi="Times New Roman" w:cs="Times New Roman"/>
          <w:sz w:val="24"/>
          <w:szCs w:val="24"/>
        </w:rPr>
        <w:t xml:space="preserve">а</w:t>
      </w:r>
      <w:r>
        <w:rPr>
          <w:rFonts w:ascii="Times New Roman" w:hAnsi="Times New Roman" w:cs="Times New Roman"/>
          <w:sz w:val="24"/>
          <w:szCs w:val="24"/>
        </w:rPr>
        <w:t xml:space="preserve">: </w:t>
      </w:r>
      <w:r>
        <w:rPr>
          <w:rFonts w:ascii="Times New Roman" w:hAnsi="Times New Roman" w:cs="Times New Roman"/>
          <w:sz w:val="24"/>
          <w:szCs w:val="24"/>
        </w:rPr>
        <w:t xml:space="preserve">Приемка товара по качеству и количеству пр</w:t>
      </w:r>
      <w:r>
        <w:rPr>
          <w:rFonts w:ascii="Times New Roman" w:hAnsi="Times New Roman" w:cs="Times New Roman"/>
          <w:sz w:val="24"/>
          <w:szCs w:val="24"/>
        </w:rPr>
        <w:t xml:space="preserve">оизводится, созданной приемочной комиссией Заказчика и оформляется Актом приемки товаров, работ, услуг (ф.0510452)- далее акт приемки. Приемка товара по акту осуществляется в течение 20 (Двадцати) рабочих дней со дня поставки товара на склад Заказчика и по</w:t>
      </w:r>
      <w:r>
        <w:rPr>
          <w:rFonts w:ascii="Times New Roman" w:hAnsi="Times New Roman" w:cs="Times New Roman"/>
          <w:sz w:val="24"/>
          <w:szCs w:val="24"/>
        </w:rPr>
        <w:t xml:space="preserve">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документах (включая настоящий договор) по наименованию, количеству и качеству в случае их соответ</w:t>
      </w:r>
      <w:r>
        <w:rPr>
          <w:rFonts w:ascii="Times New Roman" w:hAnsi="Times New Roman" w:cs="Times New Roman"/>
          <w:sz w:val="24"/>
          <w:szCs w:val="24"/>
        </w:rPr>
        <w:t xml:space="preserve">ствия формирует и подписывает Акт приемки товаров, работ, услуг (ф.0510452) с 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w:t>
      </w:r>
      <w:r>
        <w:rPr>
          <w:rFonts w:ascii="Times New Roman" w:hAnsi="Times New Roman" w:cs="Times New Roman"/>
          <w:sz w:val="24"/>
          <w:szCs w:val="24"/>
        </w:rPr>
        <w:t xml:space="preserve">т, услуг (ф.0510452), либо оформить мотивированный отказ в течение 3 (трех) рабочих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w:t>
      </w:r>
      <w:r>
        <w:rPr>
          <w:rFonts w:ascii="Times New Roman" w:hAnsi="Times New Roman" w:cs="Times New Roman"/>
          <w:sz w:val="24"/>
          <w:szCs w:val="24"/>
        </w:rPr>
        <w:t xml:space="preserve">зчик может отказаться от приемки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Датой приемки Товара считается дата подписания акта приемки товаров, работ, услуг (ф.0510452).</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Pr>
          <w:rFonts w:ascii="Times New Roman" w:hAnsi="Times New Roman" w:cs="Times New Roman"/>
          <w:b/>
          <w:bCs/>
          <w:sz w:val="24"/>
          <w:szCs w:val="24"/>
        </w:rPr>
        <w:t xml:space="preserve">Обязательства </w:t>
      </w:r>
      <w:r>
        <w:rPr>
          <w:rFonts w:ascii="Times New Roman" w:hAnsi="Times New Roman" w:cs="Times New Roman"/>
          <w:b/>
          <w:bCs/>
          <w:sz w:val="24"/>
          <w:szCs w:val="24"/>
        </w:rPr>
        <w:t xml:space="preserve">Сторон</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Поставщик обязан:</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Контрактом и Спецификацией;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4.1.2. обеспечить соответствие поставляемог</w:t>
      </w:r>
      <w:r>
        <w:rPr>
          <w:rFonts w:ascii="Times New Roman" w:hAnsi="Times New Roman" w:cs="Times New Roman"/>
          <w:sz w:val="24"/>
          <w:szCs w:val="24"/>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w:t>
      </w:r>
      <w:r>
        <w:rPr>
          <w:rFonts w:ascii="Times New Roman" w:hAnsi="Times New Roman" w:cs="Times New Roman"/>
          <w:sz w:val="24"/>
          <w:szCs w:val="24"/>
        </w:rPr>
        <w:t xml:space="preserve">направить его Заказчику по почте заказным письмом с уведомлением о вручении по адресу Заказчика, указанному в Контракте,</w:t>
      </w:r>
      <w:r>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4.1.5. п</w:t>
      </w:r>
      <w:r>
        <w:rPr>
          <w:rFonts w:ascii="Times New Roman" w:hAnsi="Times New Roman" w:cs="Times New Roman"/>
          <w:sz w:val="24"/>
          <w:szCs w:val="24"/>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Поставщик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порядке и в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4.2.5. по сог</w:t>
      </w:r>
      <w:r>
        <w:rPr>
          <w:rFonts w:ascii="Times New Roman" w:hAnsi="Times New Roman" w:cs="Times New Roman"/>
          <w:sz w:val="24"/>
          <w:szCs w:val="24"/>
        </w:rPr>
        <w:t xml:space="preserve">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w:t>
      </w:r>
      <w:r>
        <w:rPr>
          <w:rFonts w:ascii="Times New Roman" w:hAnsi="Times New Roman" w:cs="Times New Roman"/>
          <w:sz w:val="24"/>
          <w:szCs w:val="24"/>
        </w:rPr>
        <w:t xml:space="preserve">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Заказчик обязуется: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w:t>
      </w:r>
      <w:r>
        <w:rPr>
          <w:rFonts w:ascii="Times New Roman" w:hAnsi="Times New Roman" w:cs="Times New Roman"/>
          <w:sz w:val="24"/>
          <w:szCs w:val="24"/>
        </w:rPr>
        <w:t xml:space="preserve">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4.3.3. в случае принятия решения об одностороннем отказе от исполнения Контракта не по</w:t>
      </w:r>
      <w:r>
        <w:rPr>
          <w:rFonts w:ascii="Times New Roman" w:hAnsi="Times New Roman" w:cs="Times New Roman"/>
          <w:sz w:val="24"/>
          <w:szCs w:val="24"/>
        </w:rPr>
        <w:t xml:space="preserve">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w:t>
      </w:r>
      <w:r>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Заказчик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4.4.1. требовать от Поставщика надлежащего исполнения обязательств по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разделом VI Контракта, причиненных по вине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sz w:val="24"/>
          <w:szCs w:val="24"/>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4.4.6. отказаться от приемки и оплаты Товара, не соответствующего условиям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 Качество Товара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Поставляемый товар должен быть новым товаром (това</w:t>
      </w:r>
      <w:r>
        <w:rPr>
          <w:rFonts w:ascii="Times New Roman" w:hAnsi="Times New Roman" w:cs="Times New Roman"/>
          <w:sz w:val="24"/>
          <w:szCs w:val="24"/>
        </w:rPr>
        <w:t xml:space="preserve">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при поставке не должен иметь дефектов, связанных с конструкцией, материалами или функционированием при штатном использовании. Качество товара должно соответст</w:t>
      </w:r>
      <w:r>
        <w:rPr>
          <w:rFonts w:ascii="Times New Roman" w:hAnsi="Times New Roman" w:cs="Times New Roman"/>
          <w:sz w:val="24"/>
          <w:szCs w:val="24"/>
        </w:rPr>
        <w:t xml:space="preserve">вовать требованиям действующего законодательства и иным документам, устанавливающим требования к качеству товаров,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 xml:space="preserve"> </w:t>
      </w:r>
      <w:r>
        <w:rPr>
          <w:rFonts w:ascii="Times New Roman" w:hAnsi="Times New Roman" w:cs="Times New Roman"/>
          <w:sz w:val="24"/>
          <w:szCs w:val="24"/>
        </w:rPr>
        <w:t xml:space="preserve">Требования к упаковке, ма</w:t>
      </w:r>
      <w:r>
        <w:rPr>
          <w:rFonts w:ascii="Times New Roman" w:hAnsi="Times New Roman" w:cs="Times New Roman"/>
          <w:sz w:val="24"/>
          <w:szCs w:val="24"/>
        </w:rPr>
        <w:t xml:space="preserve">ркировке: Товар должен поставляется в упаковке, обеспечивающей его сохранность при транспортировке. Маркировка товара должна располагаться на упаковке и содержать наименование изделия. Маркировка на упаковке должна строго соответствовать маркировке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 xml:space="preserve">Требования к гарантийному сроку и (или) объему предоставлений гарантий качества: не установлен.</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Остаточный срок годности на поставляемые товары (с п.3 по п.7) должен составлять не менее 80% от основного, установленного производителем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 Требования к безопасности товаров: Товар должен соответствовать санитарным правилам и нормам, утвержденным федеральным органом исполнительной власти по государственному</w:t>
      </w:r>
      <w:r>
        <w:rPr>
          <w:rFonts w:ascii="Times New Roman" w:hAnsi="Times New Roman" w:cs="Times New Roman"/>
          <w:sz w:val="24"/>
          <w:szCs w:val="24"/>
        </w:rPr>
        <w:t xml:space="preserve">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требованиям, подтверждающих качество товара, обеспечивающие ее безопасность для жизни и здоровья.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Ответственность Сторон</w:t>
      </w:r>
      <w:r>
        <w:rPr>
          <w:rFonts w:ascii="Times New Roman" w:hAnsi="Times New Roman" w:cs="Times New Roman"/>
          <w:b/>
          <w:bCs/>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 Ответственность Поставщика: </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Поставщиком обязательств (в том числ</w:t>
      </w:r>
      <w:r>
        <w:rPr>
          <w:rFonts w:ascii="Times New Roman" w:hAnsi="Times New Roman" w:cs="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w:t>
      </w:r>
      <w:r>
        <w:rPr>
          <w:rFonts w:ascii="Times New Roman" w:hAnsi="Times New Roman" w:cs="Times New Roman"/>
          <w:sz w:val="24"/>
          <w:szCs w:val="24"/>
        </w:rPr>
        <w:t xml:space="preserve">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w:t>
      </w:r>
      <w:r>
        <w:rPr>
          <w:rFonts w:ascii="Times New Roman" w:hAnsi="Times New Roman" w:cs="Times New Roman"/>
          <w:sz w:val="24"/>
          <w:szCs w:val="24"/>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(этапа) в случае, если цена Контракта (этапа) не превышает 3 млн. рублей – ___________ рублей _______ копеек.</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 Ответственность Заказчика: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Заказчиком обязательс</w:t>
      </w:r>
      <w:r>
        <w:rPr>
          <w:rFonts w:ascii="Times New Roman" w:hAnsi="Times New Roman" w:cs="Times New Roman"/>
          <w:sz w:val="24"/>
          <w:szCs w:val="24"/>
        </w:rPr>
        <w:t xml:space="preserve">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w:t>
      </w:r>
      <w:r>
        <w:rPr>
          <w:rFonts w:ascii="Times New Roman" w:hAnsi="Times New Roman" w:cs="Times New Roman"/>
          <w:sz w:val="24"/>
          <w:szCs w:val="24"/>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sz w:val="24"/>
            <w:szCs w:val="24"/>
          </w:rPr>
          <w:t xml:space="preserve">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 (включительно).</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 Списание начисленных сумм неустоек (штрафов, пеней) распространяется на принятую к учету задолженность исполнителя независимо от срока ее возникновения и осуществляется путем списания с учета задолженности исполнителя по денежным </w:t>
      </w:r>
      <w:r>
        <w:rPr>
          <w:rFonts w:ascii="Times New Roman" w:hAnsi="Times New Roman" w:cs="Times New Roman"/>
          <w:sz w:val="24"/>
          <w:szCs w:val="24"/>
        </w:rPr>
        <w:t xml:space="preserve">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расторжения Контракта в связи с односторонним отказом </w:t>
      </w:r>
      <w:r>
        <w:rPr>
          <w:rFonts w:ascii="Times New Roman" w:hAnsi="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w:t>
      </w:r>
      <w:r>
        <w:rPr>
          <w:rFonts w:ascii="Times New Roman" w:hAnsi="Times New Roman" w:cs="Times New Roman"/>
          <w:b/>
          <w:bCs/>
          <w:sz w:val="24"/>
          <w:szCs w:val="24"/>
        </w:rPr>
        <w:t xml:space="preserve">. Исключительные права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VIII</w:t>
      </w:r>
      <w:r>
        <w:rPr>
          <w:rFonts w:ascii="Times New Roman" w:hAnsi="Times New Roman" w:cs="Times New Roman"/>
          <w:b/>
          <w:bCs/>
          <w:sz w:val="24"/>
          <w:szCs w:val="24"/>
        </w:rPr>
        <w:t xml:space="preserve">. Обстоятельства непреодолимой силы</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В случае если надлежащее исполнение Стороной предусмотренных Контрактом обязательств </w:t>
      </w:r>
      <w:r>
        <w:rPr>
          <w:rFonts w:ascii="Times New Roman" w:hAnsi="Times New Roman" w:cs="Times New Roman"/>
          <w:sz w:val="24"/>
          <w:szCs w:val="24"/>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IX. Рассмотрение и разрешение споров</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9.2. Претензия оформляется в письменной форме. В претензии перечисляются доп</w:t>
      </w:r>
      <w:r>
        <w:rPr>
          <w:rFonts w:ascii="Times New Roman" w:hAnsi="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 Срок рас</w:t>
      </w:r>
      <w:r>
        <w:rPr>
          <w:rFonts w:ascii="Times New Roman" w:hAnsi="Times New Roman" w:cs="Times New Roman"/>
          <w:sz w:val="24"/>
          <w:szCs w:val="24"/>
        </w:rPr>
        <w:t xml:space="preserve">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 При неурегулировании Сторонами спора в досудебном порядке, спор разрешается в судебном порядке.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 Срок действия и порядок расторжения Контракта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 Контракт вступает в силу с момента его подписания обеими Сторонами и действует до полного исполнения Сторонами всех обязательств по Контракту. Окончание </w:t>
      </w:r>
      <w:r>
        <w:rPr>
          <w:rFonts w:ascii="Times New Roman" w:hAnsi="Times New Roman" w:cs="Times New Roman"/>
          <w:sz w:val="24"/>
          <w:szCs w:val="24"/>
        </w:rPr>
        <w:t xml:space="preserve">срока действия Контракта не влечет прекращения неисполненных обязательств Сторон по Контракту, в том числе гарантийных обязательств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sz w:val="24"/>
          <w:szCs w:val="24"/>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 Прочие положения</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 Изменение условий Кон</w:t>
      </w:r>
      <w:r>
        <w:rPr>
          <w:rFonts w:ascii="Times New Roman" w:hAnsi="Times New Roman" w:cs="Times New Roman"/>
          <w:sz w:val="24"/>
          <w:szCs w:val="24"/>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если по предложению Заказчика увеличиваются  (за исключением Контракта, предм</w:t>
      </w:r>
      <w:r>
        <w:rPr>
          <w:rFonts w:ascii="Times New Roman" w:hAnsi="Times New Roman" w:cs="Times New Roman"/>
          <w:sz w:val="24"/>
          <w:szCs w:val="24"/>
        </w:rPr>
        <w:t xml:space="preserve">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предусмотренные Контрактом количество Товара, объем работ</w:t>
      </w:r>
      <w:r>
        <w:rPr>
          <w:rFonts w:ascii="Times New Roman" w:hAnsi="Times New Roman" w:cs="Times New Roman"/>
          <w:sz w:val="24"/>
          <w:szCs w:val="24"/>
        </w:rPr>
        <w:t xml:space="preserve">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rPr>
          <w:rFonts w:ascii="Times New Roman" w:hAnsi="Times New Roman" w:cs="Times New Roman"/>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w:t>
      </w:r>
      <w:r>
        <w:rPr>
          <w:rFonts w:ascii="Times New Roman" w:hAnsi="Times New Roman" w:cs="Times New Roman"/>
          <w:sz w:val="24"/>
          <w:szCs w:val="24"/>
        </w:rPr>
        <w:t xml:space="preserve">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sz w:val="24"/>
          <w:szCs w:val="24"/>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XII. </w:t>
      </w:r>
      <w:r>
        <w:rPr>
          <w:rFonts w:ascii="Times New Roman" w:hAnsi="Times New Roman" w:cs="Times New Roman"/>
          <w:b/>
          <w:sz w:val="24"/>
          <w:szCs w:val="24"/>
        </w:rPr>
        <w:t xml:space="preserve">Антикоррупционная оговорка</w:t>
      </w:r>
      <w:r>
        <w:rPr>
          <w:rFonts w:ascii="Times New Roman" w:hAnsi="Times New Roman" w:cs="Times New Roman"/>
          <w:b/>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12.2. 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cs="Times New Roman"/>
          <w:sz w:val="24"/>
          <w:szCs w:val="24"/>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cs="Times New Roman"/>
          <w:sz w:val="24"/>
          <w:szCs w:val="24"/>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567"/>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XIII</w:t>
      </w:r>
      <w:r>
        <w:rPr>
          <w:rFonts w:ascii="Times New Roman" w:hAnsi="Times New Roman" w:cs="Times New Roman"/>
          <w:b/>
          <w:sz w:val="24"/>
          <w:szCs w:val="24"/>
        </w:rPr>
        <w:t xml:space="preserve">. </w:t>
      </w:r>
      <w:r>
        <w:rPr>
          <w:rFonts w:ascii="Times New Roman" w:hAnsi="Times New Roman" w:cs="Times New Roman"/>
          <w:b/>
          <w:bCs/>
          <w:sz w:val="24"/>
          <w:szCs w:val="24"/>
        </w:rPr>
        <w:t xml:space="preserve">Перечень приложений</w:t>
      </w:r>
      <w:r>
        <w:rPr>
          <w:rFonts w:ascii="Times New Roman" w:hAnsi="Times New Roman" w:cs="Times New Roman"/>
          <w:b/>
          <w:bCs/>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Неотъемлемой частью Контракта является следующее приложение:</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Спецификация (Приложение № 1 к Контракту).</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contextualSpacing/>
        <w:jc w:val="center"/>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t xml:space="preserve">XI</w:t>
      </w:r>
      <w:r>
        <w:rPr>
          <w:rFonts w:ascii="Times New Roman" w:hAnsi="Times New Roman" w:cs="Times New Roman"/>
          <w:b/>
          <w:bCs/>
          <w:sz w:val="24"/>
          <w:szCs w:val="24"/>
          <w:lang w:val="en-US"/>
        </w:rPr>
        <w:t xml:space="preserve">V</w:t>
      </w:r>
      <w:r>
        <w:rPr>
          <w:rFonts w:ascii="Times New Roman" w:hAnsi="Times New Roman" w:cs="Times New Roman"/>
          <w:b/>
          <w:bCs/>
          <w:sz w:val="24"/>
          <w:szCs w:val="24"/>
        </w:rPr>
        <w:t xml:space="preserve">. Реквизиты сторон</w:t>
      </w:r>
      <w:r>
        <w:rPr>
          <w:rFonts w:ascii="Times New Roman" w:hAnsi="Times New Roman" w:cs="Times New Roman"/>
          <w:b/>
          <w:bCs/>
          <w:sz w:val="24"/>
          <w:szCs w:val="24"/>
        </w:rPr>
      </w:r>
    </w:p>
    <w:p>
      <w:pPr>
        <w:contextualSpacing/>
        <w:keepNext/>
        <w:spacing w:after="0" w:line="240" w:lineRule="auto"/>
        <w:tabs>
          <w:tab w:val="left" w:pos="2310" w:leader="none"/>
        </w:tabs>
        <w:rPr>
          <w:rFonts w:ascii="Times New Roman" w:hAnsi="Times New Roman" w:cs="Times New Roman"/>
          <w:sz w:val="24"/>
          <w:szCs w:val="24"/>
          <w:lang w:eastAsia="ar-SA"/>
        </w:rPr>
      </w:pPr>
      <w:r>
        <w:rPr>
          <w:rFonts w:ascii="Times New Roman" w:hAnsi="Times New Roman" w:cs="Times New Roman"/>
          <w:b/>
          <w:bCs/>
          <w:sz w:val="24"/>
          <w:szCs w:val="24"/>
          <w:lang w:eastAsia="ar-SA"/>
        </w:rPr>
        <w:t xml:space="preserve">ЗАКАЗЧИК</w:t>
      </w: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p>
    <w:p>
      <w:pPr>
        <w:contextualSpacing/>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ФГБОУ ВО «Алтайский государственный университет»</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656049, Алтайский край, г. Барнаул, пр. Ленина, д.61,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(3852) 29-66-51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ИНН/КПП 2225004738/222501001</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 1 СибГУ Банка России // УФК по Новосибирской области, г Новосибирск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015004950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банковского счета 40102810445370000043</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(расчетного) счета 03214643000000015104</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Получатель: Управление Федерального казначейства по Новосибирской области (ФГБОУ ВО "Алтайский государственный университет" л/с 20176U88990)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 ОМТС (3852)291295</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Ректор                                                                                                                                                    </w:t>
      </w:r>
      <w:r>
        <w:rPr>
          <w:rFonts w:ascii="Times New Roman" w:hAnsi="Times New Roman" w:cs="Times New Roman"/>
          <w:sz w:val="24"/>
          <w:szCs w:val="24"/>
        </w:rPr>
      </w:r>
    </w:p>
    <w:p>
      <w:pPr>
        <w:contextualSpacing/>
        <w:keepNext/>
        <w:spacing w:after="0" w:line="240" w:lineRule="auto"/>
        <w:tabs>
          <w:tab w:val="left" w:pos="5640" w:leader="none"/>
        </w:tabs>
        <w:rPr>
          <w:rFonts w:ascii="Times New Roman" w:hAnsi="Times New Roman" w:cs="Times New Roman"/>
          <w:sz w:val="24"/>
          <w:szCs w:val="24"/>
        </w:rPr>
      </w:pPr>
      <w:r>
        <w:rPr>
          <w:rFonts w:ascii="Times New Roman" w:hAnsi="Times New Roman" w:cs="Times New Roman"/>
          <w:sz w:val="24"/>
          <w:szCs w:val="24"/>
        </w:rPr>
        <w:t xml:space="preserve">________________ С.Н. Бочаров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ind w:firstLine="18"/>
        <w:jc w:val="both"/>
        <w:keepNext/>
        <w:spacing w:after="0" w:line="240" w:lineRule="auto"/>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ПОСТАВЩИК:</w:t>
      </w:r>
      <w:r>
        <w:rPr>
          <w:rFonts w:ascii="Times New Roman" w:hAnsi="Times New Roman" w:cs="Times New Roman"/>
          <w:b/>
          <w:color w:val="000000" w:themeColor="text1"/>
          <w:sz w:val="24"/>
          <w:szCs w:val="24"/>
        </w:rPr>
      </w:r>
    </w:p>
    <w:p>
      <w:pPr>
        <w:keepNext/>
        <w:spacing w:after="0"/>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_____________________________________</w:t>
      </w:r>
      <w:r>
        <w:rPr>
          <w:rFonts w:ascii="Times New Roman" w:hAnsi="Times New Roman" w:cs="Times New Roman"/>
          <w:color w:val="000000" w:themeColor="text1"/>
          <w:sz w:val="24"/>
          <w:szCs w:val="24"/>
        </w:rPr>
      </w:r>
    </w:p>
    <w:p>
      <w:pPr>
        <w:keepNext/>
        <w:spacing w:after="0"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eastAsia="ar-SA"/>
        </w:rPr>
        <w:t xml:space="preserve"> </w:t>
      </w:r>
      <w:r>
        <w:rPr>
          <w:rFonts w:ascii="Times New Roman" w:hAnsi="Times New Roman" w:cs="Times New Roman"/>
          <w:b/>
          <w:bCs/>
          <w:color w:val="000000" w:themeColor="text1"/>
          <w:sz w:val="24"/>
          <w:szCs w:val="24"/>
        </w:rPr>
      </w:r>
    </w:p>
    <w:p>
      <w:pPr>
        <w:keepNext/>
        <w:spacing w:after="0" w:line="240" w:lineRule="auto"/>
        <w:rPr>
          <w:rFonts w:ascii="Times New Roman" w:hAnsi="Times New Roman" w:cs="Times New Roman"/>
          <w:b/>
          <w:bCs/>
          <w:sz w:val="24"/>
          <w:szCs w:val="24"/>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sz w:val="24"/>
          <w:szCs w:val="24"/>
          <w:lang w:eastAsia="ar-SA"/>
        </w:rPr>
      </w:r>
      <w:r>
        <w:rPr>
          <w:rFonts w:ascii="Times New Roman" w:hAnsi="Times New Roman" w:cs="Times New Roman"/>
          <w:b/>
          <w:bCs/>
          <w:sz w:val="24"/>
          <w:szCs w:val="24"/>
          <w:lang w:eastAsia="ar-SA"/>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№1 к Контракту №_______________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421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r>
    </w:p>
    <w:p>
      <w:pPr>
        <w:jc w:val="center"/>
        <w:keepNext/>
        <w:spacing w:after="0" w:line="240" w:lineRule="auto"/>
        <w:tabs>
          <w:tab w:val="left" w:pos="421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СПЕЦИФИКАЦИЯ</w:t>
      </w:r>
      <w:r>
        <w:rPr>
          <w:rFonts w:ascii="Times New Roman" w:hAnsi="Times New Roman" w:eastAsia="Times New Roman" w:cs="Times New Roman"/>
          <w:bCs/>
          <w:sz w:val="24"/>
          <w:szCs w:val="24"/>
          <w:lang w:eastAsia="ru-RU"/>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8"/>
        <w:jc w:val="right"/>
        <w:keepLines/>
        <w:keepNext/>
        <w:spacing w:after="0" w:line="240" w:lineRule="auto"/>
        <w:rPr>
          <w:rFonts w:ascii="Times New Roman" w:hAnsi="Times New Roman" w:eastAsia="Calibri" w:cs="Times New Roman"/>
          <w:iCs/>
          <w:sz w:val="24"/>
          <w:szCs w:val="24"/>
          <w:lang w:eastAsia="zh-CN"/>
        </w:rPr>
        <w:suppressLineNumbers/>
      </w:pPr>
      <w:r>
        <w:rPr>
          <w:rFonts w:ascii="Times New Roman" w:hAnsi="Times New Roman" w:eastAsia="Calibri" w:cs="Times New Roman"/>
          <w:iCs/>
          <w:sz w:val="24"/>
          <w:szCs w:val="24"/>
          <w:lang w:eastAsia="zh-CN"/>
        </w:rPr>
        <w:t xml:space="preserve">Таблица №1.  Описание объекта закупки</w:t>
      </w:r>
      <w:r>
        <w:rPr>
          <w:rFonts w:ascii="Times New Roman" w:hAnsi="Times New Roman" w:eastAsia="Calibri" w:cs="Times New Roman"/>
          <w:iCs/>
          <w:sz w:val="24"/>
          <w:szCs w:val="24"/>
          <w:lang w:eastAsia="zh-CN"/>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lang w:eastAsia="zh-CN"/>
        </w:rPr>
        <w:t xml:space="preserve">Поставка товаров в рамках текущего ремонта инженерных систем учебных корпусов и общежитий для нужд ФГБОУ ВО «Алтайск</w:t>
      </w:r>
      <w:r>
        <w:rPr>
          <w:rFonts w:ascii="Times New Roman" w:hAnsi="Times New Roman" w:eastAsia="Times New Roman" w:cs="Times New Roman"/>
          <w:sz w:val="24"/>
          <w:szCs w:val="24"/>
          <w:lang w:eastAsia="zh-CN"/>
        </w:rPr>
        <w:t xml:space="preserve">ий государственный университет»</w:t>
      </w:r>
      <w:r>
        <w:rPr>
          <w:rFonts w:ascii="Times New Roman" w:hAnsi="Times New Roman" w:eastAsia="Times New Roman" w:cs="Times New Roman"/>
          <w:sz w:val="24"/>
          <w:szCs w:val="24"/>
          <w:highlight w:val="white"/>
        </w:rPr>
      </w:r>
    </w:p>
    <w:p>
      <w:pPr>
        <w:ind w:firstLine="709"/>
        <w:jc w:val="both"/>
        <w:spacing w:after="0" w:line="264" w:lineRule="auto"/>
        <w:shd w:val="clear" w:color="auto" w:fill="ffffff"/>
        <w:widowControl w:val="off"/>
        <w:rPr>
          <w:rFonts w:ascii="Times New Roman" w:hAnsi="Times New Roman" w:eastAsia="Times New Roman" w:cs="Times New Roman"/>
          <w:b/>
          <w:i/>
          <w:sz w:val="18"/>
          <w:szCs w:val="18"/>
          <w:lang w:eastAsia="zh-CN"/>
        </w:rPr>
      </w:pPr>
      <w:r>
        <w:rPr>
          <w:rFonts w:ascii="Times New Roman" w:hAnsi="Times New Roman" w:eastAsia="Times New Roman" w:cs="Times New Roman"/>
          <w:b/>
          <w:sz w:val="18"/>
          <w:szCs w:val="18"/>
          <w:lang w:eastAsia="ar-SA"/>
        </w:rPr>
        <w:t xml:space="preserve"> </w:t>
      </w:r>
      <w:r>
        <w:rPr>
          <w:rFonts w:ascii="Times New Roman" w:hAnsi="Times New Roman" w:eastAsia="Times New Roman" w:cs="Times New Roman"/>
          <w:b/>
          <w:sz w:val="18"/>
          <w:szCs w:val="18"/>
          <w:lang w:eastAsia="zh-CN"/>
        </w:rPr>
        <w:t xml:space="preserve">Функциональные, технические и качественные характеристики, эксплуатационные характеристики объекта закупки:</w:t>
      </w:r>
      <w:r>
        <w:rPr>
          <w:rFonts w:ascii="Times New Roman" w:hAnsi="Times New Roman" w:eastAsia="Times New Roman" w:cs="Times New Roman"/>
          <w:b/>
          <w:i/>
          <w:sz w:val="18"/>
          <w:szCs w:val="18"/>
          <w:lang w:eastAsia="zh-CN"/>
        </w:rPr>
      </w:r>
    </w:p>
    <w:p>
      <w:pPr>
        <w:jc w:val="right"/>
        <w:spacing w:after="0" w:line="264" w:lineRule="auto"/>
        <w:rPr>
          <w:rFonts w:ascii="Times New Roman" w:hAnsi="Times New Roman" w:eastAsia="Calibri" w:cs="Times New Roman"/>
          <w:sz w:val="18"/>
          <w:szCs w:val="18"/>
          <w:lang w:eastAsia="zh-CN"/>
        </w:rPr>
      </w:pPr>
      <w:r>
        <w:rPr>
          <w:rFonts w:ascii="Times New Roman" w:hAnsi="Times New Roman" w:eastAsia="Calibri" w:cs="Times New Roman"/>
          <w:i/>
          <w:sz w:val="18"/>
          <w:szCs w:val="18"/>
          <w:lang w:eastAsia="zh-CN"/>
        </w:rPr>
        <w:t xml:space="preserve">Таблица №1. Описание объекта закупки</w:t>
      </w:r>
      <w:r>
        <w:rPr>
          <w:rFonts w:ascii="Times New Roman" w:hAnsi="Times New Roman" w:eastAsia="Calibri" w:cs="Times New Roman"/>
          <w:sz w:val="18"/>
          <w:szCs w:val="18"/>
          <w:lang w:eastAsia="zh-CN"/>
        </w:rPr>
      </w:r>
    </w:p>
    <w:tbl>
      <w:tblPr>
        <w:tblStyle w:val="886"/>
        <w:tblW w:w="5389" w:type="pct"/>
        <w:jc w:val="center"/>
        <w:tblInd w:w="-63" w:type="dxa"/>
        <w:tblLayout w:type="fixed"/>
        <w:tblLook w:val="04A0" w:firstRow="1" w:lastRow="0" w:firstColumn="1" w:lastColumn="0" w:noHBand="0" w:noVBand="1"/>
      </w:tblPr>
      <w:tblGrid>
        <w:gridCol w:w="709"/>
        <w:gridCol w:w="1387"/>
        <w:gridCol w:w="3118"/>
        <w:gridCol w:w="1134"/>
        <w:gridCol w:w="992"/>
        <w:gridCol w:w="992"/>
        <w:gridCol w:w="992"/>
        <w:gridCol w:w="992"/>
      </w:tblGrid>
      <w:tr>
        <w:tblPrEx/>
        <w:trPr>
          <w:jc w:val="center"/>
          <w:trHeight w:val="459"/>
        </w:trPr>
        <w:tc>
          <w:tcPr>
            <w:tcW w:w="709" w:type="dxa"/>
            <w:textDirection w:val="lrTb"/>
            <w:noWrap w:val="false"/>
          </w:tcPr>
          <w:p>
            <w:pPr>
              <w:pStyle w:val="882"/>
              <w:rPr>
                <w:b/>
                <w:sz w:val="16"/>
                <w:szCs w:val="16"/>
              </w:rPr>
            </w:pPr>
            <w:r>
              <w:rPr>
                <w:b/>
                <w:sz w:val="16"/>
                <w:szCs w:val="16"/>
              </w:rPr>
              <w:t xml:space="preserve">№ п./п.</w:t>
            </w:r>
            <w:r>
              <w:rPr>
                <w:b/>
                <w:sz w:val="16"/>
                <w:szCs w:val="16"/>
              </w:rPr>
            </w:r>
          </w:p>
        </w:tc>
        <w:tc>
          <w:tcPr>
            <w:tcW w:w="1387" w:type="dxa"/>
            <w:textDirection w:val="lrTb"/>
            <w:noWrap w:val="false"/>
          </w:tcPr>
          <w:p>
            <w:pPr>
              <w:pStyle w:val="882"/>
              <w:rPr>
                <w:b/>
                <w:sz w:val="16"/>
                <w:szCs w:val="16"/>
              </w:rPr>
            </w:pPr>
            <w:r>
              <w:rPr>
                <w:b/>
                <w:sz w:val="16"/>
                <w:szCs w:val="16"/>
              </w:rPr>
              <w:t xml:space="preserve">Наименование товара</w:t>
            </w:r>
            <w:r>
              <w:rPr>
                <w:b/>
                <w:sz w:val="16"/>
                <w:szCs w:val="16"/>
              </w:rPr>
            </w:r>
          </w:p>
        </w:tc>
        <w:tc>
          <w:tcPr>
            <w:tcW w:w="3118" w:type="dxa"/>
            <w:textDirection w:val="lrTb"/>
            <w:noWrap w:val="false"/>
          </w:tcPr>
          <w:p>
            <w:pPr>
              <w:pStyle w:val="882"/>
              <w:ind w:firstLine="709"/>
              <w:rPr>
                <w:b/>
                <w:sz w:val="16"/>
                <w:szCs w:val="16"/>
              </w:rPr>
            </w:pPr>
            <w:r>
              <w:rPr>
                <w:b/>
                <w:sz w:val="16"/>
                <w:szCs w:val="16"/>
              </w:rPr>
              <w:t xml:space="preserve">Техническое описание товара</w:t>
            </w:r>
            <w:r>
              <w:rPr>
                <w:b/>
                <w:sz w:val="16"/>
                <w:szCs w:val="16"/>
              </w:rPr>
            </w:r>
          </w:p>
        </w:tc>
        <w:tc>
          <w:tcPr>
            <w:tcW w:w="1134" w:type="dxa"/>
            <w:textDirection w:val="lrTb"/>
            <w:noWrap w:val="false"/>
          </w:tcPr>
          <w:p>
            <w:pPr>
              <w:pStyle w:val="882"/>
              <w:rPr>
                <w:b/>
                <w:sz w:val="16"/>
                <w:szCs w:val="16"/>
              </w:rPr>
            </w:pPr>
            <w:r>
              <w:rPr>
                <w:b/>
                <w:sz w:val="16"/>
                <w:szCs w:val="16"/>
              </w:rPr>
              <w:t xml:space="preserve">Ед. изм.</w:t>
            </w:r>
            <w:r>
              <w:rPr>
                <w:b/>
                <w:sz w:val="16"/>
                <w:szCs w:val="16"/>
              </w:rPr>
            </w:r>
          </w:p>
        </w:tc>
        <w:tc>
          <w:tcPr>
            <w:tcW w:w="992" w:type="dxa"/>
            <w:textDirection w:val="lrTb"/>
            <w:noWrap w:val="false"/>
          </w:tcPr>
          <w:p>
            <w:pPr>
              <w:pStyle w:val="882"/>
              <w:rPr>
                <w:b/>
                <w:sz w:val="16"/>
                <w:szCs w:val="16"/>
              </w:rPr>
            </w:pPr>
            <w:r>
              <w:rPr>
                <w:b/>
                <w:sz w:val="16"/>
                <w:szCs w:val="16"/>
              </w:rPr>
              <w:t xml:space="preserve">Кол-во</w:t>
            </w:r>
            <w:r>
              <w:rPr>
                <w:b/>
                <w:sz w:val="16"/>
                <w:szCs w:val="16"/>
              </w:rPr>
            </w:r>
          </w:p>
        </w:tc>
        <w:tc>
          <w:tcPr>
            <w:tcW w:w="992" w:type="dxa"/>
            <w:textDirection w:val="lrTb"/>
            <w:noWrap w:val="false"/>
          </w:tcPr>
          <w:p>
            <w:pPr>
              <w:pStyle w:val="882"/>
              <w:rPr>
                <w:b/>
                <w:sz w:val="16"/>
                <w:szCs w:val="16"/>
              </w:rPr>
            </w:pPr>
            <w:r>
              <w:rPr>
                <w:b/>
                <w:sz w:val="16"/>
                <w:szCs w:val="16"/>
              </w:rPr>
              <w:t xml:space="preserve">Цена за ед. товара, руб.</w:t>
            </w:r>
            <w:r>
              <w:rPr>
                <w:b/>
                <w:sz w:val="16"/>
                <w:szCs w:val="16"/>
              </w:rPr>
            </w:r>
          </w:p>
        </w:tc>
        <w:tc>
          <w:tcPr>
            <w:tcW w:w="992" w:type="dxa"/>
            <w:textDirection w:val="lrTb"/>
            <w:noWrap w:val="false"/>
          </w:tcPr>
          <w:p>
            <w:pPr>
              <w:pStyle w:val="882"/>
              <w:rPr>
                <w:b/>
                <w:sz w:val="16"/>
                <w:szCs w:val="16"/>
              </w:rPr>
            </w:pPr>
            <w:r>
              <w:rPr>
                <w:b/>
                <w:sz w:val="16"/>
                <w:szCs w:val="16"/>
              </w:rPr>
              <w:t xml:space="preserve">Сумма, руб.</w:t>
            </w:r>
            <w:r>
              <w:rPr>
                <w:b/>
                <w:sz w:val="16"/>
                <w:szCs w:val="16"/>
              </w:rPr>
            </w:r>
          </w:p>
        </w:tc>
        <w:tc>
          <w:tcPr>
            <w:tcW w:w="992" w:type="dxa"/>
            <w:textDirection w:val="lrTb"/>
            <w:noWrap w:val="false"/>
          </w:tcPr>
          <w:p>
            <w:pPr>
              <w:pStyle w:val="882"/>
              <w:rPr>
                <w:b/>
                <w:sz w:val="16"/>
                <w:szCs w:val="16"/>
              </w:rPr>
            </w:pPr>
            <w:r>
              <w:rPr>
                <w:b/>
                <w:sz w:val="16"/>
                <w:szCs w:val="16"/>
              </w:rPr>
              <w:t xml:space="preserve">Страна происхождения товара</w:t>
            </w:r>
            <w:r>
              <w:rPr>
                <w:b/>
                <w:sz w:val="16"/>
                <w:szCs w:val="16"/>
              </w:rPr>
            </w:r>
          </w:p>
        </w:tc>
      </w:tr>
      <w:tr>
        <w:tblPrEx/>
        <w:trPr>
          <w:jc w:val="center"/>
          <w:trHeight w:val="184"/>
        </w:trPr>
        <w:tc>
          <w:tcPr>
            <w:tcW w:w="709" w:type="dxa"/>
            <w:textDirection w:val="lrTb"/>
            <w:noWrap w:val="false"/>
          </w:tcPr>
          <w:p>
            <w:pPr>
              <w:pStyle w:val="882"/>
              <w:rPr>
                <w:b/>
                <w:sz w:val="16"/>
                <w:szCs w:val="16"/>
              </w:rPr>
            </w:pPr>
            <w:r>
              <w:rPr>
                <w:sz w:val="16"/>
                <w:szCs w:val="16"/>
              </w:rPr>
              <w:t xml:space="preserve">1</w:t>
            </w:r>
            <w:r>
              <w:rPr>
                <w:b/>
                <w:sz w:val="16"/>
                <w:szCs w:val="16"/>
              </w:rPr>
            </w:r>
          </w:p>
        </w:tc>
        <w:tc>
          <w:tcPr>
            <w:tcW w:w="1387" w:type="dxa"/>
            <w:textDirection w:val="lrTb"/>
            <w:noWrap w:val="false"/>
          </w:tcPr>
          <w:p>
            <w:pPr>
              <w:rPr>
                <w:sz w:val="16"/>
                <w:szCs w:val="16"/>
              </w:rPr>
            </w:pPr>
            <w:r>
              <w:rPr>
                <w:sz w:val="16"/>
                <w:szCs w:val="16"/>
              </w:rPr>
              <w:t xml:space="preserve">Хомут червячный</w:t>
            </w:r>
            <w:r>
              <w:rPr>
                <w:sz w:val="16"/>
                <w:szCs w:val="16"/>
              </w:rPr>
            </w:r>
          </w:p>
          <w:p>
            <w:pPr>
              <w:rPr>
                <w:sz w:val="16"/>
                <w:szCs w:val="16"/>
              </w:rPr>
            </w:pPr>
            <w:r>
              <w:rPr>
                <w:sz w:val="16"/>
                <w:szCs w:val="16"/>
              </w:rPr>
              <w:t xml:space="preserve"> 20-32 мм</w:t>
            </w:r>
            <w:r>
              <w:rPr>
                <w:sz w:val="16"/>
                <w:szCs w:val="16"/>
              </w:rPr>
            </w:r>
          </w:p>
        </w:tc>
        <w:tc>
          <w:tcPr>
            <w:tcW w:w="3118" w:type="dxa"/>
            <w:textDirection w:val="lrTb"/>
            <w:noWrap w:val="false"/>
          </w:tcPr>
          <w:p>
            <w:r>
              <w:rPr>
                <w:sz w:val="16"/>
                <w:szCs w:val="16"/>
              </w:rPr>
              <w:t xml:space="preserve">Тип: Ленточный хомут с червяком</w:t>
            </w:r>
            <w:r/>
          </w:p>
          <w:p>
            <w:r>
              <w:rPr>
                <w:sz w:val="16"/>
                <w:szCs w:val="16"/>
              </w:rPr>
              <w:t xml:space="preserve">Материал: Сталь  углеродистая</w:t>
            </w:r>
            <w:r/>
          </w:p>
          <w:p>
            <w:r>
              <w:rPr>
                <w:sz w:val="16"/>
                <w:szCs w:val="16"/>
              </w:rPr>
              <w:t xml:space="preserve">Покрытие: Цинковое </w:t>
            </w:r>
            <w:r/>
          </w:p>
          <w:p>
            <w:r>
              <w:rPr>
                <w:sz w:val="16"/>
                <w:szCs w:val="16"/>
              </w:rPr>
              <w:t xml:space="preserve">Конструкция винта:</w:t>
            </w:r>
            <w:r>
              <w:rPr>
                <w:sz w:val="16"/>
                <w:szCs w:val="16"/>
              </w:rPr>
              <w:tab/>
              <w:t xml:space="preserve">Шестигранная головка под гаечный ключ</w:t>
            </w:r>
            <w:r/>
          </w:p>
          <w:p>
            <w:r>
              <w:rPr>
                <w:sz w:val="16"/>
                <w:szCs w:val="16"/>
              </w:rPr>
              <w:t xml:space="preserve">Тип шлица винта: Комбинированный («крест» + «прямой шлиц»)</w:t>
            </w:r>
            <w:r/>
          </w:p>
          <w:p>
            <w:r>
              <w:rPr>
                <w:sz w:val="16"/>
                <w:szCs w:val="16"/>
              </w:rPr>
              <w:t xml:space="preserve">Диаметр минимальный: 20 мм</w:t>
            </w:r>
            <w:r/>
          </w:p>
          <w:p>
            <w:r>
              <w:rPr>
                <w:sz w:val="16"/>
                <w:szCs w:val="16"/>
              </w:rPr>
              <w:t xml:space="preserve">Диаметр максимальный: 32 мм</w:t>
            </w:r>
            <w:r/>
          </w:p>
          <w:p>
            <w:r>
              <w:rPr>
                <w:sz w:val="16"/>
                <w:szCs w:val="16"/>
              </w:rPr>
              <w:t xml:space="preserve">Исполнение: 1</w:t>
            </w:r>
            <w:r/>
          </w:p>
          <w:p>
            <w:r>
              <w:rPr>
                <w:sz w:val="16"/>
                <w:szCs w:val="16"/>
              </w:rPr>
              <w:t xml:space="preserve">Серия: Тяжелая (Т)</w:t>
            </w:r>
            <w:r/>
          </w:p>
          <w:p>
            <w:pPr>
              <w:rPr>
                <w:sz w:val="16"/>
                <w:szCs w:val="16"/>
              </w:rPr>
            </w:pPr>
            <w:r>
              <w:rPr>
                <w:sz w:val="16"/>
                <w:szCs w:val="16"/>
              </w:rPr>
              <w:t xml:space="preserve">Ширина ленты (b1):</w:t>
            </w:r>
            <w:r>
              <w:rPr>
                <w:sz w:val="16"/>
                <w:szCs w:val="16"/>
              </w:rPr>
              <w:tab/>
              <w:t xml:space="preserve">13 мм </w:t>
            </w:r>
            <w:r>
              <w:rPr>
                <w:sz w:val="16"/>
                <w:szCs w:val="16"/>
              </w:rPr>
            </w:r>
          </w:p>
          <w:p>
            <w:pPr>
              <w:rPr>
                <w:sz w:val="16"/>
                <w:szCs w:val="16"/>
              </w:rPr>
            </w:pPr>
            <w:r>
              <w:rPr>
                <w:sz w:val="16"/>
                <w:szCs w:val="16"/>
              </w:rPr>
              <w:t xml:space="preserve">Соответствие ГОСТ: ГОСТ 28191-89. Государственный стандарт Союза ССР. Хомуты зажимные для рукавов. Технические условия»</w:t>
            </w:r>
            <w:r>
              <w:rPr>
                <w:sz w:val="16"/>
                <w:szCs w:val="16"/>
              </w:rPr>
            </w:r>
          </w:p>
        </w:tc>
        <w:tc>
          <w:tcPr>
            <w:tcW w:w="1134" w:type="dxa"/>
            <w:textDirection w:val="lrTb"/>
            <w:noWrap w:val="false"/>
          </w:tcPr>
          <w:p>
            <w:pPr>
              <w:contextualSpacing/>
              <w:keepLines/>
              <w:keepNext/>
              <w:spacing w:after="200"/>
              <w:widowControl w:val="off"/>
              <w:rPr>
                <w:sz w:val="16"/>
                <w:szCs w:val="16"/>
              </w:rPr>
              <w:framePr w:hSpace="180" w:wrap="around" w:vAnchor="text" w:hAnchor="text" w:x="108" w:y="1"/>
              <w:suppressLineNumbers/>
            </w:pPr>
            <w:r>
              <w:rPr>
                <w:color w:val="000000"/>
                <w:sz w:val="16"/>
                <w:szCs w:val="16"/>
                <w:lang w:eastAsia="ru-RU"/>
              </w:rPr>
              <w:t xml:space="preserve">Штука</w:t>
            </w:r>
            <w:r>
              <w:rPr>
                <w:sz w:val="16"/>
                <w:szCs w:val="16"/>
              </w:rPr>
            </w:r>
          </w:p>
        </w:tc>
        <w:tc>
          <w:tcPr>
            <w:tcW w:w="992" w:type="dxa"/>
            <w:textDirection w:val="lrTb"/>
            <w:noWrap w:val="false"/>
          </w:tcPr>
          <w:p>
            <w:pPr>
              <w:rPr>
                <w:sz w:val="16"/>
                <w:szCs w:val="16"/>
              </w:rPr>
            </w:pPr>
            <w:r>
              <w:rPr>
                <w:sz w:val="16"/>
                <w:szCs w:val="16"/>
              </w:rPr>
              <w:t xml:space="preserve">500</w:t>
            </w:r>
            <w:r>
              <w:rPr>
                <w:sz w:val="16"/>
                <w:szCs w:val="16"/>
              </w:rPr>
            </w:r>
          </w:p>
        </w:tc>
        <w:tc>
          <w:tcPr>
            <w:tcW w:w="992" w:type="dxa"/>
            <w:textDirection w:val="lrTb"/>
            <w:noWrap w:val="false"/>
          </w:tcPr>
          <w:p>
            <w:pPr>
              <w:rPr>
                <w:sz w:val="16"/>
                <w:szCs w:val="16"/>
              </w:rPr>
            </w:pPr>
            <w:r>
              <w:rPr>
                <w:sz w:val="16"/>
                <w:szCs w:val="16"/>
              </w:rPr>
            </w:r>
            <w:r>
              <w:rPr>
                <w:sz w:val="16"/>
                <w:szCs w:val="16"/>
              </w:rPr>
            </w:r>
          </w:p>
        </w:tc>
        <w:tc>
          <w:tcPr>
            <w:tcW w:w="992" w:type="dxa"/>
            <w:textDirection w:val="lrTb"/>
            <w:noWrap w:val="false"/>
          </w:tcPr>
          <w:p>
            <w:pPr>
              <w:rPr>
                <w:sz w:val="16"/>
                <w:szCs w:val="16"/>
              </w:rPr>
            </w:pPr>
            <w:r>
              <w:rPr>
                <w:sz w:val="16"/>
                <w:szCs w:val="16"/>
              </w:rPr>
            </w:r>
            <w:r>
              <w:rPr>
                <w:sz w:val="16"/>
                <w:szCs w:val="16"/>
              </w:rPr>
            </w:r>
          </w:p>
        </w:tc>
        <w:tc>
          <w:tcPr>
            <w:tcW w:w="992" w:type="dxa"/>
            <w:textDirection w:val="lrTb"/>
            <w:noWrap w:val="false"/>
          </w:tcPr>
          <w:p>
            <w:pPr>
              <w:rPr>
                <w:sz w:val="16"/>
                <w:szCs w:val="16"/>
              </w:rPr>
            </w:pPr>
            <w:r>
              <w:rPr>
                <w:sz w:val="16"/>
                <w:szCs w:val="16"/>
              </w:rPr>
            </w:r>
            <w:r>
              <w:rPr>
                <w:sz w:val="16"/>
                <w:szCs w:val="16"/>
              </w:rPr>
            </w:r>
          </w:p>
        </w:tc>
      </w:tr>
      <w:tr>
        <w:tblPrEx/>
        <w:trPr>
          <w:jc w:val="center"/>
          <w:trHeight w:val="184"/>
        </w:trPr>
        <w:tc>
          <w:tcPr>
            <w:tcW w:w="709" w:type="dxa"/>
            <w:textDirection w:val="lrTb"/>
            <w:noWrap w:val="false"/>
          </w:tcPr>
          <w:p>
            <w:pPr>
              <w:pStyle w:val="882"/>
              <w:rPr>
                <w:sz w:val="16"/>
                <w:szCs w:val="16"/>
              </w:rPr>
            </w:pPr>
            <w:r>
              <w:rPr>
                <w:sz w:val="16"/>
                <w:szCs w:val="16"/>
              </w:rPr>
              <w:t xml:space="preserve">2</w:t>
            </w:r>
            <w:r>
              <w:rPr>
                <w:sz w:val="16"/>
                <w:szCs w:val="16"/>
              </w:rPr>
            </w:r>
          </w:p>
        </w:tc>
        <w:tc>
          <w:tcPr>
            <w:tcW w:w="1387" w:type="dxa"/>
            <w:textDirection w:val="lrTb"/>
            <w:noWrap w:val="false"/>
          </w:tcPr>
          <w:p>
            <w:pPr>
              <w:rPr>
                <w:sz w:val="16"/>
                <w:szCs w:val="16"/>
              </w:rPr>
            </w:pPr>
            <w:r>
              <w:rPr>
                <w:sz w:val="16"/>
                <w:szCs w:val="16"/>
              </w:rPr>
              <w:t xml:space="preserve">Хомут червячный </w:t>
            </w:r>
            <w:r>
              <w:rPr>
                <w:sz w:val="16"/>
                <w:szCs w:val="16"/>
              </w:rPr>
            </w:r>
          </w:p>
          <w:p>
            <w:pPr>
              <w:rPr>
                <w:sz w:val="16"/>
                <w:szCs w:val="16"/>
              </w:rPr>
            </w:pPr>
            <w:r>
              <w:rPr>
                <w:sz w:val="16"/>
                <w:szCs w:val="16"/>
              </w:rPr>
              <w:t xml:space="preserve">25-40 мм</w:t>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tc>
        <w:tc>
          <w:tcPr>
            <w:tcW w:w="3118" w:type="dxa"/>
            <w:textDirection w:val="lrTb"/>
            <w:noWrap w:val="false"/>
          </w:tcPr>
          <w:p>
            <w:r>
              <w:rPr>
                <w:sz w:val="16"/>
                <w:szCs w:val="16"/>
              </w:rPr>
              <w:t xml:space="preserve">Тип: Ленточный хомут с червяком</w:t>
            </w:r>
            <w:r/>
          </w:p>
          <w:p>
            <w:r>
              <w:rPr>
                <w:sz w:val="16"/>
                <w:szCs w:val="16"/>
              </w:rPr>
              <w:t xml:space="preserve">Материал: Сталь  углеродистая</w:t>
            </w:r>
            <w:r/>
          </w:p>
          <w:p>
            <w:r>
              <w:rPr>
                <w:sz w:val="16"/>
                <w:szCs w:val="16"/>
              </w:rPr>
              <w:t xml:space="preserve">Покрытие : Цинковое </w:t>
            </w:r>
            <w:r/>
          </w:p>
          <w:p>
            <w:r>
              <w:rPr>
                <w:sz w:val="16"/>
                <w:szCs w:val="16"/>
              </w:rPr>
              <w:t xml:space="preserve">Конструкция винта: </w:t>
            </w:r>
            <w:r>
              <w:rPr>
                <w:sz w:val="16"/>
                <w:szCs w:val="16"/>
              </w:rPr>
              <w:tab/>
              <w:t xml:space="preserve">Шестигранная головка под гаечный ключ</w:t>
            </w:r>
            <w:r/>
          </w:p>
          <w:p>
            <w:r>
              <w:rPr>
                <w:sz w:val="16"/>
                <w:szCs w:val="16"/>
              </w:rPr>
              <w:t xml:space="preserve">Тип шлица винта: Комбинированный («крест» + «прямой шлиц»)</w:t>
            </w:r>
            <w:r/>
          </w:p>
          <w:p>
            <w:r>
              <w:rPr>
                <w:sz w:val="16"/>
                <w:szCs w:val="16"/>
              </w:rPr>
              <w:t xml:space="preserve">Диаметр минимальный: 20 мм</w:t>
            </w:r>
            <w:r/>
          </w:p>
          <w:p>
            <w:r>
              <w:rPr>
                <w:sz w:val="16"/>
                <w:szCs w:val="16"/>
              </w:rPr>
              <w:t xml:space="preserve">Диаметр максимальный: 32 мм</w:t>
            </w:r>
            <w:r/>
          </w:p>
          <w:p>
            <w:r>
              <w:rPr>
                <w:sz w:val="16"/>
                <w:szCs w:val="16"/>
              </w:rPr>
              <w:t xml:space="preserve">Исполнение: 1</w:t>
            </w:r>
            <w:r/>
          </w:p>
          <w:p>
            <w:r>
              <w:rPr>
                <w:sz w:val="16"/>
                <w:szCs w:val="16"/>
              </w:rPr>
              <w:t xml:space="preserve">Серия: Тяжелая (Т)</w:t>
            </w:r>
            <w:r/>
          </w:p>
          <w:p>
            <w:pPr>
              <w:rPr>
                <w:sz w:val="16"/>
                <w:szCs w:val="16"/>
              </w:rPr>
            </w:pPr>
            <w:r>
              <w:rPr>
                <w:sz w:val="16"/>
                <w:szCs w:val="16"/>
              </w:rPr>
              <w:t xml:space="preserve">Ширина ленты (b1): </w:t>
            </w:r>
            <w:r>
              <w:rPr>
                <w:sz w:val="16"/>
                <w:szCs w:val="16"/>
              </w:rPr>
              <w:tab/>
              <w:t xml:space="preserve">13 мм</w:t>
            </w:r>
            <w:r>
              <w:rPr>
                <w:sz w:val="16"/>
                <w:szCs w:val="16"/>
              </w:rPr>
            </w:r>
          </w:p>
          <w:p>
            <w:pPr>
              <w:rPr>
                <w:sz w:val="16"/>
                <w:szCs w:val="16"/>
              </w:rPr>
            </w:pPr>
            <w:r>
              <w:rPr>
                <w:sz w:val="16"/>
                <w:szCs w:val="16"/>
              </w:rPr>
              <w:t xml:space="preserve">Соответствие ГОСТ: ГОСТ 28191-89. Государственный стандарт Союза ССР. Хомуты зажимные для рукавов. Технические условия»</w:t>
            </w:r>
            <w:r>
              <w:rPr>
                <w:sz w:val="16"/>
                <w:szCs w:val="16"/>
              </w:rPr>
            </w:r>
          </w:p>
        </w:tc>
        <w:tc>
          <w:tcPr>
            <w:tcW w:w="1134" w:type="dxa"/>
            <w:textDirection w:val="lrTb"/>
            <w:noWrap w:val="false"/>
          </w:tcPr>
          <w:p>
            <w:pPr>
              <w:contextualSpacing/>
              <w:keepLines/>
              <w:keepNext/>
              <w:spacing w:after="200"/>
              <w:widowControl w:val="off"/>
              <w:rPr>
                <w:sz w:val="16"/>
                <w:szCs w:val="16"/>
              </w:rPr>
              <w:framePr w:hSpace="180" w:wrap="around" w:vAnchor="text" w:hAnchor="text" w:x="108" w:y="1"/>
              <w:suppressLineNumbers/>
            </w:pPr>
            <w:r>
              <w:rPr>
                <w:color w:val="000000"/>
                <w:sz w:val="16"/>
                <w:szCs w:val="16"/>
                <w:lang w:eastAsia="ru-RU"/>
              </w:rPr>
              <w:t xml:space="preserve">Штука</w:t>
            </w:r>
            <w:r>
              <w:rPr>
                <w:sz w:val="16"/>
                <w:szCs w:val="16"/>
              </w:rPr>
            </w:r>
          </w:p>
        </w:tc>
        <w:tc>
          <w:tcPr>
            <w:tcW w:w="992" w:type="dxa"/>
            <w:textDirection w:val="lrTb"/>
            <w:noWrap w:val="false"/>
          </w:tcPr>
          <w:p>
            <w:pPr>
              <w:rPr>
                <w:sz w:val="16"/>
                <w:szCs w:val="16"/>
              </w:rPr>
            </w:pPr>
            <w:r>
              <w:rPr>
                <w:sz w:val="16"/>
                <w:szCs w:val="16"/>
              </w:rPr>
              <w:t xml:space="preserve">500</w:t>
            </w:r>
            <w:r>
              <w:rPr>
                <w:sz w:val="16"/>
                <w:szCs w:val="16"/>
              </w:rPr>
            </w:r>
          </w:p>
        </w:tc>
        <w:tc>
          <w:tcPr>
            <w:tcW w:w="992" w:type="dxa"/>
            <w:textDirection w:val="lrTb"/>
            <w:noWrap w:val="false"/>
          </w:tcPr>
          <w:p>
            <w:pPr>
              <w:rPr>
                <w:sz w:val="16"/>
                <w:szCs w:val="16"/>
              </w:rPr>
            </w:pPr>
            <w:r>
              <w:rPr>
                <w:sz w:val="16"/>
                <w:szCs w:val="16"/>
              </w:rPr>
            </w:r>
            <w:r>
              <w:rPr>
                <w:sz w:val="16"/>
                <w:szCs w:val="16"/>
              </w:rPr>
            </w:r>
          </w:p>
        </w:tc>
        <w:tc>
          <w:tcPr>
            <w:tcW w:w="992" w:type="dxa"/>
            <w:textDirection w:val="lrTb"/>
            <w:noWrap w:val="false"/>
          </w:tcPr>
          <w:p>
            <w:pPr>
              <w:rPr>
                <w:sz w:val="16"/>
                <w:szCs w:val="16"/>
              </w:rPr>
            </w:pPr>
            <w:r>
              <w:rPr>
                <w:sz w:val="16"/>
                <w:szCs w:val="16"/>
              </w:rPr>
            </w:r>
            <w:r>
              <w:rPr>
                <w:sz w:val="16"/>
                <w:szCs w:val="16"/>
              </w:rPr>
            </w:r>
          </w:p>
        </w:tc>
        <w:tc>
          <w:tcPr>
            <w:tcW w:w="992" w:type="dxa"/>
            <w:textDirection w:val="lrTb"/>
            <w:noWrap w:val="false"/>
          </w:tcPr>
          <w:p>
            <w:pPr>
              <w:rPr>
                <w:sz w:val="16"/>
                <w:szCs w:val="16"/>
              </w:rPr>
            </w:pPr>
            <w:r>
              <w:rPr>
                <w:sz w:val="16"/>
                <w:szCs w:val="16"/>
              </w:rPr>
            </w:r>
            <w:r>
              <w:rPr>
                <w:sz w:val="16"/>
                <w:szCs w:val="16"/>
              </w:rPr>
            </w:r>
          </w:p>
        </w:tc>
      </w:tr>
    </w:tbl>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Заказчик:</w:t>
      </w:r>
      <w:r>
        <w:rPr>
          <w:rFonts w:ascii="Times New Roman" w:hAnsi="Times New Roman" w:cs="Times New Roman"/>
          <w:sz w:val="24"/>
          <w:szCs w:val="24"/>
          <w:lang w:eastAsia="ru-RU"/>
        </w:rPr>
        <w:tab/>
        <w:t xml:space="preserve">Поставщик:</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015"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 С. Н. Бочаров</w:t>
      </w:r>
      <w:r>
        <w:rPr>
          <w:rFonts w:ascii="Times New Roman" w:hAnsi="Times New Roman" w:cs="Times New Roman"/>
          <w:sz w:val="24"/>
          <w:szCs w:val="24"/>
          <w:lang w:eastAsia="ru-RU"/>
        </w:rPr>
        <w:tab/>
        <w:t xml:space="preserve">_____________________</w:t>
      </w:r>
      <w:r>
        <w:rPr>
          <w:rFonts w:ascii="Times New Roman" w:hAnsi="Times New Roman" w:cs="Times New Roman"/>
          <w:sz w:val="24"/>
          <w:szCs w:val="24"/>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644"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5" w:default="1">
    <w:name w:val="Normal"/>
    <w:qFormat/>
    <w:pPr>
      <w:spacing w:line="256" w:lineRule="auto"/>
    </w:pPr>
  </w:style>
  <w:style w:type="paragraph" w:styleId="666">
    <w:name w:val="Heading 1"/>
    <w:basedOn w:val="665"/>
    <w:next w:val="665"/>
    <w:link w:val="880"/>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7">
    <w:name w:val="Heading 2"/>
    <w:basedOn w:val="665"/>
    <w:next w:val="665"/>
    <w:link w:val="714"/>
    <w:uiPriority w:val="9"/>
    <w:unhideWhenUsed/>
    <w:qFormat/>
    <w:pPr>
      <w:keepLines/>
      <w:keepNext/>
      <w:spacing w:before="360" w:after="200"/>
      <w:outlineLvl w:val="1"/>
    </w:pPr>
    <w:rPr>
      <w:rFonts w:ascii="Arial" w:hAnsi="Arial" w:eastAsia="Arial" w:cs="Arial"/>
      <w:sz w:val="34"/>
    </w:rPr>
  </w:style>
  <w:style w:type="paragraph" w:styleId="668">
    <w:name w:val="Heading 3"/>
    <w:basedOn w:val="665"/>
    <w:next w:val="665"/>
    <w:link w:val="715"/>
    <w:uiPriority w:val="9"/>
    <w:unhideWhenUsed/>
    <w:qFormat/>
    <w:pPr>
      <w:keepLines/>
      <w:keepNext/>
      <w:spacing w:before="320" w:after="200"/>
      <w:outlineLvl w:val="2"/>
    </w:pPr>
    <w:rPr>
      <w:rFonts w:ascii="Arial" w:hAnsi="Arial" w:eastAsia="Arial" w:cs="Arial"/>
      <w:sz w:val="30"/>
      <w:szCs w:val="30"/>
    </w:rPr>
  </w:style>
  <w:style w:type="paragraph" w:styleId="669">
    <w:name w:val="Heading 4"/>
    <w:basedOn w:val="665"/>
    <w:next w:val="665"/>
    <w:link w:val="716"/>
    <w:uiPriority w:val="9"/>
    <w:unhideWhenUsed/>
    <w:qFormat/>
    <w:pPr>
      <w:keepLines/>
      <w:keepNext/>
      <w:spacing w:before="320" w:after="200"/>
      <w:outlineLvl w:val="3"/>
    </w:pPr>
    <w:rPr>
      <w:rFonts w:ascii="Arial" w:hAnsi="Arial" w:eastAsia="Arial" w:cs="Arial"/>
      <w:b/>
      <w:bCs/>
      <w:sz w:val="26"/>
      <w:szCs w:val="26"/>
    </w:rPr>
  </w:style>
  <w:style w:type="paragraph" w:styleId="670">
    <w:name w:val="Heading 5"/>
    <w:basedOn w:val="665"/>
    <w:next w:val="665"/>
    <w:link w:val="717"/>
    <w:uiPriority w:val="9"/>
    <w:unhideWhenUsed/>
    <w:qFormat/>
    <w:pPr>
      <w:keepLines/>
      <w:keepNext/>
      <w:spacing w:before="320" w:after="200"/>
      <w:outlineLvl w:val="4"/>
    </w:pPr>
    <w:rPr>
      <w:rFonts w:ascii="Arial" w:hAnsi="Arial" w:eastAsia="Arial" w:cs="Arial"/>
      <w:b/>
      <w:bCs/>
      <w:sz w:val="24"/>
      <w:szCs w:val="24"/>
    </w:rPr>
  </w:style>
  <w:style w:type="paragraph" w:styleId="671">
    <w:name w:val="Heading 6"/>
    <w:basedOn w:val="665"/>
    <w:next w:val="665"/>
    <w:link w:val="718"/>
    <w:uiPriority w:val="9"/>
    <w:unhideWhenUsed/>
    <w:qFormat/>
    <w:pPr>
      <w:keepLines/>
      <w:keepNext/>
      <w:spacing w:before="320" w:after="200"/>
      <w:outlineLvl w:val="5"/>
    </w:pPr>
    <w:rPr>
      <w:rFonts w:ascii="Arial" w:hAnsi="Arial" w:eastAsia="Arial" w:cs="Arial"/>
      <w:b/>
      <w:bCs/>
    </w:rPr>
  </w:style>
  <w:style w:type="paragraph" w:styleId="672">
    <w:name w:val="Heading 7"/>
    <w:basedOn w:val="665"/>
    <w:next w:val="665"/>
    <w:link w:val="719"/>
    <w:uiPriority w:val="9"/>
    <w:unhideWhenUsed/>
    <w:qFormat/>
    <w:pPr>
      <w:keepLines/>
      <w:keepNext/>
      <w:spacing w:before="320" w:after="200"/>
      <w:outlineLvl w:val="6"/>
    </w:pPr>
    <w:rPr>
      <w:rFonts w:ascii="Arial" w:hAnsi="Arial" w:eastAsia="Arial" w:cs="Arial"/>
      <w:b/>
      <w:bCs/>
      <w:i/>
      <w:iCs/>
    </w:rPr>
  </w:style>
  <w:style w:type="paragraph" w:styleId="673">
    <w:name w:val="Heading 8"/>
    <w:basedOn w:val="665"/>
    <w:next w:val="665"/>
    <w:link w:val="720"/>
    <w:uiPriority w:val="9"/>
    <w:unhideWhenUsed/>
    <w:qFormat/>
    <w:pPr>
      <w:keepLines/>
      <w:keepNext/>
      <w:spacing w:before="320" w:after="200"/>
      <w:outlineLvl w:val="7"/>
    </w:pPr>
    <w:rPr>
      <w:rFonts w:ascii="Arial" w:hAnsi="Arial" w:eastAsia="Arial" w:cs="Arial"/>
      <w:i/>
      <w:iCs/>
    </w:rPr>
  </w:style>
  <w:style w:type="paragraph" w:styleId="674">
    <w:name w:val="Heading 9"/>
    <w:basedOn w:val="665"/>
    <w:next w:val="665"/>
    <w:link w:val="721"/>
    <w:uiPriority w:val="9"/>
    <w:unhideWhenUsed/>
    <w:qFormat/>
    <w:pPr>
      <w:keepLines/>
      <w:keepNext/>
      <w:spacing w:before="320" w:after="200"/>
      <w:outlineLvl w:val="8"/>
    </w:pPr>
    <w:rPr>
      <w:rFonts w:ascii="Arial" w:hAnsi="Arial" w:eastAsia="Arial" w:cs="Arial"/>
      <w:i/>
      <w:iCs/>
      <w:sz w:val="21"/>
      <w:szCs w:val="21"/>
    </w:rPr>
  </w:style>
  <w:style w:type="character" w:styleId="675" w:default="1">
    <w:name w:val="Default Paragraph Font"/>
    <w:uiPriority w:val="1"/>
    <w:semiHidden/>
    <w:unhideWhenUsed/>
  </w:style>
  <w:style w:type="table" w:styleId="676" w:default="1">
    <w:name w:val="Normal Table"/>
    <w:uiPriority w:val="99"/>
    <w:semiHidden/>
    <w:unhideWhenUsed/>
    <w:tblPr>
      <w:tblInd w:w="0" w:type="dxa"/>
      <w:tblCellMar>
        <w:left w:w="108" w:type="dxa"/>
        <w:top w:w="0" w:type="dxa"/>
        <w:right w:w="108" w:type="dxa"/>
        <w:bottom w:w="0" w:type="dxa"/>
      </w:tblCellMar>
    </w:tblPr>
  </w:style>
  <w:style w:type="numbering" w:styleId="677" w:default="1">
    <w:name w:val="No List"/>
    <w:uiPriority w:val="99"/>
    <w:semiHidden/>
    <w:unhideWhenUsed/>
  </w:style>
  <w:style w:type="table" w:styleId="678" w:customStyle="1">
    <w:name w:val="Plain Table 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customStyle="1">
    <w:name w:val="Plain Table 2"/>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customStyle="1">
    <w:name w:val="Plain Table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customStyle="1">
    <w:name w:val="Plain Table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customStyle="1">
    <w:name w:val="Plain Table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3" w:customStyle="1">
    <w:name w:val="Grid Table 1 Light"/>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4" w:customStyle="1">
    <w:name w:val="Grid Table 2"/>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5" w:customStyle="1">
    <w:name w:val="Grid Table 3"/>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6" w:customStyle="1">
    <w:name w:val="Grid Table 4"/>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7" w:customStyle="1">
    <w:name w:val="Grid Table 5 Dark"/>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88" w:customStyle="1">
    <w:name w:val="Grid Table 6 Colorful"/>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89" w:customStyle="1">
    <w:name w:val="Grid Table 7 Colorful"/>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690" w:customStyle="1">
    <w:name w:val="List Table 1 Light"/>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1" w:customStyle="1">
    <w:name w:val="List Table 2"/>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2" w:customStyle="1">
    <w:name w:val="List Table 3"/>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3" w:customStyle="1">
    <w:name w:val="List Table 4"/>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4" w:customStyle="1">
    <w:name w:val="List Table 5 Dark"/>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5" w:customStyle="1">
    <w:name w:val="List Table 6 Colorful"/>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6" w:customStyle="1">
    <w:name w:val="List Table 7 Colorful"/>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697" w:customStyle="1">
    <w:name w:val="Heading 2 Char"/>
    <w:basedOn w:val="675"/>
    <w:uiPriority w:val="9"/>
    <w:rPr>
      <w:rFonts w:ascii="Arial" w:hAnsi="Arial" w:eastAsia="Arial" w:cs="Arial"/>
      <w:sz w:val="34"/>
    </w:rPr>
  </w:style>
  <w:style w:type="character" w:styleId="698" w:customStyle="1">
    <w:name w:val="Heading 3 Char"/>
    <w:basedOn w:val="675"/>
    <w:uiPriority w:val="9"/>
    <w:rPr>
      <w:rFonts w:ascii="Arial" w:hAnsi="Arial" w:eastAsia="Arial" w:cs="Arial"/>
      <w:sz w:val="30"/>
      <w:szCs w:val="30"/>
    </w:rPr>
  </w:style>
  <w:style w:type="character" w:styleId="699" w:customStyle="1">
    <w:name w:val="Heading 4 Char"/>
    <w:basedOn w:val="675"/>
    <w:uiPriority w:val="9"/>
    <w:rPr>
      <w:rFonts w:ascii="Arial" w:hAnsi="Arial" w:eastAsia="Arial" w:cs="Arial"/>
      <w:b/>
      <w:bCs/>
      <w:sz w:val="26"/>
      <w:szCs w:val="26"/>
    </w:rPr>
  </w:style>
  <w:style w:type="character" w:styleId="700" w:customStyle="1">
    <w:name w:val="Heading 5 Char"/>
    <w:basedOn w:val="675"/>
    <w:uiPriority w:val="9"/>
    <w:rPr>
      <w:rFonts w:ascii="Arial" w:hAnsi="Arial" w:eastAsia="Arial" w:cs="Arial"/>
      <w:b/>
      <w:bCs/>
      <w:sz w:val="24"/>
      <w:szCs w:val="24"/>
    </w:rPr>
  </w:style>
  <w:style w:type="character" w:styleId="701" w:customStyle="1">
    <w:name w:val="Heading 6 Char"/>
    <w:basedOn w:val="675"/>
    <w:uiPriority w:val="9"/>
    <w:rPr>
      <w:rFonts w:ascii="Arial" w:hAnsi="Arial" w:eastAsia="Arial" w:cs="Arial"/>
      <w:b/>
      <w:bCs/>
      <w:sz w:val="22"/>
      <w:szCs w:val="22"/>
    </w:rPr>
  </w:style>
  <w:style w:type="character" w:styleId="702" w:customStyle="1">
    <w:name w:val="Heading 7 Char"/>
    <w:basedOn w:val="675"/>
    <w:uiPriority w:val="9"/>
    <w:rPr>
      <w:rFonts w:ascii="Arial" w:hAnsi="Arial" w:eastAsia="Arial" w:cs="Arial"/>
      <w:b/>
      <w:bCs/>
      <w:i/>
      <w:iCs/>
      <w:sz w:val="22"/>
      <w:szCs w:val="22"/>
    </w:rPr>
  </w:style>
  <w:style w:type="character" w:styleId="703" w:customStyle="1">
    <w:name w:val="Heading 8 Char"/>
    <w:basedOn w:val="675"/>
    <w:uiPriority w:val="9"/>
    <w:rPr>
      <w:rFonts w:ascii="Arial" w:hAnsi="Arial" w:eastAsia="Arial" w:cs="Arial"/>
      <w:i/>
      <w:iCs/>
      <w:sz w:val="22"/>
      <w:szCs w:val="22"/>
    </w:rPr>
  </w:style>
  <w:style w:type="character" w:styleId="704" w:customStyle="1">
    <w:name w:val="Heading 9 Char"/>
    <w:basedOn w:val="675"/>
    <w:uiPriority w:val="9"/>
    <w:rPr>
      <w:rFonts w:ascii="Arial" w:hAnsi="Arial" w:eastAsia="Arial" w:cs="Arial"/>
      <w:i/>
      <w:iCs/>
      <w:sz w:val="21"/>
      <w:szCs w:val="21"/>
    </w:rPr>
  </w:style>
  <w:style w:type="character" w:styleId="705" w:customStyle="1">
    <w:name w:val="Title Char"/>
    <w:basedOn w:val="675"/>
    <w:uiPriority w:val="10"/>
    <w:rPr>
      <w:sz w:val="48"/>
      <w:szCs w:val="48"/>
    </w:rPr>
  </w:style>
  <w:style w:type="character" w:styleId="706" w:customStyle="1">
    <w:name w:val="Subtitle Char"/>
    <w:basedOn w:val="675"/>
    <w:uiPriority w:val="11"/>
    <w:rPr>
      <w:sz w:val="24"/>
      <w:szCs w:val="24"/>
    </w:rPr>
  </w:style>
  <w:style w:type="character" w:styleId="707" w:customStyle="1">
    <w:name w:val="Quote Char"/>
    <w:uiPriority w:val="29"/>
    <w:rPr>
      <w:i/>
    </w:rPr>
  </w:style>
  <w:style w:type="character" w:styleId="708" w:customStyle="1">
    <w:name w:val="Intense Quote Char"/>
    <w:uiPriority w:val="30"/>
    <w:rPr>
      <w:i/>
    </w:rPr>
  </w:style>
  <w:style w:type="character" w:styleId="709" w:customStyle="1">
    <w:name w:val="Header Char"/>
    <w:basedOn w:val="675"/>
    <w:uiPriority w:val="99"/>
  </w:style>
  <w:style w:type="character" w:styleId="710" w:customStyle="1">
    <w:name w:val="Caption Char"/>
    <w:uiPriority w:val="99"/>
  </w:style>
  <w:style w:type="character" w:styleId="711" w:customStyle="1">
    <w:name w:val="Footnote Text Char"/>
    <w:uiPriority w:val="99"/>
    <w:rPr>
      <w:sz w:val="18"/>
    </w:rPr>
  </w:style>
  <w:style w:type="character" w:styleId="712" w:customStyle="1">
    <w:name w:val="Endnote Text Char"/>
    <w:uiPriority w:val="99"/>
    <w:rPr>
      <w:sz w:val="20"/>
    </w:rPr>
  </w:style>
  <w:style w:type="character" w:styleId="713" w:customStyle="1">
    <w:name w:val="Heading 1 Char"/>
    <w:basedOn w:val="675"/>
    <w:uiPriority w:val="9"/>
    <w:rPr>
      <w:rFonts w:ascii="Arial" w:hAnsi="Arial" w:eastAsia="Arial" w:cs="Arial"/>
      <w:sz w:val="40"/>
      <w:szCs w:val="40"/>
    </w:rPr>
  </w:style>
  <w:style w:type="character" w:styleId="714" w:customStyle="1">
    <w:name w:val="Заголовок 2 Знак"/>
    <w:basedOn w:val="675"/>
    <w:link w:val="667"/>
    <w:uiPriority w:val="9"/>
    <w:rPr>
      <w:rFonts w:ascii="Arial" w:hAnsi="Arial" w:eastAsia="Arial" w:cs="Arial"/>
      <w:sz w:val="34"/>
    </w:rPr>
  </w:style>
  <w:style w:type="character" w:styleId="715" w:customStyle="1">
    <w:name w:val="Заголовок 3 Знак"/>
    <w:basedOn w:val="675"/>
    <w:link w:val="668"/>
    <w:uiPriority w:val="9"/>
    <w:rPr>
      <w:rFonts w:ascii="Arial" w:hAnsi="Arial" w:eastAsia="Arial" w:cs="Arial"/>
      <w:sz w:val="30"/>
      <w:szCs w:val="30"/>
    </w:rPr>
  </w:style>
  <w:style w:type="character" w:styleId="716" w:customStyle="1">
    <w:name w:val="Заголовок 4 Знак"/>
    <w:basedOn w:val="675"/>
    <w:link w:val="669"/>
    <w:uiPriority w:val="9"/>
    <w:rPr>
      <w:rFonts w:ascii="Arial" w:hAnsi="Arial" w:eastAsia="Arial" w:cs="Arial"/>
      <w:b/>
      <w:bCs/>
      <w:sz w:val="26"/>
      <w:szCs w:val="26"/>
    </w:rPr>
  </w:style>
  <w:style w:type="character" w:styleId="717" w:customStyle="1">
    <w:name w:val="Заголовок 5 Знак"/>
    <w:basedOn w:val="675"/>
    <w:link w:val="670"/>
    <w:uiPriority w:val="9"/>
    <w:rPr>
      <w:rFonts w:ascii="Arial" w:hAnsi="Arial" w:eastAsia="Arial" w:cs="Arial"/>
      <w:b/>
      <w:bCs/>
      <w:sz w:val="24"/>
      <w:szCs w:val="24"/>
    </w:rPr>
  </w:style>
  <w:style w:type="character" w:styleId="718" w:customStyle="1">
    <w:name w:val="Заголовок 6 Знак"/>
    <w:basedOn w:val="675"/>
    <w:link w:val="671"/>
    <w:uiPriority w:val="9"/>
    <w:rPr>
      <w:rFonts w:ascii="Arial" w:hAnsi="Arial" w:eastAsia="Arial" w:cs="Arial"/>
      <w:b/>
      <w:bCs/>
      <w:sz w:val="22"/>
      <w:szCs w:val="22"/>
    </w:rPr>
  </w:style>
  <w:style w:type="character" w:styleId="719" w:customStyle="1">
    <w:name w:val="Заголовок 7 Знак"/>
    <w:basedOn w:val="675"/>
    <w:link w:val="672"/>
    <w:uiPriority w:val="9"/>
    <w:rPr>
      <w:rFonts w:ascii="Arial" w:hAnsi="Arial" w:eastAsia="Arial" w:cs="Arial"/>
      <w:b/>
      <w:bCs/>
      <w:i/>
      <w:iCs/>
      <w:sz w:val="22"/>
      <w:szCs w:val="22"/>
    </w:rPr>
  </w:style>
  <w:style w:type="character" w:styleId="720" w:customStyle="1">
    <w:name w:val="Заголовок 8 Знак"/>
    <w:basedOn w:val="675"/>
    <w:link w:val="673"/>
    <w:uiPriority w:val="9"/>
    <w:rPr>
      <w:rFonts w:ascii="Arial" w:hAnsi="Arial" w:eastAsia="Arial" w:cs="Arial"/>
      <w:i/>
      <w:iCs/>
      <w:sz w:val="22"/>
      <w:szCs w:val="22"/>
    </w:rPr>
  </w:style>
  <w:style w:type="character" w:styleId="721" w:customStyle="1">
    <w:name w:val="Заголовок 9 Знак"/>
    <w:basedOn w:val="675"/>
    <w:link w:val="674"/>
    <w:uiPriority w:val="9"/>
    <w:rPr>
      <w:rFonts w:ascii="Arial" w:hAnsi="Arial" w:eastAsia="Arial" w:cs="Arial"/>
      <w:i/>
      <w:iCs/>
      <w:sz w:val="21"/>
      <w:szCs w:val="21"/>
    </w:rPr>
  </w:style>
  <w:style w:type="paragraph" w:styleId="722">
    <w:name w:val="List Paragraph"/>
    <w:basedOn w:val="665"/>
    <w:uiPriority w:val="34"/>
    <w:qFormat/>
    <w:pPr>
      <w:contextualSpacing/>
      <w:ind w:left="720"/>
    </w:pPr>
  </w:style>
  <w:style w:type="paragraph" w:styleId="723">
    <w:name w:val="Title"/>
    <w:basedOn w:val="665"/>
    <w:next w:val="665"/>
    <w:link w:val="724"/>
    <w:uiPriority w:val="10"/>
    <w:qFormat/>
    <w:pPr>
      <w:contextualSpacing/>
      <w:spacing w:before="300" w:after="200"/>
    </w:pPr>
    <w:rPr>
      <w:sz w:val="48"/>
      <w:szCs w:val="48"/>
    </w:rPr>
  </w:style>
  <w:style w:type="character" w:styleId="724" w:customStyle="1">
    <w:name w:val="Название Знак"/>
    <w:basedOn w:val="675"/>
    <w:link w:val="723"/>
    <w:uiPriority w:val="10"/>
    <w:rPr>
      <w:sz w:val="48"/>
      <w:szCs w:val="48"/>
    </w:rPr>
  </w:style>
  <w:style w:type="paragraph" w:styleId="725">
    <w:name w:val="Subtitle"/>
    <w:basedOn w:val="665"/>
    <w:next w:val="665"/>
    <w:link w:val="726"/>
    <w:uiPriority w:val="11"/>
    <w:qFormat/>
    <w:pPr>
      <w:spacing w:before="200" w:after="200"/>
    </w:pPr>
    <w:rPr>
      <w:sz w:val="24"/>
      <w:szCs w:val="24"/>
    </w:rPr>
  </w:style>
  <w:style w:type="character" w:styleId="726" w:customStyle="1">
    <w:name w:val="Подзаголовок Знак"/>
    <w:basedOn w:val="675"/>
    <w:link w:val="725"/>
    <w:uiPriority w:val="11"/>
    <w:rPr>
      <w:sz w:val="24"/>
      <w:szCs w:val="24"/>
    </w:rPr>
  </w:style>
  <w:style w:type="paragraph" w:styleId="727">
    <w:name w:val="Quote"/>
    <w:basedOn w:val="665"/>
    <w:next w:val="665"/>
    <w:link w:val="728"/>
    <w:uiPriority w:val="29"/>
    <w:qFormat/>
    <w:pPr>
      <w:ind w:left="720" w:right="720"/>
    </w:pPr>
    <w:rPr>
      <w:i/>
    </w:rPr>
  </w:style>
  <w:style w:type="character" w:styleId="728" w:customStyle="1">
    <w:name w:val="Цитата 2 Знак"/>
    <w:link w:val="727"/>
    <w:uiPriority w:val="29"/>
    <w:rPr>
      <w:i/>
    </w:rPr>
  </w:style>
  <w:style w:type="paragraph" w:styleId="729">
    <w:name w:val="Intense Quote"/>
    <w:basedOn w:val="665"/>
    <w:next w:val="665"/>
    <w:link w:val="73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0" w:customStyle="1">
    <w:name w:val="Выделенная цитата Знак"/>
    <w:link w:val="729"/>
    <w:uiPriority w:val="30"/>
    <w:rPr>
      <w:i/>
    </w:rPr>
  </w:style>
  <w:style w:type="paragraph" w:styleId="731">
    <w:name w:val="Header"/>
    <w:basedOn w:val="665"/>
    <w:link w:val="732"/>
    <w:uiPriority w:val="99"/>
    <w:unhideWhenUsed/>
    <w:pPr>
      <w:spacing w:after="0" w:line="240" w:lineRule="auto"/>
      <w:tabs>
        <w:tab w:val="center" w:pos="7143" w:leader="none"/>
        <w:tab w:val="right" w:pos="14287" w:leader="none"/>
      </w:tabs>
    </w:pPr>
  </w:style>
  <w:style w:type="character" w:styleId="732" w:customStyle="1">
    <w:name w:val="Верхний колонтитул Знак"/>
    <w:basedOn w:val="675"/>
    <w:link w:val="731"/>
    <w:uiPriority w:val="99"/>
  </w:style>
  <w:style w:type="paragraph" w:styleId="733">
    <w:name w:val="Footer"/>
    <w:basedOn w:val="665"/>
    <w:link w:val="736"/>
    <w:uiPriority w:val="99"/>
    <w:unhideWhenUsed/>
    <w:pPr>
      <w:spacing w:after="0" w:line="240" w:lineRule="auto"/>
      <w:tabs>
        <w:tab w:val="center" w:pos="7143" w:leader="none"/>
        <w:tab w:val="right" w:pos="14287" w:leader="none"/>
      </w:tabs>
    </w:pPr>
  </w:style>
  <w:style w:type="character" w:styleId="734" w:customStyle="1">
    <w:name w:val="Footer Char"/>
    <w:basedOn w:val="675"/>
    <w:uiPriority w:val="99"/>
  </w:style>
  <w:style w:type="paragraph" w:styleId="735">
    <w:name w:val="Caption"/>
    <w:basedOn w:val="665"/>
    <w:next w:val="665"/>
    <w:uiPriority w:val="35"/>
    <w:semiHidden/>
    <w:unhideWhenUsed/>
    <w:qFormat/>
    <w:pPr>
      <w:spacing w:line="276" w:lineRule="auto"/>
    </w:pPr>
    <w:rPr>
      <w:b/>
      <w:bCs/>
      <w:color w:val="4472c4" w:themeColor="accent1"/>
      <w:sz w:val="18"/>
      <w:szCs w:val="18"/>
    </w:rPr>
  </w:style>
  <w:style w:type="character" w:styleId="736" w:customStyle="1">
    <w:name w:val="Нижний колонтитул Знак"/>
    <w:link w:val="733"/>
    <w:uiPriority w:val="99"/>
  </w:style>
  <w:style w:type="table" w:styleId="737" w:customStyle="1">
    <w:name w:val="Table Grid Light"/>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38" w:customStyle="1">
    <w:name w:val="Таблица простая 1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9" w:customStyle="1">
    <w:name w:val="Таблица простая 21"/>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0" w:customStyle="1">
    <w:name w:val="Таблица простая 3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1" w:customStyle="1">
    <w:name w:val="Таблица простая 4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2" w:customStyle="1">
    <w:name w:val="Таблица простая 5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3" w:customStyle="1">
    <w:name w:val="Таблица-сетка 1 светлая1"/>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4" w:customStyle="1">
    <w:name w:val="Grid Table 1 Light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45" w:customStyle="1">
    <w:name w:val="Grid Table 1 Light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46" w:customStyle="1">
    <w:name w:val="Grid Table 1 Light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0" w:customStyle="1">
    <w:name w:val="Таблица-сетка 2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1" w:customStyle="1">
    <w:name w:val="Grid Table 2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52" w:customStyle="1">
    <w:name w:val="Grid Table 2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53" w:customStyle="1">
    <w:name w:val="Grid Table 2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54" w:customStyle="1">
    <w:name w:val="Grid Table 2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55" w:customStyle="1">
    <w:name w:val="Grid Table 2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56" w:customStyle="1">
    <w:name w:val="Grid Table 2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57" w:customStyle="1">
    <w:name w:val="Таблица-сетка 3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Grid Table 3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9" w:customStyle="1">
    <w:name w:val="Grid Table 3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customStyle="1">
    <w:name w:val="Grid Table 3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Таблица-сетка 41"/>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5" w:customStyle="1">
    <w:name w:val="Grid Table 4 - Accent 1"/>
    <w:basedOn w:val="676"/>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66" w:customStyle="1">
    <w:name w:val="Grid Table 4 - Accent 2"/>
    <w:basedOn w:val="676"/>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67" w:customStyle="1">
    <w:name w:val="Grid Table 4 - Accent 3"/>
    <w:basedOn w:val="676"/>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8" w:customStyle="1">
    <w:name w:val="Grid Table 4 - Accent 4"/>
    <w:basedOn w:val="676"/>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9" w:customStyle="1">
    <w:name w:val="Grid Table 4 - Accent 5"/>
    <w:basedOn w:val="676"/>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70" w:customStyle="1">
    <w:name w:val="Grid Table 4 - Accent 6"/>
    <w:basedOn w:val="676"/>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1" w:customStyle="1">
    <w:name w:val="Таблица-сетка 5 темная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2" w:customStyle="1">
    <w:name w:val="Grid Table 5 Dark- Accent 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73" w:customStyle="1">
    <w:name w:val="Grid Table 5 Dark - Accent 2"/>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74" w:customStyle="1">
    <w:name w:val="Grid Table 5 Dark - Accent 3"/>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75" w:customStyle="1">
    <w:name w:val="Grid Table 5 Dark- Accent 4"/>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76" w:customStyle="1">
    <w:name w:val="Grid Table 5 Dark - Accent 5"/>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77" w:customStyle="1">
    <w:name w:val="Grid Table 5 Dark - Accent 6"/>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8" w:customStyle="1">
    <w:name w:val="Таблица-сетка 6 цветная1"/>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9" w:customStyle="1">
    <w:name w:val="Grid Table 6 Colorful - Accent 1"/>
    <w:basedOn w:val="676"/>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80" w:customStyle="1">
    <w:name w:val="Grid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1" w:customStyle="1">
    <w:name w:val="Grid Table 6 Colorful - Accent 3"/>
    <w:basedOn w:val="676"/>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82" w:customStyle="1">
    <w:name w:val="Grid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83" w:customStyle="1">
    <w:name w:val="Grid Table 6 Colorful - Accent 5"/>
    <w:basedOn w:val="676"/>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4" w:customStyle="1">
    <w:name w:val="Grid Table 6 Colorful - Accent 6"/>
    <w:basedOn w:val="676"/>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5" w:customStyle="1">
    <w:name w:val="Таблица-сетка 7 цветная1"/>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6" w:customStyle="1">
    <w:name w:val="Grid Table 7 Colorful - Accent 1"/>
    <w:basedOn w:val="676"/>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87" w:customStyle="1">
    <w:name w:val="Grid Table 7 Colorful - Accent 2"/>
    <w:basedOn w:val="676"/>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88" w:customStyle="1">
    <w:name w:val="Grid Table 7 Colorful - Accent 3"/>
    <w:basedOn w:val="676"/>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89" w:customStyle="1">
    <w:name w:val="Grid Table 7 Colorful - Accent 4"/>
    <w:basedOn w:val="676"/>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0" w:customStyle="1">
    <w:name w:val="Grid Table 7 Colorful - Accent 5"/>
    <w:basedOn w:val="676"/>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91" w:customStyle="1">
    <w:name w:val="Grid Table 7 Colorful - Accent 6"/>
    <w:basedOn w:val="676"/>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92" w:customStyle="1">
    <w:name w:val="Список-таблица 1 светлая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3" w:customStyle="1">
    <w:name w:val="List Table 1 Light - Accent 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94" w:customStyle="1">
    <w:name w:val="List Table 1 Light - Accent 2"/>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95" w:customStyle="1">
    <w:name w:val="List Table 1 Light - Accent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96" w:customStyle="1">
    <w:name w:val="List Table 1 Light - Accent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97" w:customStyle="1">
    <w:name w:val="List Table 1 Light - Accent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98" w:customStyle="1">
    <w:name w:val="List Table 1 Light - Accent 6"/>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9" w:customStyle="1">
    <w:name w:val="Список-таблица 21"/>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0" w:customStyle="1">
    <w:name w:val="List Table 2 - Accent 1"/>
    <w:basedOn w:val="676"/>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01" w:customStyle="1">
    <w:name w:val="List Table 2 - Accent 2"/>
    <w:basedOn w:val="676"/>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02" w:customStyle="1">
    <w:name w:val="List Table 2 - Accent 3"/>
    <w:basedOn w:val="676"/>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03" w:customStyle="1">
    <w:name w:val="List Table 2 - Accent 4"/>
    <w:basedOn w:val="676"/>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04" w:customStyle="1">
    <w:name w:val="List Table 2 - Accent 5"/>
    <w:basedOn w:val="676"/>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05" w:customStyle="1">
    <w:name w:val="List Table 2 - Accent 6"/>
    <w:basedOn w:val="676"/>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06" w:customStyle="1">
    <w:name w:val="Список-таблица 3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7" w:customStyle="1">
    <w:name w:val="List Table 3 - Accent 1"/>
    <w:basedOn w:val="676"/>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8" w:customStyle="1">
    <w:name w:val="List Table 3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9" w:customStyle="1">
    <w:name w:val="List Table 3 - Accent 3"/>
    <w:basedOn w:val="676"/>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0" w:customStyle="1">
    <w:name w:val="List Table 3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1" w:customStyle="1">
    <w:name w:val="List Table 3 - Accent 5"/>
    <w:basedOn w:val="676"/>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12" w:customStyle="1">
    <w:name w:val="List Table 3 - Accent 6"/>
    <w:basedOn w:val="676"/>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13" w:customStyle="1">
    <w:name w:val="Список-таблица 4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4" w:customStyle="1">
    <w:name w:val="List Table 4 - Accent 1"/>
    <w:basedOn w:val="676"/>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5" w:customStyle="1">
    <w:name w:val="List Table 4 - Accent 2"/>
    <w:basedOn w:val="676"/>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16" w:customStyle="1">
    <w:name w:val="List Table 4 - Accent 3"/>
    <w:basedOn w:val="676"/>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17" w:customStyle="1">
    <w:name w:val="List Table 4 - Accent 4"/>
    <w:basedOn w:val="676"/>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8" w:customStyle="1">
    <w:name w:val="List Table 4 - Accent 5"/>
    <w:basedOn w:val="676"/>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19" w:customStyle="1">
    <w:name w:val="List Table 4 - Accent 6"/>
    <w:basedOn w:val="676"/>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0" w:customStyle="1">
    <w:name w:val="Список-таблица 5 темная1"/>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1" w:customStyle="1">
    <w:name w:val="List Table 5 Dark - Accent 1"/>
    <w:basedOn w:val="676"/>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22" w:customStyle="1">
    <w:name w:val="List Table 5 Dark - Accent 2"/>
    <w:basedOn w:val="676"/>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23" w:customStyle="1">
    <w:name w:val="List Table 5 Dark - Accent 3"/>
    <w:basedOn w:val="676"/>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24" w:customStyle="1">
    <w:name w:val="List Table 5 Dark - Accent 4"/>
    <w:basedOn w:val="676"/>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25" w:customStyle="1">
    <w:name w:val="List Table 5 Dark - Accent 5"/>
    <w:basedOn w:val="676"/>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26" w:customStyle="1">
    <w:name w:val="List Table 5 Dark - Accent 6"/>
    <w:basedOn w:val="676"/>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27" w:customStyle="1">
    <w:name w:val="Список-таблица 6 цветная1"/>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8" w:customStyle="1">
    <w:name w:val="List Table 6 Colorful - Accent 1"/>
    <w:basedOn w:val="676"/>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29" w:customStyle="1">
    <w:name w:val="List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0" w:customStyle="1">
    <w:name w:val="List Table 6 Colorful - Accent 3"/>
    <w:basedOn w:val="676"/>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1" w:customStyle="1">
    <w:name w:val="List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32" w:customStyle="1">
    <w:name w:val="List Table 6 Colorful - Accent 5"/>
    <w:basedOn w:val="676"/>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33" w:customStyle="1">
    <w:name w:val="List Table 6 Colorful - Accent 6"/>
    <w:basedOn w:val="676"/>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34" w:customStyle="1">
    <w:name w:val="Список-таблица 7 цветная1"/>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5" w:customStyle="1">
    <w:name w:val="List Table 7 Colorful - Accent 1"/>
    <w:basedOn w:val="676"/>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36" w:customStyle="1">
    <w:name w:val="List Table 7 Colorful - Accent 2"/>
    <w:basedOn w:val="676"/>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7" w:customStyle="1">
    <w:name w:val="List Table 7 Colorful - Accent 3"/>
    <w:basedOn w:val="676"/>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38" w:customStyle="1">
    <w:name w:val="List Table 7 Colorful - Accent 4"/>
    <w:basedOn w:val="676"/>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9" w:customStyle="1">
    <w:name w:val="List Table 7 Colorful - Accent 5"/>
    <w:basedOn w:val="676"/>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40" w:customStyle="1">
    <w:name w:val="List Table 7 Colorful - Accent 6"/>
    <w:basedOn w:val="676"/>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1" w:customStyle="1">
    <w:name w:val="Lined - Accent"/>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2" w:customStyle="1">
    <w:name w:val="Lined - Accent 1"/>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3" w:customStyle="1">
    <w:name w:val="Lined - Accent 2"/>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4" w:customStyle="1">
    <w:name w:val="Lined - Accent 3"/>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5" w:customStyle="1">
    <w:name w:val="Lined - Accent 4"/>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6" w:customStyle="1">
    <w:name w:val="Lined - Accent 5"/>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7" w:customStyle="1">
    <w:name w:val="Lined - Accent 6"/>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8" w:customStyle="1">
    <w:name w:val="Bordered &amp; Lined - Accent"/>
    <w:basedOn w:val="676"/>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9" w:customStyle="1">
    <w:name w:val="Bordered &amp; Lined - Accent 1"/>
    <w:basedOn w:val="676"/>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50" w:customStyle="1">
    <w:name w:val="Bordered &amp; Lined - Accent 2"/>
    <w:basedOn w:val="676"/>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1" w:customStyle="1">
    <w:name w:val="Bordered &amp; Lined - Accent 3"/>
    <w:basedOn w:val="676"/>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2" w:customStyle="1">
    <w:name w:val="Bordered &amp; Lined - Accent 4"/>
    <w:basedOn w:val="676"/>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3" w:customStyle="1">
    <w:name w:val="Bordered &amp; Lined - Accent 5"/>
    <w:basedOn w:val="676"/>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54" w:customStyle="1">
    <w:name w:val="Bordered &amp; Lined - Accent 6"/>
    <w:basedOn w:val="676"/>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5" w:customStyle="1">
    <w:name w:val="Bordered"/>
    <w:basedOn w:val="67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6" w:customStyle="1">
    <w:name w:val="Bordered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57" w:customStyle="1">
    <w:name w:val="Bordered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8" w:customStyle="1">
    <w:name w:val="Bordered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9" w:customStyle="1">
    <w:name w:val="Bordered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0" w:customStyle="1">
    <w:name w:val="Bordered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61" w:customStyle="1">
    <w:name w:val="Bordered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62">
    <w:name w:val="Hyperlink"/>
    <w:uiPriority w:val="99"/>
    <w:unhideWhenUsed/>
    <w:rPr>
      <w:color w:val="0563c1" w:themeColor="hyperlink"/>
      <w:u w:val="single"/>
    </w:rPr>
  </w:style>
  <w:style w:type="paragraph" w:styleId="863">
    <w:name w:val="footnote text"/>
    <w:basedOn w:val="665"/>
    <w:link w:val="864"/>
    <w:uiPriority w:val="99"/>
    <w:semiHidden/>
    <w:unhideWhenUsed/>
    <w:pPr>
      <w:spacing w:after="40" w:line="240" w:lineRule="auto"/>
    </w:pPr>
    <w:rPr>
      <w:sz w:val="18"/>
    </w:rPr>
  </w:style>
  <w:style w:type="character" w:styleId="864" w:customStyle="1">
    <w:name w:val="Текст сноски Знак"/>
    <w:link w:val="863"/>
    <w:uiPriority w:val="99"/>
    <w:rPr>
      <w:sz w:val="18"/>
    </w:rPr>
  </w:style>
  <w:style w:type="character" w:styleId="865">
    <w:name w:val="footnote reference"/>
    <w:basedOn w:val="675"/>
    <w:uiPriority w:val="99"/>
    <w:unhideWhenUsed/>
    <w:rPr>
      <w:vertAlign w:val="superscript"/>
    </w:rPr>
  </w:style>
  <w:style w:type="paragraph" w:styleId="866">
    <w:name w:val="endnote text"/>
    <w:basedOn w:val="665"/>
    <w:link w:val="867"/>
    <w:uiPriority w:val="99"/>
    <w:semiHidden/>
    <w:unhideWhenUsed/>
    <w:pPr>
      <w:spacing w:after="0" w:line="240" w:lineRule="auto"/>
    </w:pPr>
    <w:rPr>
      <w:sz w:val="20"/>
    </w:rPr>
  </w:style>
  <w:style w:type="character" w:styleId="867" w:customStyle="1">
    <w:name w:val="Текст концевой сноски Знак"/>
    <w:link w:val="866"/>
    <w:uiPriority w:val="99"/>
    <w:rPr>
      <w:sz w:val="20"/>
    </w:rPr>
  </w:style>
  <w:style w:type="character" w:styleId="868">
    <w:name w:val="endnote reference"/>
    <w:basedOn w:val="675"/>
    <w:uiPriority w:val="99"/>
    <w:semiHidden/>
    <w:unhideWhenUsed/>
    <w:rPr>
      <w:vertAlign w:val="superscript"/>
    </w:rPr>
  </w:style>
  <w:style w:type="paragraph" w:styleId="869">
    <w:name w:val="toc 1"/>
    <w:basedOn w:val="665"/>
    <w:next w:val="665"/>
    <w:uiPriority w:val="39"/>
    <w:unhideWhenUsed/>
    <w:pPr>
      <w:spacing w:after="57"/>
    </w:pPr>
  </w:style>
  <w:style w:type="paragraph" w:styleId="870">
    <w:name w:val="toc 2"/>
    <w:basedOn w:val="665"/>
    <w:next w:val="665"/>
    <w:uiPriority w:val="39"/>
    <w:unhideWhenUsed/>
    <w:pPr>
      <w:ind w:left="283"/>
      <w:spacing w:after="57"/>
    </w:pPr>
  </w:style>
  <w:style w:type="paragraph" w:styleId="871">
    <w:name w:val="toc 3"/>
    <w:basedOn w:val="665"/>
    <w:next w:val="665"/>
    <w:uiPriority w:val="39"/>
    <w:unhideWhenUsed/>
    <w:pPr>
      <w:ind w:left="567"/>
      <w:spacing w:after="57"/>
    </w:pPr>
  </w:style>
  <w:style w:type="paragraph" w:styleId="872">
    <w:name w:val="toc 4"/>
    <w:basedOn w:val="665"/>
    <w:next w:val="665"/>
    <w:uiPriority w:val="39"/>
    <w:unhideWhenUsed/>
    <w:pPr>
      <w:ind w:left="850"/>
      <w:spacing w:after="57"/>
    </w:pPr>
  </w:style>
  <w:style w:type="paragraph" w:styleId="873">
    <w:name w:val="toc 5"/>
    <w:basedOn w:val="665"/>
    <w:next w:val="665"/>
    <w:uiPriority w:val="39"/>
    <w:unhideWhenUsed/>
    <w:pPr>
      <w:ind w:left="1134"/>
      <w:spacing w:after="57"/>
    </w:pPr>
  </w:style>
  <w:style w:type="paragraph" w:styleId="874">
    <w:name w:val="toc 6"/>
    <w:basedOn w:val="665"/>
    <w:next w:val="665"/>
    <w:uiPriority w:val="39"/>
    <w:unhideWhenUsed/>
    <w:pPr>
      <w:ind w:left="1417"/>
      <w:spacing w:after="57"/>
    </w:pPr>
  </w:style>
  <w:style w:type="paragraph" w:styleId="875">
    <w:name w:val="toc 7"/>
    <w:basedOn w:val="665"/>
    <w:next w:val="665"/>
    <w:uiPriority w:val="39"/>
    <w:unhideWhenUsed/>
    <w:pPr>
      <w:ind w:left="1701"/>
      <w:spacing w:after="57"/>
    </w:pPr>
  </w:style>
  <w:style w:type="paragraph" w:styleId="876">
    <w:name w:val="toc 8"/>
    <w:basedOn w:val="665"/>
    <w:next w:val="665"/>
    <w:uiPriority w:val="39"/>
    <w:unhideWhenUsed/>
    <w:pPr>
      <w:ind w:left="1984"/>
      <w:spacing w:after="57"/>
    </w:pPr>
  </w:style>
  <w:style w:type="paragraph" w:styleId="877">
    <w:name w:val="toc 9"/>
    <w:basedOn w:val="665"/>
    <w:next w:val="665"/>
    <w:uiPriority w:val="39"/>
    <w:unhideWhenUsed/>
    <w:pPr>
      <w:ind w:left="2268"/>
      <w:spacing w:after="57"/>
    </w:pPr>
  </w:style>
  <w:style w:type="paragraph" w:styleId="878">
    <w:name w:val="TOC Heading"/>
    <w:uiPriority w:val="39"/>
    <w:unhideWhenUsed/>
  </w:style>
  <w:style w:type="paragraph" w:styleId="879">
    <w:name w:val="table of figures"/>
    <w:basedOn w:val="665"/>
    <w:next w:val="665"/>
    <w:uiPriority w:val="99"/>
    <w:unhideWhenUsed/>
    <w:pPr>
      <w:spacing w:after="0"/>
    </w:pPr>
  </w:style>
  <w:style w:type="character" w:styleId="880" w:customStyle="1">
    <w:name w:val="Заголовок 1 Знак"/>
    <w:basedOn w:val="675"/>
    <w:link w:val="666"/>
    <w:uiPriority w:val="9"/>
    <w:rPr>
      <w:rFonts w:ascii="Times New Roman" w:hAnsi="Times New Roman" w:eastAsia="Times New Roman" w:cs="Calibri"/>
      <w:b/>
      <w:bCs/>
      <w:i/>
      <w:iCs/>
      <w:sz w:val="40"/>
      <w:szCs w:val="40"/>
      <w:lang w:eastAsia="ar-SA"/>
    </w:rPr>
  </w:style>
  <w:style w:type="character" w:styleId="881" w:customStyle="1">
    <w:name w:val="Без интервала Знак"/>
    <w:link w:val="882"/>
  </w:style>
  <w:style w:type="paragraph" w:styleId="882">
    <w:name w:val="No Spacing"/>
    <w:link w:val="881"/>
    <w:qFormat/>
    <w:pPr>
      <w:spacing w:after="0" w:line="240" w:lineRule="auto"/>
    </w:pPr>
  </w:style>
  <w:style w:type="paragraph" w:styleId="883" w:customStyle="1">
    <w:name w:val="Таблицы (моноширинный)"/>
    <w:basedOn w:val="665"/>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84" w:customStyle="1">
    <w:name w:val="Table Paragraph"/>
    <w:basedOn w:val="665"/>
    <w:uiPriority w:val="1"/>
    <w:qFormat/>
    <w:pPr>
      <w:ind w:left="107"/>
      <w:spacing w:after="0" w:line="268" w:lineRule="exact"/>
      <w:widowControl w:val="off"/>
    </w:pPr>
    <w:rPr>
      <w:rFonts w:ascii="Times New Roman" w:hAnsi="Times New Roman" w:eastAsia="Times New Roman" w:cs="Times New Roman"/>
    </w:rPr>
  </w:style>
  <w:style w:type="table" w:styleId="885">
    <w:name w:val="Table Grid"/>
    <w:basedOn w:val="676"/>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6" w:customStyle="1">
    <w:name w:val="Сетка таблицы1"/>
    <w:next w:val="885"/>
    <w:uiPriority w:val="59"/>
    <w:pPr>
      <w:spacing w:after="0" w:line="240" w:lineRule="auto"/>
    </w:pPr>
    <w:rPr>
      <w:rFonts w:ascii="Times New Roman" w:hAnsi="Times New Roman" w:eastAsia="Times New Roman" w:cs="Times New Roman"/>
      <w:sz w:val="20"/>
      <w:szCs w:val="20"/>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B57E-0E46-4C03-94DB-9DC84EEA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7</cp:revision>
  <dcterms:created xsi:type="dcterms:W3CDTF">2026-05-26T04:05:00Z</dcterms:created>
  <dcterms:modified xsi:type="dcterms:W3CDTF">2026-05-29T04:03:22Z</dcterms:modified>
</cp:coreProperties>
</file>