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4"/>
        <w:keepNext w:val="false"/>
        <w:widowControl w:val="false"/>
        <w:spacing w:lineRule="auto" w:line="240"/>
        <w:rPr>
          <w:sz w:val="24"/>
          <w:szCs w:val="24"/>
          <w:lang w:val="en-US"/>
        </w:rPr>
      </w:pPr>
      <w:r>
        <w:rPr>
          <w:sz w:val="24"/>
          <w:szCs w:val="24"/>
        </w:rPr>
        <w:t>ДОГОВОР №</w:t>
      </w:r>
      <w:r>
        <w:rPr>
          <w:sz w:val="24"/>
          <w:szCs w:val="24"/>
          <w:lang w:val="en-US"/>
        </w:rPr>
        <w:t xml:space="preserve"> ____________</w:t>
      </w:r>
    </w:p>
    <w:tbl>
      <w:tblPr>
        <w:tblStyle w:val="af"/>
        <w:tblW w:w="10605" w:type="dxa"/>
        <w:jc w:val="left"/>
        <w:tblInd w:w="1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95"/>
        <w:gridCol w:w="5310"/>
      </w:tblGrid>
      <w:tr>
        <w:trPr/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15" w:leader="none"/>
              </w:tabs>
              <w:suppressAutoHyphens w:val="true"/>
              <w:spacing w:before="0" w:after="0"/>
              <w:ind w:hanging="0" w:left="0" w:right="-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15" w:leader="none"/>
              </w:tabs>
              <w:suppressAutoHyphens w:val="true"/>
              <w:spacing w:before="0" w:after="0"/>
              <w:ind w:hanging="0" w:left="0" w:right="-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на оказание услуг по изготовлению технических паспортов</w:t>
      </w:r>
    </w:p>
    <w:p>
      <w:pPr>
        <w:pStyle w:val="Normal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жилые помещения (квартиры), </w:t>
      </w:r>
    </w:p>
    <w:p>
      <w:pPr>
        <w:pStyle w:val="Normal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расположенные по адресу: г. Иваново, ул. Лежневская, д.164Б</w:t>
      </w:r>
    </w:p>
    <w:p>
      <w:pPr>
        <w:pStyle w:val="Normal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ИКЗ ________________________________________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г. Иваново</w:t>
        <w:tab/>
        <w:t xml:space="preserve">                                                                                                                 «</w:t>
      </w:r>
      <w:r>
        <w:rPr>
          <w:sz w:val="24"/>
          <w:szCs w:val="24"/>
        </w:rPr>
        <w:t>____»_______2</w:t>
      </w:r>
      <w:r>
        <w:rPr>
          <w:sz w:val="24"/>
          <w:szCs w:val="24"/>
        </w:rPr>
        <w:t xml:space="preserve">026 г.    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Ивановской области (Главное управление МЧС России по Ивановской области), именуемое в дальнейшем «</w:t>
      </w:r>
      <w:r>
        <w:rPr>
          <w:color w:themeColor="text1" w:val="000000"/>
          <w:sz w:val="24"/>
          <w:szCs w:val="24"/>
        </w:rPr>
        <w:t xml:space="preserve">Заказчик», </w:t>
      </w:r>
      <w:r>
        <w:rPr>
          <w:b/>
          <w:color w:themeColor="text1" w:val="000000"/>
          <w:sz w:val="24"/>
          <w:szCs w:val="24"/>
        </w:rPr>
        <w:t>в лице _____________________</w:t>
      </w:r>
      <w:r>
        <w:rPr>
          <w:b/>
          <w:sz w:val="24"/>
          <w:szCs w:val="24"/>
        </w:rPr>
        <w:t xml:space="preserve">, действующего </w:t>
      </w:r>
      <w:r>
        <w:rPr>
          <w:b/>
          <w:color w:themeColor="text1" w:val="000000"/>
          <w:sz w:val="24"/>
          <w:szCs w:val="24"/>
        </w:rPr>
        <w:t>на основании _____________________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с одной стороны, </w:t>
      </w:r>
    </w:p>
    <w:p>
      <w:pPr>
        <w:pStyle w:val="ListParagraph"/>
        <w:spacing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и _________________________</w:t>
      </w:r>
      <w:r>
        <w:rPr>
          <w:b/>
          <w:sz w:val="24"/>
          <w:szCs w:val="24"/>
        </w:rPr>
        <w:t>, именуемый в дальнейшем «Исполнитель», в лице ____________________, действующий _______________</w:t>
      </w:r>
      <w:r>
        <w:rPr>
          <w:sz w:val="24"/>
          <w:szCs w:val="24"/>
        </w:rPr>
        <w:t>, совместно при упоминании именуемые «Стороны», руководствуясь требованиями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о нижеследующем:</w:t>
      </w:r>
    </w:p>
    <w:p>
      <w:pPr>
        <w:pStyle w:val="ListParagraph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Договора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134" w:leader="none"/>
        </w:tabs>
        <w:ind w:firstLine="709" w:left="0"/>
        <w:jc w:val="both"/>
        <w:rPr>
          <w:sz w:val="24"/>
          <w:szCs w:val="24"/>
        </w:rPr>
      </w:pPr>
      <w:r>
        <w:rPr>
          <w:color w:themeColor="text1" w:val="000000"/>
          <w:sz w:val="24"/>
          <w:szCs w:val="24"/>
        </w:rPr>
        <w:t>По настоящему договору Исполнитель обязуется оказать услуги по изготовлению технических паспортов на жилые помещения (квартиры), расположенные по адресу: г. Иваново,              ул. Лежневская, д.164Б (далее – Услуги).  Перечень квартир: №</w:t>
      </w:r>
      <w:r>
        <w:rPr>
          <w:b w:val="false"/>
          <w:bCs w:val="false"/>
          <w:color w:themeColor="text1" w:val="000000"/>
          <w:sz w:val="24"/>
          <w:szCs w:val="24"/>
        </w:rPr>
        <w:t xml:space="preserve"> </w:t>
      </w:r>
      <w:r>
        <w:rPr>
          <w:rFonts w:cs="Times New Roman"/>
          <w:b w:val="false"/>
          <w:bCs w:val="false"/>
          <w:color w:themeColor="text1" w:val="000000"/>
          <w:sz w:val="24"/>
          <w:szCs w:val="24"/>
        </w:rPr>
        <w:t>9, 16, 20, 22, 24, 26, 27, 29, 30, 34, 35, 36, 38, 39, 45, 49, 50, 51, 56, 58, 62, 64, 68, 70, 71, 72, 74</w:t>
      </w:r>
      <w:r>
        <w:rPr>
          <w:color w:themeColor="text1" w:val="000000"/>
          <w:sz w:val="24"/>
          <w:szCs w:val="24"/>
        </w:rPr>
        <w:t xml:space="preserve"> (далее – Перечень). 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134" w:leader="none"/>
        </w:tabs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Результат оказания услуг по Договору оформляется оформлением технических паспортов в количестве 3 шт. по 1 экз. на каждую квартиру согласно Перечню Договора и в соответствии с действующим законодательством Российской Федерации.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  <w:tab w:val="left" w:pos="1276" w:leader="none"/>
        </w:tabs>
        <w:ind w:hanging="0"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Права и обязанности Сторон 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418" w:leader="none"/>
        </w:tabs>
        <w:ind w:firstLine="709"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Исполнитель обязуется: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418" w:leader="none"/>
        </w:tabs>
        <w:ind w:firstLine="709"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оказать услуги, указанные в п.1.1. настоящего Договора, в порядке и сроки, установленные Договором;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418" w:leader="none"/>
        </w:tabs>
        <w:ind w:firstLine="709"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обеспечить соответствие оформляемой по результатам Услуг технической документации действующим нормам и правилам;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418" w:leader="none"/>
        </w:tabs>
        <w:ind w:firstLine="709"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передать Заказчику техническую документацию в порядке и сроки, предусмотренные Договором;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418" w:leader="none"/>
        </w:tabs>
        <w:ind w:firstLine="709"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не разглашать конфиденциальную информацию третьим лицам и не использовать её для каких-либо целей, кроме связанных с выполнением обязательств по Договору.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418" w:leader="none"/>
        </w:tabs>
        <w:ind w:firstLine="709"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Исполнитель вправе: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418" w:leader="none"/>
        </w:tabs>
        <w:ind w:firstLine="709"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при невыполнении Заказчиком своих обязательств, установленных п. 2.3. настоящего Договора, приостановить оказание Услуг по Договору, предварительно уведомив об этом Заказчика, до исполнения последним своих обязательств.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418" w:leader="none"/>
        </w:tabs>
        <w:ind w:firstLine="709"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 обязуется: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418" w:leader="none"/>
        </w:tabs>
        <w:ind w:firstLine="709" w:left="0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>передать Исполнителю документацию, необходимую и достаточную для выполнения Услуг по настоящему Договору, и обеспечить Исполнителя информацией, необходимой и достаточной для оказания Услуг по настоящему Договору;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418" w:leader="none"/>
        </w:tabs>
        <w:ind w:firstLine="709"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по запросам Исполнителя в течение 5 (пяти) рабочих дней передавать необходимые документы и/или информацию, а также оказывать содействие в получении информации и/или документов, необходимых для оказания Услуг по настоящему Договору, путем составления и подачи писем, заявлений, запросов и иных действий, в случае, если такую информацию и/или документы невозможно получить силами Исполнителя;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418" w:leader="none"/>
        </w:tabs>
        <w:ind w:firstLine="709"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оплатить Исполнителю цену Услуг в соответствии с разделом 3 настоящего Договора;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418" w:leader="none"/>
        </w:tabs>
        <w:ind w:firstLine="709"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принять от Исполнителя результат оказанных Услуг и подписать Акт сдачи-приемки оказанных услуг, либо предоставить мотивированный отказ в срок не позднее 5 (пяти) рабочих дней с момента (даты) передачи результата оказанных Услуг по настоящему Договору;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418" w:leader="none"/>
        </w:tabs>
        <w:ind w:firstLine="714" w:left="0"/>
        <w:jc w:val="both"/>
        <w:rPr>
          <w:sz w:val="24"/>
          <w:szCs w:val="24"/>
        </w:rPr>
      </w:pPr>
      <w:r>
        <w:rPr>
          <w:sz w:val="24"/>
          <w:szCs w:val="24"/>
        </w:rPr>
        <w:t>создать приемочную комиссию, состоящую не менее чем из пяти человек, для приемки результатов выполненных Работ. Провести экспертизу оказанных Услуг для проверки их соответствия условиям Договора в соответствии с Федеральным законом от 5 апреля 2013 г. № 44-ФЗ;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418" w:leader="none"/>
        </w:tabs>
        <w:ind w:firstLine="709"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в случае досрочного оказания Услуг принять от Исполнителя результат оказанных Услуг в установленном настоящим Договором порядке;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418" w:leader="none"/>
        </w:tabs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доступ специалистам Исполнителя на объекты оказания Услуг.</w:t>
      </w:r>
      <w:bookmarkStart w:id="0" w:name="_GoBack"/>
      <w:bookmarkEnd w:id="0"/>
    </w:p>
    <w:p>
      <w:pPr>
        <w:pStyle w:val="ListParagraph"/>
        <w:numPr>
          <w:ilvl w:val="0"/>
          <w:numId w:val="1"/>
        </w:numPr>
        <w:tabs>
          <w:tab w:val="clear" w:pos="708"/>
          <w:tab w:val="left" w:pos="709" w:leader="none"/>
        </w:tabs>
        <w:ind w:hanging="0"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Цена Договора и порядок оплаты</w:t>
      </w:r>
    </w:p>
    <w:p>
      <w:pPr>
        <w:pStyle w:val="Normal"/>
        <w:ind w:firstLine="7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Цена настоящего Договора составляет _________ </w:t>
      </w:r>
      <w:r>
        <w:rPr>
          <w:b/>
          <w:color w:themeColor="text1" w:val="000000"/>
          <w:sz w:val="24"/>
          <w:szCs w:val="24"/>
        </w:rPr>
        <w:t>(____________) рублей 00 коп.</w:t>
      </w:r>
      <w:r>
        <w:rPr>
          <w:b/>
          <w:sz w:val="24"/>
          <w:szCs w:val="24"/>
        </w:rPr>
        <w:t xml:space="preserve">, в том числе НДС/НДС не облагается. </w:t>
      </w:r>
      <w:r>
        <w:rPr>
          <w:sz w:val="24"/>
          <w:szCs w:val="24"/>
        </w:rPr>
        <w:t xml:space="preserve"> Цена Договора является твердой и определяется на весь срок исполнения Договора.</w:t>
      </w:r>
    </w:p>
    <w:p>
      <w:pPr>
        <w:pStyle w:val="ListParagraph"/>
        <w:numPr>
          <w:ilvl w:val="1"/>
          <w:numId w:val="5"/>
        </w:numPr>
        <w:tabs>
          <w:tab w:val="clear" w:pos="708"/>
          <w:tab w:val="left" w:pos="0" w:leader="none"/>
        </w:tabs>
        <w:ind w:firstLine="714" w:left="0"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Расчеты между Заказчиком и Исполнителем за оказанные Услуги производятся не позднее 7 (семи) рабочих дней с даты подписания Сторонами Акта сдачи-приемки оказанных услуг.</w:t>
      </w:r>
    </w:p>
    <w:p>
      <w:pPr>
        <w:pStyle w:val="ListParagraph"/>
        <w:numPr>
          <w:ilvl w:val="1"/>
          <w:numId w:val="5"/>
        </w:numPr>
        <w:tabs>
          <w:tab w:val="clear" w:pos="708"/>
          <w:tab w:val="left" w:pos="0" w:leader="none"/>
        </w:tabs>
        <w:spacing w:before="0" w:after="0"/>
        <w:ind w:firstLine="714" w:left="0"/>
        <w:contextualSpacing w:val="false"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В случае нарушения Исполнителем условий Договора, Заказчик вправе произвести оплату за вычетом соответствующего размера неустойки (штрафа, пени).</w:t>
      </w:r>
    </w:p>
    <w:p>
      <w:pPr>
        <w:pStyle w:val="ListParagraph"/>
        <w:numPr>
          <w:ilvl w:val="1"/>
          <w:numId w:val="5"/>
        </w:numPr>
        <w:tabs>
          <w:tab w:val="clear" w:pos="708"/>
          <w:tab w:val="left" w:pos="0" w:leader="none"/>
        </w:tabs>
        <w:spacing w:before="0" w:after="0"/>
        <w:ind w:firstLine="714" w:left="0"/>
        <w:contextualSpacing w:val="false"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Днем оплаты и исполнением обязательств Заказчика считается день списания денежных средств со счета Заказчика.</w:t>
      </w:r>
    </w:p>
    <w:p>
      <w:pPr>
        <w:pStyle w:val="ListParagraph"/>
        <w:numPr>
          <w:ilvl w:val="1"/>
          <w:numId w:val="5"/>
        </w:numPr>
        <w:tabs>
          <w:tab w:val="clear" w:pos="708"/>
          <w:tab w:val="left" w:pos="0" w:leader="none"/>
        </w:tabs>
        <w:spacing w:before="0" w:after="0"/>
        <w:ind w:firstLine="714" w:left="0"/>
        <w:contextualSpacing w:val="false"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В случае изменения расчетного счета Исполнитель обязан в течение 1 (одного) рабочего дня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Исполнителя, несет Исполнитель.</w:t>
      </w:r>
    </w:p>
    <w:p>
      <w:pPr>
        <w:pStyle w:val="ListParagraph"/>
        <w:numPr>
          <w:ilvl w:val="1"/>
          <w:numId w:val="5"/>
        </w:numPr>
        <w:tabs>
          <w:tab w:val="clear" w:pos="708"/>
          <w:tab w:val="left" w:pos="0" w:leader="none"/>
        </w:tabs>
        <w:spacing w:before="0" w:after="0"/>
        <w:ind w:firstLine="714" w:left="0"/>
        <w:contextualSpacing w:val="false"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Все расчеты с Исполнителем производит Заказчик.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426" w:leader="none"/>
        </w:tabs>
        <w:spacing w:before="0" w:after="0"/>
        <w:ind w:hanging="0" w:left="0"/>
        <w:contextualSpacing w:val="false"/>
        <w:jc w:val="center"/>
        <w:rPr>
          <w:b/>
          <w:color w:themeColor="text1" w:val="000000"/>
          <w:sz w:val="24"/>
          <w:szCs w:val="24"/>
        </w:rPr>
      </w:pPr>
      <w:r>
        <w:rPr>
          <w:b/>
          <w:color w:themeColor="text1" w:val="000000"/>
          <w:sz w:val="24"/>
          <w:szCs w:val="24"/>
        </w:rPr>
        <w:t>Сроки оказания Услуг</w:t>
      </w:r>
    </w:p>
    <w:p>
      <w:pPr>
        <w:pStyle w:val="ListParagraph"/>
        <w:tabs>
          <w:tab w:val="clear" w:pos="708"/>
          <w:tab w:val="left" w:pos="709" w:leader="none"/>
        </w:tabs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Срок оказания Услуг и предъявления результата оказанных Услуг к сдаче Заказчику составляет 40 (сорок) рабочих дней со дня заключения Договора. </w:t>
      </w:r>
    </w:p>
    <w:p>
      <w:pPr>
        <w:pStyle w:val="ListParagraph"/>
        <w:tabs>
          <w:tab w:val="clear" w:pos="708"/>
          <w:tab w:val="left" w:pos="709" w:leader="none"/>
        </w:tabs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4.2. Началом оказания Услуг считается день, следующий за днем заключения Договора.</w:t>
      </w:r>
    </w:p>
    <w:p>
      <w:pPr>
        <w:pStyle w:val="ListParagraph"/>
        <w:tabs>
          <w:tab w:val="clear" w:pos="708"/>
          <w:tab w:val="left" w:pos="0" w:leader="none"/>
        </w:tabs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4.3. Исполнитель вправе досрочно оказать Услуги, а Заказчик обязан их принять и оплатить.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709" w:leader="none"/>
        </w:tabs>
        <w:ind w:hanging="0"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передачи результата оказания Услуг</w:t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По завершении оказания Услуг, предусмотренных п. 1.1. Договора, Исполнитель передает Заказчику технические паспорта в количестве 3 шт. по 1 экз. на каждую квартиру согласно Перечню Договора, подписанный и заверенный печатью Исполнителя </w:t>
      </w:r>
      <w:r>
        <w:rPr>
          <w:color w:themeColor="text1" w:val="000000"/>
          <w:sz w:val="24"/>
          <w:szCs w:val="24"/>
        </w:rPr>
        <w:t>Акт сдачи-приемки оказанных услуг</w:t>
      </w:r>
      <w:r>
        <w:rPr>
          <w:sz w:val="24"/>
          <w:szCs w:val="24"/>
        </w:rPr>
        <w:t xml:space="preserve"> в 2-х экземплярах. </w:t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Заказчик обязан рассмотреть полученные технические паспорта в течение 3 (трех) рабочих дней. По истечению этого срока Заказчик сообщает Исполнителю о принятии результата оказанных Услуг с одновременным подписанием </w:t>
      </w:r>
      <w:r>
        <w:rPr>
          <w:color w:themeColor="text1" w:val="000000"/>
          <w:sz w:val="24"/>
          <w:szCs w:val="24"/>
        </w:rPr>
        <w:t>Акт сдачи-приемки оказанных услуг</w:t>
      </w:r>
      <w:r>
        <w:rPr>
          <w:sz w:val="24"/>
          <w:szCs w:val="24"/>
        </w:rPr>
        <w:t xml:space="preserve">  в 2-х экземплярах и заверением печатью организации, либо заявляет мотивированный отказ от их принятия в письменной форме с указанием требования об устранении недоработок, неточностей и иных недостатков, допущенных по вине Исполнителя.</w:t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 В случае предъявления письменного требования, указанного в п. 5.2. настоящего Договора, Исполнитель обязан безвозмездно устранить выявленные недостатки в течение 5 (пяти) рабочих дней со дня предъявления Заказчиком такого требования.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Ответственность сторон</w:t>
      </w:r>
    </w:p>
    <w:p>
      <w:pPr>
        <w:pStyle w:val="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6.1. За неисполнение или ненадлежащее исполнение обязательств, предусмотренных настоящим Договором, Стороны несут ответственность в соответствии с действующим законодательством Российской Федерации и условиями Договора.</w:t>
      </w:r>
    </w:p>
    <w:p>
      <w:pPr>
        <w:pStyle w:val="Normal"/>
        <w:ind w:firstLine="706"/>
        <w:jc w:val="both"/>
        <w:rPr>
          <w:color w:val="000000"/>
          <w:sz w:val="24"/>
          <w:szCs w:val="24"/>
        </w:rPr>
      </w:pP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 xml:space="preserve">6.2. В случае </w:t>
      </w:r>
      <w:r>
        <w:rPr>
          <w:rStyle w:val="Emphasis"/>
          <w:rFonts w:eastAsia="PT Serif"/>
          <w:i w:val="false"/>
          <w:iCs w:val="false"/>
          <w:color w:val="000000"/>
          <w:sz w:val="24"/>
          <w:szCs w:val="24"/>
          <w:shd w:fill="FFFFFF" w:val="clear"/>
          <w:lang w:eastAsia="zh-CN" w:bidi="ar-SA"/>
        </w:rPr>
        <w:t>просрочки исполнения З</w:t>
      </w: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 xml:space="preserve">аказчиком </w:t>
      </w:r>
      <w:r>
        <w:rPr>
          <w:rStyle w:val="Emphasis"/>
          <w:rFonts w:eastAsia="PT Serif"/>
          <w:i w:val="false"/>
          <w:iCs w:val="false"/>
          <w:color w:val="000000"/>
          <w:sz w:val="24"/>
          <w:szCs w:val="24"/>
          <w:shd w:fill="FFFFFF" w:val="clear"/>
          <w:lang w:eastAsia="zh-CN" w:bidi="ar-SA"/>
        </w:rPr>
        <w:t>обязательств</w:t>
      </w: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 xml:space="preserve">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</w:t>
      </w:r>
      <w:r>
        <w:rPr>
          <w:rStyle w:val="Emphasis"/>
          <w:rFonts w:eastAsia="PT Serif"/>
          <w:i w:val="false"/>
          <w:iCs w:val="false"/>
          <w:color w:val="000000"/>
          <w:sz w:val="24"/>
          <w:szCs w:val="24"/>
          <w:shd w:fill="FFFFFF" w:val="clear"/>
          <w:lang w:eastAsia="zh-CN" w:bidi="ar-SA"/>
        </w:rPr>
        <w:t>пеней</w:t>
      </w: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 xml:space="preserve">). </w:t>
      </w:r>
      <w:r>
        <w:rPr>
          <w:rStyle w:val="Emphasis"/>
          <w:rFonts w:eastAsia="PT Serif"/>
          <w:i w:val="false"/>
          <w:iCs w:val="false"/>
          <w:color w:val="000000"/>
          <w:sz w:val="24"/>
          <w:szCs w:val="24"/>
          <w:shd w:fill="FFFFFF" w:val="clear"/>
          <w:lang w:eastAsia="zh-CN" w:bidi="ar-SA"/>
        </w:rPr>
        <w:t xml:space="preserve">Пеня начисляется </w:t>
      </w: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 xml:space="preserve">за </w:t>
      </w:r>
      <w:r>
        <w:rPr>
          <w:rStyle w:val="Emphasis"/>
          <w:rFonts w:eastAsia="PT Serif"/>
          <w:i w:val="false"/>
          <w:iCs w:val="false"/>
          <w:color w:val="000000"/>
          <w:sz w:val="24"/>
          <w:szCs w:val="24"/>
          <w:shd w:fill="FFFFFF" w:val="clear"/>
          <w:lang w:eastAsia="zh-CN" w:bidi="ar-SA"/>
        </w:rPr>
        <w:t>каждый день просрочки исполнения обязательства</w:t>
      </w: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 xml:space="preserve">, предусмотренного Договором, начиная со дня, следующего после дня </w:t>
      </w:r>
      <w:r>
        <w:rPr>
          <w:rStyle w:val="Emphasis"/>
          <w:rFonts w:eastAsia="PT Serif"/>
          <w:i w:val="false"/>
          <w:iCs w:val="false"/>
          <w:color w:val="000000"/>
          <w:sz w:val="24"/>
          <w:szCs w:val="24"/>
          <w:shd w:fill="FFFFFF" w:val="clear"/>
          <w:lang w:eastAsia="zh-CN" w:bidi="ar-SA"/>
        </w:rPr>
        <w:t xml:space="preserve">истечения </w:t>
      </w: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 xml:space="preserve">установленного Договором </w:t>
      </w:r>
      <w:r>
        <w:rPr>
          <w:rStyle w:val="Emphasis"/>
          <w:rFonts w:eastAsia="PT Serif"/>
          <w:i w:val="false"/>
          <w:iCs w:val="false"/>
          <w:color w:val="000000"/>
          <w:sz w:val="24"/>
          <w:szCs w:val="24"/>
          <w:shd w:fill="FFFFFF" w:val="clear"/>
          <w:lang w:eastAsia="zh-CN" w:bidi="ar-SA"/>
        </w:rPr>
        <w:t xml:space="preserve">срока </w:t>
      </w: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 xml:space="preserve">исполнения обязательства. Такая </w:t>
      </w:r>
      <w:r>
        <w:rPr>
          <w:rStyle w:val="Emphasis"/>
          <w:rFonts w:eastAsia="PT Serif"/>
          <w:i w:val="false"/>
          <w:iCs w:val="false"/>
          <w:color w:val="000000"/>
          <w:sz w:val="24"/>
          <w:szCs w:val="24"/>
          <w:shd w:fill="FFFFFF" w:val="clear"/>
          <w:lang w:eastAsia="zh-CN" w:bidi="ar-SA"/>
        </w:rPr>
        <w:t xml:space="preserve">пеня </w:t>
      </w: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 xml:space="preserve">устанавливается Договором в размере одной трехсотой действующей на дату уплаты </w:t>
      </w:r>
      <w:r>
        <w:rPr>
          <w:rStyle w:val="Emphasis"/>
          <w:rFonts w:eastAsia="PT Serif"/>
          <w:i w:val="false"/>
          <w:iCs w:val="false"/>
          <w:color w:val="000000"/>
          <w:sz w:val="24"/>
          <w:szCs w:val="24"/>
          <w:shd w:fill="FFFFFF" w:val="clear"/>
          <w:lang w:eastAsia="zh-CN" w:bidi="ar-SA"/>
        </w:rPr>
        <w:t xml:space="preserve">пеней </w:t>
      </w:r>
      <w:r>
        <w:fldChar w:fldCharType="begin"/>
      </w:r>
      <w:r>
        <w:rPr>
          <w:rStyle w:val="Hyperlink"/>
          <w:sz w:val="24"/>
          <w:shd w:fill="FFFFFF" w:val="clear"/>
          <w:szCs w:val="24"/>
          <w:rFonts w:eastAsia="PT Serif"/>
          <w:color w:val="000000"/>
        </w:rPr>
        <w:instrText xml:space="preserve"> HYPERLINK "http://10.49.5.202/" \l "/document/10180094/entry/100"</w:instrText>
      </w:r>
      <w:r>
        <w:rPr>
          <w:rStyle w:val="Hyperlink"/>
          <w:sz w:val="24"/>
          <w:shd w:fill="FFFFFF" w:val="clear"/>
          <w:szCs w:val="24"/>
          <w:rFonts w:eastAsia="PT Serif"/>
          <w:color w:val="000000"/>
        </w:rPr>
        <w:fldChar w:fldCharType="separate"/>
      </w:r>
      <w:r>
        <w:rPr>
          <w:rStyle w:val="Hyperlink"/>
          <w:rFonts w:eastAsia="PT Serif"/>
          <w:color w:val="000000"/>
          <w:sz w:val="24"/>
          <w:szCs w:val="24"/>
          <w:shd w:fill="FFFFFF" w:val="clear"/>
        </w:rPr>
        <w:t>ключевой ставки</w:t>
      </w:r>
      <w:r>
        <w:rPr>
          <w:rStyle w:val="Hyperlink"/>
          <w:sz w:val="24"/>
          <w:shd w:fill="FFFFFF" w:val="clear"/>
          <w:szCs w:val="24"/>
          <w:rFonts w:eastAsia="PT Serif"/>
          <w:color w:val="000000"/>
        </w:rPr>
        <w:fldChar w:fldCharType="end"/>
      </w: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 xml:space="preserve"> Центрального банка Российской Федерации от </w:t>
      </w:r>
      <w:r>
        <w:rPr>
          <w:rStyle w:val="Emphasis"/>
          <w:rFonts w:eastAsia="PT Serif"/>
          <w:i w:val="false"/>
          <w:iCs w:val="false"/>
          <w:color w:val="000000"/>
          <w:sz w:val="24"/>
          <w:szCs w:val="24"/>
          <w:shd w:fill="FFFFFF" w:val="clear"/>
          <w:lang w:eastAsia="zh-CN" w:bidi="ar-SA"/>
        </w:rPr>
        <w:t xml:space="preserve">не </w:t>
      </w: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 xml:space="preserve">уплаченной в </w:t>
      </w:r>
      <w:r>
        <w:rPr>
          <w:rStyle w:val="Emphasis"/>
          <w:rFonts w:eastAsia="PT Serif"/>
          <w:i w:val="false"/>
          <w:iCs w:val="false"/>
          <w:color w:val="000000"/>
          <w:sz w:val="24"/>
          <w:szCs w:val="24"/>
          <w:shd w:fill="FFFFFF" w:val="clear"/>
          <w:lang w:eastAsia="zh-CN" w:bidi="ar-SA"/>
        </w:rPr>
        <w:t xml:space="preserve">срок </w:t>
      </w: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>суммы.</w:t>
      </w:r>
    </w:p>
    <w:p>
      <w:pPr>
        <w:pStyle w:val="Normal"/>
        <w:ind w:firstLine="706"/>
        <w:jc w:val="both"/>
        <w:rPr>
          <w:color w:val="000000"/>
          <w:sz w:val="24"/>
          <w:szCs w:val="24"/>
        </w:rPr>
      </w:pP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 xml:space="preserve">6.3. В случае </w:t>
      </w:r>
      <w:r>
        <w:rPr>
          <w:rStyle w:val="Emphasis"/>
          <w:rFonts w:eastAsia="PT Serif"/>
          <w:i w:val="false"/>
          <w:iCs w:val="false"/>
          <w:color w:val="000000"/>
          <w:sz w:val="24"/>
          <w:szCs w:val="24"/>
          <w:shd w:fill="FFFFFF" w:val="clear"/>
          <w:lang w:eastAsia="zh-CN" w:bidi="ar-SA"/>
        </w:rPr>
        <w:t>просрочки исполнения Исполнителем</w:t>
      </w: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 xml:space="preserve"> </w:t>
      </w:r>
      <w:r>
        <w:rPr>
          <w:rStyle w:val="Emphasis"/>
          <w:rFonts w:eastAsia="PT Serif"/>
          <w:i w:val="false"/>
          <w:iCs w:val="false"/>
          <w:color w:val="000000"/>
          <w:sz w:val="24"/>
          <w:szCs w:val="24"/>
          <w:shd w:fill="FFFFFF" w:val="clear"/>
          <w:lang w:eastAsia="zh-CN" w:bidi="ar-SA"/>
        </w:rPr>
        <w:t>обязательств</w:t>
      </w: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 xml:space="preserve">, предусмотренных Договором, Заказчик направляет Исполнителю требование об уплате неустоек (штрафов, </w:t>
      </w:r>
      <w:r>
        <w:rPr>
          <w:rStyle w:val="Emphasis"/>
          <w:rFonts w:eastAsia="PT Serif"/>
          <w:i w:val="false"/>
          <w:iCs w:val="false"/>
          <w:color w:val="000000"/>
          <w:sz w:val="24"/>
          <w:szCs w:val="24"/>
          <w:shd w:fill="FFFFFF" w:val="clear"/>
          <w:lang w:eastAsia="zh-CN" w:bidi="ar-SA"/>
        </w:rPr>
        <w:t>пеней</w:t>
      </w: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 xml:space="preserve">). </w:t>
      </w:r>
      <w:r>
        <w:rPr>
          <w:rStyle w:val="Emphasis"/>
          <w:rFonts w:eastAsia="PT Serif"/>
          <w:i w:val="false"/>
          <w:iCs w:val="false"/>
          <w:color w:val="000000"/>
          <w:sz w:val="24"/>
          <w:szCs w:val="24"/>
          <w:shd w:fill="FFFFFF" w:val="clear"/>
          <w:lang w:eastAsia="zh-CN" w:bidi="ar-SA"/>
        </w:rPr>
        <w:t xml:space="preserve">Пеня начисляется </w:t>
      </w: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 xml:space="preserve">за </w:t>
      </w:r>
      <w:r>
        <w:rPr>
          <w:rStyle w:val="Emphasis"/>
          <w:rFonts w:eastAsia="PT Serif"/>
          <w:i w:val="false"/>
          <w:iCs w:val="false"/>
          <w:color w:val="000000"/>
          <w:sz w:val="24"/>
          <w:szCs w:val="24"/>
          <w:shd w:fill="FFFFFF" w:val="clear"/>
          <w:lang w:eastAsia="zh-CN" w:bidi="ar-SA"/>
        </w:rPr>
        <w:t>каждый день просрочки исполнения Исполнителем</w:t>
      </w: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 xml:space="preserve"> </w:t>
      </w:r>
      <w:r>
        <w:rPr>
          <w:rStyle w:val="Emphasis"/>
          <w:rFonts w:eastAsia="PT Serif"/>
          <w:i w:val="false"/>
          <w:iCs w:val="false"/>
          <w:color w:val="000000"/>
          <w:sz w:val="24"/>
          <w:szCs w:val="24"/>
          <w:shd w:fill="FFFFFF" w:val="clear"/>
          <w:lang w:eastAsia="zh-CN" w:bidi="ar-SA"/>
        </w:rPr>
        <w:t>обязательства</w:t>
      </w: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 xml:space="preserve">, предусмотренного Договором, начиная со дня, следующего после дня </w:t>
      </w:r>
      <w:r>
        <w:rPr>
          <w:rStyle w:val="Emphasis"/>
          <w:rFonts w:eastAsia="PT Serif"/>
          <w:i w:val="false"/>
          <w:iCs w:val="false"/>
          <w:color w:val="000000"/>
          <w:sz w:val="24"/>
          <w:szCs w:val="24"/>
          <w:shd w:fill="FFFFFF" w:val="clear"/>
          <w:lang w:eastAsia="zh-CN" w:bidi="ar-SA"/>
        </w:rPr>
        <w:t xml:space="preserve">истечения </w:t>
      </w: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 xml:space="preserve">установленного Договором </w:t>
      </w:r>
      <w:r>
        <w:rPr>
          <w:rStyle w:val="Emphasis"/>
          <w:rFonts w:eastAsia="PT Serif"/>
          <w:i w:val="false"/>
          <w:iCs w:val="false"/>
          <w:color w:val="000000"/>
          <w:sz w:val="24"/>
          <w:szCs w:val="24"/>
          <w:shd w:fill="FFFFFF" w:val="clear"/>
          <w:lang w:eastAsia="zh-CN" w:bidi="ar-SA"/>
        </w:rPr>
        <w:t xml:space="preserve">срока </w:t>
      </w: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 xml:space="preserve">исполнения обязательства, и устанавливается Договором в размере одной трехсотой действующей на дату уплаты </w:t>
      </w:r>
      <w:r>
        <w:rPr>
          <w:rStyle w:val="Emphasis"/>
          <w:rFonts w:eastAsia="PT Serif"/>
          <w:i w:val="false"/>
          <w:iCs w:val="false"/>
          <w:color w:val="000000"/>
          <w:sz w:val="24"/>
          <w:szCs w:val="24"/>
          <w:shd w:fill="FFFFFF" w:val="clear"/>
          <w:lang w:eastAsia="zh-CN" w:bidi="ar-SA"/>
        </w:rPr>
        <w:t xml:space="preserve">пени </w:t>
      </w:r>
      <w:r>
        <w:fldChar w:fldCharType="begin"/>
      </w:r>
      <w:r>
        <w:rPr>
          <w:rStyle w:val="Hyperlink"/>
          <w:sz w:val="24"/>
          <w:shd w:fill="FFFFFF" w:val="clear"/>
          <w:szCs w:val="24"/>
          <w:rFonts w:eastAsia="PT Serif"/>
          <w:color w:val="000000"/>
        </w:rPr>
        <w:instrText xml:space="preserve"> HYPERLINK "http://10.49.5.202/" \l "/document/10180094/entry/100"</w:instrText>
      </w:r>
      <w:r>
        <w:rPr>
          <w:rStyle w:val="Hyperlink"/>
          <w:sz w:val="24"/>
          <w:shd w:fill="FFFFFF" w:val="clear"/>
          <w:szCs w:val="24"/>
          <w:rFonts w:eastAsia="PT Serif"/>
          <w:color w:val="000000"/>
        </w:rPr>
        <w:fldChar w:fldCharType="separate"/>
      </w:r>
      <w:r>
        <w:rPr>
          <w:rStyle w:val="Hyperlink"/>
          <w:rFonts w:eastAsia="PT Serif"/>
          <w:color w:val="000000"/>
          <w:sz w:val="24"/>
          <w:szCs w:val="24"/>
          <w:shd w:fill="FFFFFF" w:val="clear"/>
        </w:rPr>
        <w:t>ключевой ставки</w:t>
      </w:r>
      <w:r>
        <w:rPr>
          <w:rStyle w:val="Hyperlink"/>
          <w:sz w:val="24"/>
          <w:shd w:fill="FFFFFF" w:val="clear"/>
          <w:szCs w:val="24"/>
          <w:rFonts w:eastAsia="PT Serif"/>
          <w:color w:val="000000"/>
        </w:rPr>
        <w:fldChar w:fldCharType="end"/>
      </w:r>
      <w:r>
        <w:rPr>
          <w:rFonts w:eastAsia="PT Serif"/>
          <w:color w:val="000000"/>
          <w:sz w:val="24"/>
          <w:szCs w:val="24"/>
          <w:shd w:fill="FFFFFF" w:val="clear"/>
          <w:lang w:eastAsia="zh-CN" w:bidi="ar-SA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6.4. Штрафы начисляются за ненадлежащее исполнение Стороной обязательств, предусмотренных Договором, за исключением просрочки исполнения обязательств, предусмотренных Договором.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6.4.1.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1000,00 рублей.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6.4.2.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</w:t>
      </w:r>
      <w:r>
        <w:rPr>
          <w:rFonts w:ascii="Times New Roman" w:hAnsi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размере 10 процентов цены Договора</w:t>
      </w:r>
      <w:r>
        <w:rPr>
          <w:rFonts w:ascii="Times New Roman" w:hAnsi="Times New Roman"/>
          <w:color w:val="C00000"/>
          <w:sz w:val="24"/>
          <w:szCs w:val="24"/>
        </w:rPr>
        <w:t>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6.4.3.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виде фиксированной суммы и составляет 1000 руб.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6.5. Общая сумма начисленной неустойки (штрафов, пени) за неисполнение или ненадлежащее исполнение Стороной обязательств, предусмотренных Договором, не может превышать цену Договора.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6.7. Уплата неустоек (штрафов, пеней) не освобождает Стороны от выполнения своих обязательств по настоящему Договору.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09" w:leader="none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Иные условия</w:t>
      </w:r>
    </w:p>
    <w:p>
      <w:pPr>
        <w:pStyle w:val="ListParagraph"/>
        <w:tabs>
          <w:tab w:val="clear" w:pos="708"/>
          <w:tab w:val="left" w:pos="1418" w:leader="none"/>
        </w:tabs>
        <w:ind w:firstLine="709"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7.1. Разногласия, возникающие в процессе выполнения Договора, разрешаются Сторонами согласно законодательству Российской Федерации.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1418" w:leader="none"/>
        </w:tabs>
        <w:ind w:firstLine="709"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Договор вступает в силу со дня его подписания обеими Сторонами и действует до полного исполнения Сторонами принятых на себя обязательств, но не позднее 18.12.2026 года. Окончание срока действия Договора не влечет прекращения неисполненных обязательств Сторон по Договору. Все изменения и дополнения к Договору оформляются в виде дополнительных соглашений, которые подписываются Сторонами и скрепляются печатью.</w:t>
      </w:r>
    </w:p>
    <w:p>
      <w:pPr>
        <w:pStyle w:val="Normal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Любое уведомление, которое одна Сторона направляет другой Стороне в соответствии с настоящим Договором, направляется в письменной форме или факсимильной связью с последующим предоставлением оригинала. Сторона считается уведомленной в день получения уведомления лицом, которому оно адресовано.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1418" w:leader="none"/>
        </w:tabs>
        <w:ind w:firstLine="709"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В случае изменения у одной из Сторон почтового адреса, номеров телефонов или иных реквизитов (кроме банковских реквизитов, срок уведомления об изменении которых указан в п. 3.6. настоящего Договора), такая сторона обязана в течение 3 (трех) дней с момента начала действий таких изменений, известить другую Сторону о произошедших изменениях.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1418" w:leader="none"/>
        </w:tabs>
        <w:ind w:firstLine="709"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Договор составлен на бумажном носителе в двух экземплярах, имеющих одинаковую юридическую силу, один экземпляр - Заказчику, второй – Исполнителю.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1418" w:leader="none"/>
        </w:tabs>
        <w:ind w:firstLine="709"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1418" w:leader="none"/>
        </w:tabs>
        <w:ind w:firstLine="709"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Неотъемлемой частью Договора является Приложение «Спецификация».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09" w:leader="none"/>
        </w:tabs>
        <w:jc w:val="center"/>
        <w:rPr>
          <w:b/>
          <w:color w:themeColor="text1" w:val="000000"/>
          <w:sz w:val="24"/>
          <w:szCs w:val="24"/>
        </w:rPr>
      </w:pPr>
      <w:r>
        <w:rPr>
          <w:b/>
          <w:color w:themeColor="text1" w:val="000000"/>
          <w:sz w:val="24"/>
          <w:szCs w:val="24"/>
        </w:rPr>
        <w:t>Юридические адреса, платежные реквизиты и подписи Сторон</w:t>
      </w:r>
    </w:p>
    <w:p>
      <w:pPr>
        <w:pStyle w:val="ListParagraph"/>
        <w:tabs>
          <w:tab w:val="clear" w:pos="708"/>
          <w:tab w:val="left" w:pos="709" w:leader="none"/>
        </w:tabs>
        <w:ind w:hanging="0" w:left="1069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5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495"/>
        <w:gridCol w:w="5102"/>
      </w:tblGrid>
      <w:tr>
        <w:trPr>
          <w:trHeight w:val="70" w:hRule="atLeast"/>
        </w:trPr>
        <w:tc>
          <w:tcPr>
            <w:tcW w:w="5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Исполнитель:</w:t>
            </w:r>
          </w:p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 w:noHBand="0" w:noVBand="0" w:firstColumn="0" w:lastRow="0" w:lastColumn="0" w:firstRow="0"/>
            </w:tblPr>
            <w:tblGrid>
              <w:gridCol w:w="4887"/>
            </w:tblGrid>
            <w:tr>
              <w:trPr>
                <w:trHeight w:val="20" w:hRule="atLeast"/>
              </w:trPr>
              <w:tc>
                <w:tcPr>
                  <w:tcW w:w="4887" w:type="dxa"/>
                  <w:tcBorders/>
                </w:tcPr>
                <w:p>
                  <w:pPr>
                    <w:pStyle w:val="NoSpacing"/>
                    <w:widowControl w:val="false"/>
                    <w:jc w:val="both"/>
                    <w:rPr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Ивановской области (Главное управление МЧС России по Ивановской области).</w:t>
                  </w:r>
                </w:p>
                <w:p>
                  <w:pPr>
                    <w:pStyle w:val="NoSpacing"/>
                    <w:widowControl w:val="false"/>
                    <w:jc w:val="both"/>
                    <w:rPr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Юридический и фактический адрес:</w:t>
                  </w:r>
                </w:p>
                <w:p>
                  <w:pPr>
                    <w:pStyle w:val="NoSpacing"/>
                    <w:widowControl w:val="false"/>
                    <w:jc w:val="both"/>
                    <w:rPr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153009, г. Иваново, ул. Диановых, д. 8А.</w:t>
                  </w:r>
                </w:p>
                <w:p>
                  <w:pPr>
                    <w:pStyle w:val="NoSpacing"/>
                    <w:widowControl w:val="false"/>
                    <w:jc w:val="both"/>
                    <w:rPr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ИНН 3702062557, КПП 370201001, ОГРН 1043700102775, ОКПО 08928575, ОКТМО 24701000001.</w:t>
                  </w:r>
                </w:p>
                <w:p>
                  <w:pPr>
                    <w:pStyle w:val="NoSpacing"/>
                    <w:widowControl w:val="false"/>
                    <w:jc w:val="both"/>
                    <w:rPr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тел./факс: +7 (4932) 299-154.</w:t>
                  </w:r>
                </w:p>
                <w:p>
                  <w:pPr>
                    <w:pStyle w:val="NoSpacing"/>
                    <w:widowControl w:val="false"/>
                    <w:jc w:val="both"/>
                    <w:rPr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 xml:space="preserve">e-mail: </w:t>
                  </w:r>
                  <w:r>
                    <w:rPr>
                      <w:bCs/>
                      <w:szCs w:val="22"/>
                      <w:lang w:val="en-US"/>
                    </w:rPr>
                    <w:t>ori</w:t>
                  </w:r>
                  <w:r>
                    <w:rPr>
                      <w:bCs/>
                      <w:szCs w:val="22"/>
                    </w:rPr>
                    <w:t>@37.</w:t>
                  </w:r>
                  <w:r>
                    <w:rPr>
                      <w:bCs/>
                      <w:szCs w:val="22"/>
                      <w:lang w:val="en-US"/>
                    </w:rPr>
                    <w:t>mchs</w:t>
                  </w:r>
                  <w:r>
                    <w:rPr>
                      <w:bCs/>
                      <w:szCs w:val="22"/>
                    </w:rPr>
                    <w:t>.</w:t>
                  </w:r>
                  <w:r>
                    <w:rPr>
                      <w:bCs/>
                      <w:szCs w:val="22"/>
                      <w:lang w:val="en-US"/>
                    </w:rPr>
                    <w:t>gov</w:t>
                  </w:r>
                  <w:r>
                    <w:rPr>
                      <w:bCs/>
                      <w:szCs w:val="22"/>
                    </w:rPr>
                    <w:t>.</w:t>
                  </w:r>
                  <w:r>
                    <w:rPr>
                      <w:bCs/>
                      <w:szCs w:val="22"/>
                      <w:lang w:val="en-US"/>
                    </w:rPr>
                    <w:t>ru</w:t>
                  </w:r>
                </w:p>
                <w:p>
                  <w:pPr>
                    <w:pStyle w:val="NoSpacing"/>
                    <w:widowControl w:val="false"/>
                    <w:jc w:val="both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Платёжные реквизиты: Единый казначейский счет: 40102810745370000024, Наименование банка: ОКЦ №1 ВВГУ Банка России/УФК по Нижегородской области, г. Нижний Новгород, БИК 012202102, казначейский счет (КС) 03211643000000013237,</w:t>
                  </w:r>
                </w:p>
                <w:p>
                  <w:pPr>
                    <w:pStyle w:val="1"/>
                    <w:widowControl w:val="false"/>
                    <w:jc w:val="both"/>
                    <w:rPr>
                      <w:b/>
                      <w:bCs/>
                      <w:spacing w:val="-2"/>
                      <w:sz w:val="22"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лицевой счет 03331783980</w:t>
                  </w:r>
                </w:p>
                <w:p>
                  <w:pPr>
                    <w:pStyle w:val="NoSpacing"/>
                    <w:widowControl w:val="false"/>
                    <w:rPr>
                      <w:bCs/>
                    </w:rPr>
                  </w:pPr>
                  <w:r>
                    <w:rPr>
                      <w:bCs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ind w:hanging="0"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hanging="0"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314"/>
        <w:gridCol w:w="5315"/>
      </w:tblGrid>
      <w:tr>
        <w:trPr/>
        <w:tc>
          <w:tcPr>
            <w:tcW w:w="5314" w:type="dxa"/>
            <w:tcBorders/>
          </w:tcPr>
          <w:p>
            <w:pPr>
              <w:pStyle w:val="ConsPlusNormal1"/>
              <w:widowControl w:val="false"/>
              <w:tabs>
                <w:tab w:val="clear" w:pos="708"/>
                <w:tab w:val="left" w:pos="900" w:leader="none"/>
              </w:tabs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 Заказчика</w:t>
            </w:r>
          </w:p>
        </w:tc>
        <w:tc>
          <w:tcPr>
            <w:tcW w:w="5315" w:type="dxa"/>
            <w:tcBorders/>
          </w:tcPr>
          <w:p>
            <w:pPr>
              <w:pStyle w:val="NoSpacing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Исполнителя</w:t>
            </w:r>
          </w:p>
        </w:tc>
      </w:tr>
      <w:tr>
        <w:trPr/>
        <w:tc>
          <w:tcPr>
            <w:tcW w:w="5314" w:type="dxa"/>
            <w:tcBorders/>
          </w:tcPr>
          <w:p>
            <w:pPr>
              <w:pStyle w:val="ConsPlusNormal1"/>
              <w:widowControl w:val="false"/>
              <w:tabs>
                <w:tab w:val="clear" w:pos="708"/>
                <w:tab w:val="left" w:pos="900" w:leader="none"/>
              </w:tabs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</w:t>
            </w:r>
          </w:p>
          <w:p>
            <w:pPr>
              <w:pStyle w:val="ConsPlusNormal1"/>
              <w:widowControl w:val="false"/>
              <w:tabs>
                <w:tab w:val="clear" w:pos="708"/>
                <w:tab w:val="left" w:pos="900" w:leader="none"/>
              </w:tabs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(подпись)</w:t>
            </w:r>
          </w:p>
          <w:p>
            <w:pPr>
              <w:pStyle w:val="ConsPlusNormal1"/>
              <w:widowControl w:val="false"/>
              <w:tabs>
                <w:tab w:val="clear" w:pos="708"/>
                <w:tab w:val="left" w:pos="900" w:leader="none"/>
              </w:tabs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«______» ______________ 2026 г.</w:t>
            </w:r>
          </w:p>
        </w:tc>
        <w:tc>
          <w:tcPr>
            <w:tcW w:w="5315" w:type="dxa"/>
            <w:tcBorders/>
          </w:tcPr>
          <w:p>
            <w:pPr>
              <w:pStyle w:val="ConsPlusNormal1"/>
              <w:widowControl w:val="false"/>
              <w:tabs>
                <w:tab w:val="clear" w:pos="708"/>
                <w:tab w:val="left" w:pos="900" w:leader="none"/>
              </w:tabs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</w:t>
            </w:r>
          </w:p>
          <w:p>
            <w:pPr>
              <w:pStyle w:val="ConsPlusNormal1"/>
              <w:widowControl w:val="false"/>
              <w:tabs>
                <w:tab w:val="clear" w:pos="708"/>
                <w:tab w:val="left" w:pos="900" w:leader="none"/>
              </w:tabs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(подпись)</w:t>
            </w:r>
          </w:p>
          <w:p>
            <w:pPr>
              <w:pStyle w:val="ConsPlusNormal1"/>
              <w:widowControl w:val="false"/>
              <w:tabs>
                <w:tab w:val="clear" w:pos="708"/>
                <w:tab w:val="left" w:pos="900" w:leader="none"/>
              </w:tabs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«______» ______________ 2026 г.</w:t>
            </w:r>
          </w:p>
        </w:tc>
      </w:tr>
    </w:tbl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к Договору</w:t>
      </w:r>
    </w:p>
    <w:p>
      <w:pPr>
        <w:pStyle w:val="Heading4"/>
        <w:keepNext w:val="false"/>
        <w:widowControl w:val="false"/>
        <w:spacing w:lineRule="auto" w:line="240"/>
        <w:jc w:val="right"/>
        <w:rPr>
          <w:sz w:val="24"/>
          <w:szCs w:val="24"/>
        </w:rPr>
      </w:pPr>
      <w:r>
        <w:rPr/>
        <w:t xml:space="preserve">от _________   № </w:t>
      </w:r>
      <w:r>
        <w:rPr>
          <w:sz w:val="24"/>
          <w:szCs w:val="24"/>
        </w:rPr>
        <w:t>_________________</w:t>
      </w:r>
    </w:p>
    <w:p>
      <w:pPr>
        <w:pStyle w:val="NoSpacing"/>
        <w:jc w:val="righ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Спецификация</w:t>
      </w:r>
    </w:p>
    <w:p>
      <w:pPr>
        <w:pStyle w:val="Normal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1"/>
        <w:jc w:val="both"/>
        <w:rPr>
          <w:lang w:bidi="he-IL"/>
        </w:rPr>
      </w:pPr>
      <w:r>
        <w:rPr>
          <w:lang w:bidi="he-IL"/>
        </w:rPr>
      </w:r>
    </w:p>
    <w:tbl>
      <w:tblPr>
        <w:tblStyle w:val="af"/>
        <w:tblW w:w="10621" w:type="dxa"/>
        <w:jc w:val="left"/>
        <w:tblInd w:w="1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70"/>
        <w:gridCol w:w="2595"/>
        <w:gridCol w:w="1065"/>
        <w:gridCol w:w="1560"/>
        <w:gridCol w:w="1245"/>
        <w:gridCol w:w="3586"/>
      </w:tblGrid>
      <w:tr>
        <w:trPr/>
        <w:tc>
          <w:tcPr>
            <w:tcW w:w="570" w:type="dxa"/>
            <w:tcBorders/>
          </w:tcPr>
          <w:p>
            <w:pPr>
              <w:pStyle w:val="Style21"/>
              <w:widowControl w:val="false"/>
              <w:suppressAutoHyphens w:val="true"/>
              <w:spacing w:before="0" w:after="0"/>
              <w:jc w:val="center"/>
              <w:rPr>
                <w:lang w:bidi="he-IL"/>
              </w:rPr>
            </w:pPr>
            <w:r>
              <w:rPr>
                <w:rFonts w:cs="Times New Roman"/>
                <w:kern w:val="0"/>
                <w:lang w:val="ru-RU" w:eastAsia="ru-RU" w:bidi="he-IL"/>
              </w:rPr>
              <w:t xml:space="preserve">№ </w:t>
            </w:r>
            <w:r>
              <w:rPr>
                <w:rFonts w:cs="Times New Roman"/>
                <w:kern w:val="0"/>
                <w:lang w:val="ru-RU" w:eastAsia="ru-RU" w:bidi="he-IL"/>
              </w:rPr>
              <w:t>п/п</w:t>
            </w:r>
          </w:p>
        </w:tc>
        <w:tc>
          <w:tcPr>
            <w:tcW w:w="2595" w:type="dxa"/>
            <w:tcBorders/>
          </w:tcPr>
          <w:p>
            <w:pPr>
              <w:pStyle w:val="Style21"/>
              <w:widowControl w:val="false"/>
              <w:suppressAutoHyphens w:val="true"/>
              <w:spacing w:before="0" w:after="0"/>
              <w:jc w:val="center"/>
              <w:rPr>
                <w:lang w:bidi="he-IL"/>
              </w:rPr>
            </w:pPr>
            <w:r>
              <w:rPr>
                <w:rFonts w:cs="Times New Roman"/>
                <w:kern w:val="0"/>
                <w:lang w:val="ru-RU" w:eastAsia="ru-RU" w:bidi="he-IL"/>
              </w:rPr>
              <w:t>Наименование Услуг</w:t>
            </w:r>
          </w:p>
        </w:tc>
        <w:tc>
          <w:tcPr>
            <w:tcW w:w="1065" w:type="dxa"/>
            <w:tcBorders/>
          </w:tcPr>
          <w:p>
            <w:pPr>
              <w:pStyle w:val="Style21"/>
              <w:widowControl w:val="false"/>
              <w:suppressAutoHyphens w:val="true"/>
              <w:spacing w:before="0" w:after="0"/>
              <w:jc w:val="center"/>
              <w:rPr>
                <w:lang w:bidi="he-IL"/>
              </w:rPr>
            </w:pPr>
            <w:r>
              <w:rPr>
                <w:rFonts w:cs="Times New Roman"/>
                <w:kern w:val="0"/>
                <w:lang w:val="ru-RU" w:eastAsia="ru-RU" w:bidi="he-IL"/>
              </w:rPr>
              <w:t>Единица измерения</w:t>
            </w:r>
          </w:p>
        </w:tc>
        <w:tc>
          <w:tcPr>
            <w:tcW w:w="1560" w:type="dxa"/>
            <w:tcBorders/>
          </w:tcPr>
          <w:p>
            <w:pPr>
              <w:pStyle w:val="Style21"/>
              <w:widowControl w:val="false"/>
              <w:suppressAutoHyphens w:val="true"/>
              <w:spacing w:before="0" w:after="0"/>
              <w:jc w:val="center"/>
              <w:rPr>
                <w:lang w:bidi="he-IL"/>
              </w:rPr>
            </w:pPr>
            <w:r>
              <w:rPr>
                <w:rFonts w:cs="Times New Roman"/>
                <w:kern w:val="0"/>
                <w:lang w:val="ru-RU" w:eastAsia="ru-RU" w:bidi="he-IL"/>
              </w:rPr>
              <w:t>Стоимость с учетом НДС, руб.</w:t>
            </w:r>
          </w:p>
        </w:tc>
        <w:tc>
          <w:tcPr>
            <w:tcW w:w="1245" w:type="dxa"/>
            <w:tcBorders/>
          </w:tcPr>
          <w:p>
            <w:pPr>
              <w:pStyle w:val="Style21"/>
              <w:widowControl w:val="false"/>
              <w:suppressAutoHyphens w:val="true"/>
              <w:spacing w:before="0" w:after="0"/>
              <w:jc w:val="center"/>
              <w:rPr>
                <w:lang w:bidi="he-IL"/>
              </w:rPr>
            </w:pPr>
            <w:r>
              <w:rPr>
                <w:rFonts w:cs="Times New Roman"/>
                <w:kern w:val="0"/>
                <w:lang w:val="ru-RU" w:eastAsia="ru-RU" w:bidi="he-IL"/>
              </w:rPr>
              <w:t>Кол-во</w:t>
            </w:r>
          </w:p>
        </w:tc>
        <w:tc>
          <w:tcPr>
            <w:tcW w:w="3586" w:type="dxa"/>
            <w:tcBorders/>
          </w:tcPr>
          <w:p>
            <w:pPr>
              <w:pStyle w:val="Style21"/>
              <w:widowControl w:val="false"/>
              <w:suppressAutoHyphens w:val="true"/>
              <w:spacing w:before="0" w:after="0"/>
              <w:jc w:val="center"/>
              <w:rPr>
                <w:lang w:bidi="he-IL"/>
              </w:rPr>
            </w:pPr>
            <w:r>
              <w:rPr>
                <w:rFonts w:cs="Times New Roman"/>
                <w:kern w:val="0"/>
                <w:lang w:val="ru-RU" w:eastAsia="ru-RU" w:bidi="he-IL"/>
              </w:rPr>
              <w:t>Отпускная стоимость, руб.</w:t>
            </w:r>
          </w:p>
        </w:tc>
      </w:tr>
      <w:tr>
        <w:trPr/>
        <w:tc>
          <w:tcPr>
            <w:tcW w:w="570" w:type="dxa"/>
            <w:tcBorders/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center"/>
              <w:rPr>
                <w:lang w:bidi="he-IL"/>
              </w:rPr>
            </w:pPr>
            <w:r>
              <w:rPr>
                <w:rFonts w:cs="Times New Roman"/>
                <w:kern w:val="0"/>
                <w:lang w:val="ru-RU" w:eastAsia="ru-RU" w:bidi="he-IL"/>
              </w:rPr>
              <w:t>1</w:t>
            </w:r>
          </w:p>
        </w:tc>
        <w:tc>
          <w:tcPr>
            <w:tcW w:w="2595" w:type="dxa"/>
            <w:tcBorders/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lang w:bidi="he-IL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Оказание услуг по изготовлению технических паспортов</w:t>
            </w:r>
          </w:p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lang w:bidi="he-IL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на жилые помещения (квартиры),</w:t>
            </w:r>
          </w:p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lang w:bidi="he-IL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расположенные по адресу: г. Иваново, ул. Лежневская, д.164Б на 27 квартир</w:t>
            </w:r>
          </w:p>
        </w:tc>
        <w:tc>
          <w:tcPr>
            <w:tcW w:w="1065" w:type="dxa"/>
            <w:tcBorders/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center"/>
              <w:rPr>
                <w:lang w:bidi="he-IL"/>
              </w:rPr>
            </w:pPr>
            <w:r>
              <w:rPr>
                <w:rFonts w:cs="Times New Roman"/>
                <w:kern w:val="0"/>
                <w:lang w:val="ru-RU" w:eastAsia="ru-RU" w:bidi="he-IL"/>
              </w:rPr>
              <w:t>Усл.ед.</w:t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center"/>
              <w:rPr>
                <w:lang w:bidi="he-IL"/>
              </w:rPr>
            </w:pPr>
            <w:r>
              <w:rPr>
                <w:lang w:bidi="he-IL"/>
              </w:rPr>
            </w:r>
          </w:p>
        </w:tc>
        <w:tc>
          <w:tcPr>
            <w:tcW w:w="1245" w:type="dxa"/>
            <w:tcBorders/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center"/>
              <w:rPr>
                <w:lang w:bidi="he-IL"/>
              </w:rPr>
            </w:pPr>
            <w:r>
              <w:rPr>
                <w:rFonts w:cs="Times New Roman"/>
                <w:kern w:val="0"/>
                <w:lang w:val="ru-RU" w:eastAsia="ru-RU" w:bidi="he-IL"/>
              </w:rPr>
              <w:t>1,00</w:t>
            </w:r>
          </w:p>
        </w:tc>
        <w:tc>
          <w:tcPr>
            <w:tcW w:w="3586" w:type="dxa"/>
            <w:tcBorders/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center"/>
              <w:rPr>
                <w:lang w:bidi="he-IL"/>
              </w:rPr>
            </w:pPr>
            <w:r>
              <w:rPr>
                <w:lang w:bidi="he-IL"/>
              </w:rPr>
            </w:r>
          </w:p>
        </w:tc>
      </w:tr>
    </w:tbl>
    <w:p>
      <w:pPr>
        <w:pStyle w:val="Normal"/>
        <w:ind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9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163"/>
        <w:gridCol w:w="4780"/>
      </w:tblGrid>
      <w:tr>
        <w:trPr>
          <w:trHeight w:val="105" w:hRule="atLeast"/>
        </w:trPr>
        <w:tc>
          <w:tcPr>
            <w:tcW w:w="61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7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widowControl w:val="false"/>
              <w:ind w:firstLine="3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314"/>
        <w:gridCol w:w="5315"/>
      </w:tblGrid>
      <w:tr>
        <w:trPr/>
        <w:tc>
          <w:tcPr>
            <w:tcW w:w="5314" w:type="dxa"/>
            <w:tcBorders/>
          </w:tcPr>
          <w:p>
            <w:pPr>
              <w:pStyle w:val="ConsPlusNormal1"/>
              <w:widowControl w:val="false"/>
              <w:tabs>
                <w:tab w:val="clear" w:pos="708"/>
                <w:tab w:val="left" w:pos="900" w:leader="none"/>
              </w:tabs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 Заказчика</w:t>
            </w:r>
          </w:p>
        </w:tc>
        <w:tc>
          <w:tcPr>
            <w:tcW w:w="5315" w:type="dxa"/>
            <w:tcBorders/>
          </w:tcPr>
          <w:p>
            <w:pPr>
              <w:pStyle w:val="NoSpacing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Исполнителя</w:t>
            </w:r>
          </w:p>
        </w:tc>
      </w:tr>
      <w:tr>
        <w:trPr/>
        <w:tc>
          <w:tcPr>
            <w:tcW w:w="5314" w:type="dxa"/>
            <w:tcBorders/>
          </w:tcPr>
          <w:p>
            <w:pPr>
              <w:pStyle w:val="ConsPlusNormal1"/>
              <w:widowControl w:val="false"/>
              <w:tabs>
                <w:tab w:val="clear" w:pos="708"/>
                <w:tab w:val="left" w:pos="900" w:leader="none"/>
              </w:tabs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</w:t>
            </w:r>
          </w:p>
          <w:p>
            <w:pPr>
              <w:pStyle w:val="ConsPlusNormal1"/>
              <w:widowControl w:val="false"/>
              <w:tabs>
                <w:tab w:val="clear" w:pos="708"/>
                <w:tab w:val="left" w:pos="900" w:leader="none"/>
              </w:tabs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(подпись)</w:t>
            </w:r>
          </w:p>
          <w:p>
            <w:pPr>
              <w:pStyle w:val="ConsPlusNormal1"/>
              <w:widowControl w:val="false"/>
              <w:tabs>
                <w:tab w:val="clear" w:pos="708"/>
                <w:tab w:val="left" w:pos="900" w:leader="none"/>
              </w:tabs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«______» ______________ 2026 г.</w:t>
            </w:r>
          </w:p>
        </w:tc>
        <w:tc>
          <w:tcPr>
            <w:tcW w:w="5315" w:type="dxa"/>
            <w:tcBorders/>
          </w:tcPr>
          <w:p>
            <w:pPr>
              <w:pStyle w:val="ConsPlusNormal1"/>
              <w:widowControl w:val="false"/>
              <w:tabs>
                <w:tab w:val="clear" w:pos="708"/>
                <w:tab w:val="left" w:pos="900" w:leader="none"/>
              </w:tabs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</w:t>
            </w:r>
          </w:p>
          <w:p>
            <w:pPr>
              <w:pStyle w:val="ConsPlusNormal1"/>
              <w:widowControl w:val="false"/>
              <w:tabs>
                <w:tab w:val="clear" w:pos="708"/>
                <w:tab w:val="left" w:pos="900" w:leader="none"/>
              </w:tabs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(подпись)</w:t>
            </w:r>
          </w:p>
          <w:p>
            <w:pPr>
              <w:pStyle w:val="ConsPlusNormal1"/>
              <w:widowControl w:val="false"/>
              <w:tabs>
                <w:tab w:val="clear" w:pos="708"/>
                <w:tab w:val="left" w:pos="900" w:leader="none"/>
              </w:tabs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«______» ______________ 2026 г.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709" w:right="567" w:gutter="0" w:header="0" w:top="1135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74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39" w:hanging="1125"/>
      </w:pPr>
      <w:rPr>
        <w:b w:val="false"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39" w:hanging="1125"/>
      </w:pPr>
      <w:rPr>
        <w:b w:val="false"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39" w:hanging="112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9" w:hanging="112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39" w:hanging="112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4" w:hanging="180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abstractNum w:abstractNumId="3">
    <w:lvl w:ilvl="0">
      <w:start w:val="6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4"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69" w:hanging="360"/>
      </w:pPr>
      <w:rPr>
        <w:b w:val="fals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  <w:rPr>
        <w:b w:val="fals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7" w:hanging="720"/>
      </w:pPr>
      <w:rPr>
        <w:b w:val="fals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6" w:hanging="1080"/>
      </w:pPr>
      <w:rPr>
        <w:b w:val="fals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85" w:hanging="1440"/>
      </w:pPr>
      <w:rPr>
        <w:b w:val="fals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  <w:rPr>
        <w:b w:val="fals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63" w:hanging="1800"/>
      </w:pPr>
      <w:rPr>
        <w:b w:val="fals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72" w:hanging="1800"/>
      </w:pPr>
      <w:rPr>
        <w:b w:val="false"/>
      </w:rPr>
    </w:lvl>
  </w:abstractNum>
  <w:abstractNum w:abstractNumId="5">
    <w:lvl w:ilvl="0">
      <w:start w:val="3"/>
      <w:numFmt w:val="decimal"/>
      <w:lvlText w:val="%1."/>
      <w:lvlJc w:val="left"/>
      <w:pPr>
        <w:tabs>
          <w:tab w:val="num" w:pos="0"/>
        </w:tabs>
        <w:ind w:left="3509" w:hanging="390"/>
      </w:pPr>
      <w:rPr/>
    </w:lvl>
    <w:lvl w:ilvl="1">
      <w:start w:val="2"/>
      <w:numFmt w:val="decimal"/>
      <w:lvlText w:val="%1.%2."/>
      <w:lvlJc w:val="left"/>
      <w:pPr>
        <w:tabs>
          <w:tab w:val="num" w:pos="0"/>
        </w:tabs>
        <w:ind w:left="1434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22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1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9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qFormat="1"/>
    <w:lsdException w:name="heading 5" w:locked="1" w:uiPriority="0" w:semiHidden="1" w:unhideWhenUsed="1" w:qFormat="1"/>
    <w:lsdException w:name="heading 6" w:locked="1" w:uiPriority="0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66c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4">
    <w:name w:val="heading 4"/>
    <w:basedOn w:val="Normal"/>
    <w:next w:val="Normal"/>
    <w:link w:val="4"/>
    <w:qFormat/>
    <w:rsid w:val="000e6ae9"/>
    <w:pPr>
      <w:keepNext w:val="true"/>
      <w:spacing w:lineRule="auto" w:line="360"/>
      <w:jc w:val="center"/>
      <w:outlineLvl w:val="3"/>
    </w:pPr>
    <w:rPr>
      <w:b/>
      <w:sz w:val="22"/>
    </w:rPr>
  </w:style>
  <w:style w:type="paragraph" w:styleId="Heading6">
    <w:name w:val="heading 6"/>
    <w:basedOn w:val="Normal"/>
    <w:next w:val="Normal"/>
    <w:link w:val="6"/>
    <w:uiPriority w:val="99"/>
    <w:qFormat/>
    <w:rsid w:val="005110d3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" w:customStyle="1">
    <w:name w:val="Заголовок 4 Знак"/>
    <w:qFormat/>
    <w:locked/>
    <w:rsid w:val="000e6ae9"/>
    <w:rPr>
      <w:rFonts w:ascii="Times New Roman" w:hAnsi="Times New Roman" w:cs="Times New Roman"/>
      <w:b/>
      <w:sz w:val="20"/>
      <w:szCs w:val="20"/>
      <w:lang w:eastAsia="ru-RU"/>
    </w:rPr>
  </w:style>
  <w:style w:type="character" w:styleId="6" w:customStyle="1">
    <w:name w:val="Заголовок 6 Знак"/>
    <w:uiPriority w:val="99"/>
    <w:semiHidden/>
    <w:qFormat/>
    <w:locked/>
    <w:rsid w:val="005110d3"/>
    <w:rPr>
      <w:rFonts w:ascii="Cambria" w:hAnsi="Cambria" w:cs="Times New Roman"/>
      <w:i/>
      <w:iCs/>
      <w:color w:val="243F60"/>
      <w:sz w:val="20"/>
      <w:szCs w:val="20"/>
      <w:lang w:eastAsia="ru-RU"/>
    </w:rPr>
  </w:style>
  <w:style w:type="character" w:styleId="Style12" w:customStyle="1">
    <w:name w:val="Основной текст с отступом Знак"/>
    <w:uiPriority w:val="99"/>
    <w:qFormat/>
    <w:locked/>
    <w:rsid w:val="000e6ae9"/>
    <w:rPr>
      <w:rFonts w:ascii="Times New Roman" w:hAnsi="Times New Roman" w:cs="Times New Roman"/>
      <w:sz w:val="20"/>
      <w:szCs w:val="20"/>
      <w:lang w:eastAsia="ru-RU"/>
    </w:rPr>
  </w:style>
  <w:style w:type="character" w:styleId="FontStyle13" w:customStyle="1">
    <w:name w:val="Font Style13"/>
    <w:uiPriority w:val="99"/>
    <w:qFormat/>
    <w:rsid w:val="000e6ae9"/>
    <w:rPr>
      <w:rFonts w:ascii="Times New Roman" w:hAnsi="Times New Roman" w:cs="Times New Roman"/>
      <w:sz w:val="20"/>
      <w:szCs w:val="20"/>
    </w:rPr>
  </w:style>
  <w:style w:type="character" w:styleId="Style13" w:customStyle="1">
    <w:name w:val="Верхний колонтитул Знак"/>
    <w:uiPriority w:val="99"/>
    <w:semiHidden/>
    <w:qFormat/>
    <w:locked/>
    <w:rsid w:val="00121047"/>
    <w:rPr>
      <w:rFonts w:ascii="Times New Roman" w:hAnsi="Times New Roman" w:cs="Times New Roman"/>
      <w:sz w:val="20"/>
      <w:szCs w:val="20"/>
      <w:lang w:eastAsia="ru-RU"/>
    </w:rPr>
  </w:style>
  <w:style w:type="character" w:styleId="Style14" w:customStyle="1">
    <w:name w:val="Нижний колонтитул Знак"/>
    <w:uiPriority w:val="99"/>
    <w:semiHidden/>
    <w:qFormat/>
    <w:locked/>
    <w:rsid w:val="00121047"/>
    <w:rPr>
      <w:rFonts w:ascii="Times New Roman" w:hAnsi="Times New Roman" w:cs="Times New Roman"/>
      <w:sz w:val="20"/>
      <w:szCs w:val="20"/>
      <w:lang w:eastAsia="ru-RU"/>
    </w:rPr>
  </w:style>
  <w:style w:type="character" w:styleId="2" w:customStyle="1">
    <w:name w:val="Основной текст 2 Знак"/>
    <w:link w:val="BodyText2"/>
    <w:uiPriority w:val="99"/>
    <w:semiHidden/>
    <w:qFormat/>
    <w:rsid w:val="00281628"/>
    <w:rPr>
      <w:rFonts w:ascii="Times New Roman" w:hAnsi="Times New Roman" w:eastAsia="Times New Roman"/>
      <w:sz w:val="20"/>
      <w:szCs w:val="20"/>
    </w:rPr>
  </w:style>
  <w:style w:type="character" w:styleId="Style15" w:customStyle="1">
    <w:name w:val="Текст выноски Знак"/>
    <w:link w:val="BalloonText"/>
    <w:uiPriority w:val="99"/>
    <w:semiHidden/>
    <w:qFormat/>
    <w:rsid w:val="00c00de9"/>
    <w:rPr>
      <w:rFonts w:ascii="Tahoma" w:hAnsi="Tahoma" w:eastAsia="Times New Roman" w:cs="Tahoma"/>
      <w:sz w:val="16"/>
      <w:szCs w:val="16"/>
    </w:rPr>
  </w:style>
  <w:style w:type="character" w:styleId="ConsPlusNormal" w:customStyle="1">
    <w:name w:val="ConsPlusNormal Знак"/>
    <w:link w:val="ConsPlusNormal1"/>
    <w:qFormat/>
    <w:locked/>
    <w:rsid w:val="00243816"/>
    <w:rPr>
      <w:rFonts w:ascii="Arial" w:hAnsi="Arial" w:eastAsia="Times New Roman" w:cs="Arial"/>
    </w:rPr>
  </w:style>
  <w:style w:type="character" w:styleId="Emphasis">
    <w:name w:val="Emphasis"/>
    <w:uiPriority w:val="20"/>
    <w:qFormat/>
    <w:locked/>
    <w:rsid w:val="00653bee"/>
    <w:rPr>
      <w:i/>
      <w:iCs/>
    </w:rPr>
  </w:style>
  <w:style w:type="character" w:styleId="Hyperlink">
    <w:name w:val="Hyperlink"/>
    <w:uiPriority w:val="99"/>
    <w:unhideWhenUsed/>
    <w:rsid w:val="00653bee"/>
    <w:rPr>
      <w:strike w:val="false"/>
      <w:dstrike w:val="false"/>
      <w:color w:val="0075C5"/>
      <w:u w:val="none"/>
    </w:rPr>
  </w:style>
  <w:style w:type="character" w:styleId="Style16" w:customStyle="1">
    <w:name w:val="Обычный (веб) Знак"/>
    <w:link w:val="NormalWeb"/>
    <w:uiPriority w:val="99"/>
    <w:qFormat/>
    <w:locked/>
    <w:rsid w:val="00653bee"/>
    <w:rPr>
      <w:rFonts w:ascii="Arial" w:hAnsi="Arial" w:eastAsia="Times New Roman"/>
      <w:lang w:eastAsia="en-US"/>
    </w:rPr>
  </w:style>
  <w:style w:type="character" w:styleId="Style17" w:customStyle="1">
    <w:name w:val="Без интервала Знак"/>
    <w:link w:val="NoSpacing"/>
    <w:uiPriority w:val="1"/>
    <w:qFormat/>
    <w:locked/>
    <w:rsid w:val="00653bee"/>
    <w:rPr>
      <w:rFonts w:ascii="Times New Roman" w:hAnsi="Times New Roman" w:eastAsia="Times New Roman"/>
      <w:sz w:val="24"/>
      <w:szCs w:val="24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odyTextIndent">
    <w:name w:val="Body Text Indent"/>
    <w:basedOn w:val="Normal"/>
    <w:link w:val="Style12"/>
    <w:uiPriority w:val="99"/>
    <w:rsid w:val="000e6ae9"/>
    <w:pPr>
      <w:ind w:firstLine="283" w:left="284"/>
      <w:jc w:val="both"/>
    </w:pPr>
    <w:rPr>
      <w:sz w:val="28"/>
    </w:rPr>
  </w:style>
  <w:style w:type="paragraph" w:styleId="NoSpacing">
    <w:name w:val="No Spacing"/>
    <w:link w:val="Style17"/>
    <w:uiPriority w:val="1"/>
    <w:qFormat/>
    <w:rsid w:val="000e6ae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9b4ad7"/>
    <w:pPr>
      <w:spacing w:before="0" w:after="0"/>
      <w:ind w:hanging="0" w:left="720"/>
      <w:contextualSpacing/>
    </w:pPr>
    <w:rPr/>
  </w:style>
  <w:style w:type="paragraph" w:styleId="Style20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semiHidden/>
    <w:rsid w:val="0012104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semiHidden/>
    <w:rsid w:val="0012104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2">
    <w:name w:val="Body Text 2"/>
    <w:basedOn w:val="Normal"/>
    <w:link w:val="2"/>
    <w:uiPriority w:val="99"/>
    <w:qFormat/>
    <w:rsid w:val="000c4be5"/>
    <w:pPr>
      <w:spacing w:lineRule="auto" w:line="480" w:before="0" w:after="120"/>
    </w:pPr>
    <w:rPr/>
  </w:style>
  <w:style w:type="paragraph" w:styleId="BlockText">
    <w:name w:val="Block Text"/>
    <w:basedOn w:val="Normal"/>
    <w:uiPriority w:val="99"/>
    <w:qFormat/>
    <w:rsid w:val="000c4be5"/>
    <w:pPr>
      <w:spacing w:beforeAutospacing="1" w:afterAutospacing="1"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00de9"/>
    <w:pPr/>
    <w:rPr>
      <w:rFonts w:ascii="Tahoma" w:hAnsi="Tahoma" w:cs="Tahoma"/>
      <w:sz w:val="16"/>
      <w:szCs w:val="16"/>
    </w:rPr>
  </w:style>
  <w:style w:type="paragraph" w:styleId="ConsPlusNormal1" w:customStyle="1">
    <w:name w:val="ConsPlusNormal"/>
    <w:link w:val="ConsPlusNormal"/>
    <w:qFormat/>
    <w:rsid w:val="00243816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Default" w:customStyle="1">
    <w:name w:val="Default"/>
    <w:uiPriority w:val="99"/>
    <w:qFormat/>
    <w:rsid w:val="001a7a2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Style21" w:customStyle="1">
    <w:name w:val="Стиль"/>
    <w:qFormat/>
    <w:rsid w:val="00c72d5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Style16"/>
    <w:uiPriority w:val="99"/>
    <w:qFormat/>
    <w:rsid w:val="00653bee"/>
    <w:pPr>
      <w:spacing w:beforeAutospacing="1" w:afterAutospacing="1"/>
    </w:pPr>
    <w:rPr>
      <w:rFonts w:ascii="Arial" w:hAnsi="Arial"/>
      <w:lang w:eastAsia="en-US"/>
    </w:rPr>
  </w:style>
  <w:style w:type="paragraph" w:styleId="1">
    <w:name w:val="Обычный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Style2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543b5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5215A-17FF-41E8-A382-1871B0D2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Application>LibreOffice/24.8.4.2$Linux_X86_64 LibreOffice_project/480$Build-2</Application>
  <AppVersion>15.0000</AppVersion>
  <Pages>5</Pages>
  <Words>1546</Words>
  <Characters>10948</Characters>
  <CharactersWithSpaces>12501</CharactersWithSpaces>
  <Paragraphs>103</Paragraphs>
  <Company>BTI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2023-09-11T10:07:00Z</dcterms:created>
  <dc:creator>жангужинова а п</dc:creator>
  <dc:description/>
  <dc:language>ru-RU</dc:language>
  <cp:lastModifiedBy/>
  <cp:lastPrinted>2023-09-15T12:32:00Z</cp:lastPrinted>
  <dcterms:modified xsi:type="dcterms:W3CDTF">2026-07-31T09:46:54Z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