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
          <w:bCs/>
          <w:i w:val="false"/>
          <w:color w:val="000000"/>
          <w:sz w:val="20"/>
          <w:szCs w:val="20"/>
          <w:lang w:val="ru-RU" w:eastAsia="ru-RU"/>
        </w:rPr>
        <w:t xml:space="preserve"> </w:t>
      </w:r>
      <w:r>
        <w:rPr>
          <w:rFonts w:eastAsia="Times New Roman" w:cs="PT Astra Serif" w:ascii="PT Astra Serif" w:hAnsi="PT Astra Serif"/>
          <w:b/>
          <w:bCs/>
          <w:i w:val="false"/>
          <w:color w:val="000000"/>
          <w:kern w:val="2"/>
          <w:sz w:val="20"/>
          <w:szCs w:val="20"/>
          <w:lang w:val="ru-RU" w:eastAsia="ru-RU"/>
        </w:rPr>
        <w:t xml:space="preserve">Муниципальное дошкольное образовательное учреждение Нижнетимерсянский   детский сад </w:t>
      </w:r>
      <w:r>
        <w:rPr>
          <w:rFonts w:eastAsia="Times New Roman" w:cs="PT Astra Serif" w:ascii="PT Astra Serif" w:hAnsi="PT Astra Serif"/>
          <w:bCs/>
          <w:i w:val="false"/>
          <w:color w:val="000000"/>
          <w:kern w:val="2"/>
          <w:sz w:val="20"/>
          <w:szCs w:val="20"/>
          <w:lang w:val="ru-RU" w:eastAsia="ru-RU"/>
        </w:rPr>
        <w:t xml:space="preserve">  муниципального образования «Цильнинский район» Ульяновской области.   </w:t>
      </w:r>
      <w:r>
        <w:rPr>
          <w:rFonts w:eastAsia="Times New Roman" w:cs="Times New Roman" w:ascii="PT Astra Serif" w:hAnsi="PT Astra Serif"/>
          <w:bCs/>
          <w:i w:val="false"/>
          <w:color w:val="000000"/>
          <w:kern w:val="2"/>
          <w:sz w:val="20"/>
          <w:szCs w:val="20"/>
          <w:lang w:val="ru-RU" w:eastAsia="ru-RU"/>
        </w:rPr>
        <w:t>, именуемое в дальнейшем «Заказчик», в лице заведующего  Надивановой Татьяны Валериановны</w:t>
      </w:r>
      <w:r>
        <w:rPr>
          <w:rFonts w:eastAsia="Times New Roman" w:cs="Times New Roman" w:ascii="PT Astra Serif" w:hAnsi="PT Astra Serif"/>
          <w:bCs/>
          <w:i w:val="false"/>
          <w:color w:val="000000"/>
          <w:sz w:val="20"/>
          <w:szCs w:val="20"/>
          <w:lang w:val="ru-RU" w:eastAsia="ru-RU"/>
        </w:rPr>
        <w:t xml:space="preserve"> </w:t>
      </w:r>
      <w:r>
        <w:rPr>
          <w:rFonts w:eastAsia="Times New Roman" w:cs="PT Astra Serif;Times New Roman" w:ascii="PT Astra Serif" w:hAnsi="PT Astra Serif"/>
          <w:bCs/>
          <w:i w:val="false"/>
          <w:color w:val="000000"/>
          <w:sz w:val="20"/>
          <w:szCs w:val="20"/>
          <w:lang w:val="ru-RU" w:eastAsia="ru-RU"/>
        </w:rPr>
        <w:t xml:space="preserve">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в спецификации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Нижние Тимерсяны,  улица Советская  , дом 8</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2"/>
        <w:gridCol w:w="4630"/>
      </w:tblGrid>
      <w:tr>
        <w:trPr/>
        <w:tc>
          <w:tcPr>
            <w:tcW w:w="5662"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spacing w:lineRule="auto" w:line="240"/>
              <w:jc w:val="both"/>
              <w:rPr>
                <w:rFonts w:ascii="Times New Roman" w:hAnsi="Times New Roman"/>
                <w:sz w:val="18"/>
                <w:szCs w:val="18"/>
              </w:rPr>
            </w:pPr>
            <w:r>
              <w:rPr>
                <w:rFonts w:cs="Times New Roman" w:ascii="Times New Roman" w:hAnsi="Times New Roman"/>
                <w:sz w:val="18"/>
                <w:szCs w:val="18"/>
                <w:lang w:val="ru-RU"/>
              </w:rPr>
              <w:t>Муниципальное дошкольное образовательное учреждение</w:t>
            </w:r>
            <w:r>
              <w:rPr>
                <w:rFonts w:cs="Times New Roman" w:ascii="Times New Roman" w:hAnsi="Times New Roman"/>
                <w:sz w:val="18"/>
                <w:szCs w:val="18"/>
              </w:rPr>
              <w:t xml:space="preserve"> </w:t>
            </w:r>
            <w:r>
              <w:rPr>
                <w:rFonts w:cs="Times New Roman" w:ascii="Times New Roman" w:hAnsi="Times New Roman"/>
                <w:b/>
                <w:bCs/>
                <w:sz w:val="18"/>
                <w:szCs w:val="18"/>
              </w:rPr>
              <w:t>Нижнетимерсянский детский сад</w:t>
            </w:r>
            <w:r>
              <w:rPr>
                <w:rFonts w:cs="Times New Roman" w:ascii="Times New Roman" w:hAnsi="Times New Roman"/>
                <w:sz w:val="18"/>
                <w:szCs w:val="18"/>
              </w:rPr>
              <w:t xml:space="preserve">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Ульяновская область, Цильнинский район, с.Нижние Тимерсяны, ул. Советская, д. 8</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7322004330/КПП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 л/сч 03573223038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25393549</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ОГРН 1027301059092</w:t>
            </w:r>
          </w:p>
          <w:p>
            <w:pPr>
              <w:pStyle w:val="Normal"/>
              <w:widowControl w:val="false"/>
              <w:shd w:val="clear" w:fill="FFFFFF"/>
              <w:snapToGrid w:val="false"/>
              <w:spacing w:lineRule="auto" w:line="240"/>
              <w:jc w:val="left"/>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hyperlink r:id="rId16">
              <w:r>
                <w:rPr>
                  <w:rStyle w:val="Style6"/>
                  <w:rFonts w:ascii="Times New Roman" w:hAnsi="Times New Roman"/>
                  <w:b w:val="false"/>
                  <w:caps w:val="false"/>
                  <w:smallCaps w:val="false"/>
                  <w:sz w:val="18"/>
                  <w:szCs w:val="18"/>
                  <w:lang w:val="zxx"/>
                </w:rPr>
                <w:t>tnadivanova@mail.ru</w:t>
              </w:r>
            </w:hyperlink>
            <w:r>
              <w:rPr>
                <w:rFonts w:ascii="Times New Roman" w:hAnsi="Times New Roman"/>
                <w:b w:val="false"/>
                <w:caps w:val="false"/>
                <w:smallCaps w:val="false"/>
                <w:sz w:val="18"/>
                <w:szCs w:val="18"/>
                <w:lang w:val="zxx"/>
              </w:rPr>
              <w:t xml:space="preserve"> </w:t>
            </w:r>
            <w:r>
              <w:rPr>
                <w:rFonts w:cs="Times New Roman" w:ascii="Times New Roman" w:hAnsi="Times New Roman"/>
                <w:b w:val="false"/>
                <w:caps w:val="false"/>
                <w:smallCaps w:val="false"/>
                <w:sz w:val="18"/>
                <w:szCs w:val="18"/>
                <w:lang w:val="zxx"/>
              </w:rPr>
              <w:t>тел.88424540317</w:t>
            </w:r>
            <w:r>
              <w:rPr>
                <w:rFonts w:cs="Times New Roman" w:ascii="Times New Roman" w:hAnsi="Times New Roman"/>
                <w:b w:val="false"/>
                <w:caps w:val="false"/>
                <w:smallCaps w:val="false"/>
                <w:sz w:val="18"/>
                <w:szCs w:val="18"/>
                <w:lang w:val="ru-RU"/>
              </w:rPr>
              <w:t xml:space="preserve">; </w:t>
            </w:r>
            <w:r>
              <w:rPr>
                <w:rFonts w:cs="Times New Roman" w:ascii="Times New Roman" w:hAnsi="Times New Roman"/>
                <w:b w:val="false"/>
                <w:caps w:val="false"/>
                <w:smallCaps w:val="false"/>
                <w:sz w:val="18"/>
                <w:szCs w:val="18"/>
                <w:lang w:val="zxx"/>
              </w:rPr>
              <w:t>89020010526</w:t>
            </w:r>
          </w:p>
          <w:p>
            <w:pPr>
              <w:pStyle w:val="Normal"/>
              <w:widowControl w:val="false"/>
              <w:shd w:val="clear" w:fill="FFFFFF"/>
              <w:suppressAutoHyphens w:val="true"/>
              <w:snapToGrid w:val="false"/>
              <w:spacing w:lineRule="auto" w:line="240" w:before="0" w:after="200"/>
              <w:jc w:val="left"/>
              <w:rPr>
                <w:rFonts w:ascii="Times New Roman" w:hAnsi="Times New Roman"/>
                <w:sz w:val="18"/>
                <w:szCs w:val="18"/>
              </w:rPr>
            </w:pPr>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Заведующий                               Надиванова Т.В.</w:t>
            </w:r>
          </w:p>
        </w:tc>
        <w:tc>
          <w:tcPr>
            <w:tcW w:w="4630"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Normal"/>
        <w:numPr>
          <w:ilvl w:val="0"/>
          <w:numId w:val="0"/>
        </w:numPr>
        <w:ind w:hanging="0" w:left="0"/>
        <w:jc w:val="center"/>
        <w:outlineLvl w:val="1"/>
        <w:rPr>
          <w:sz w:val="18"/>
          <w:szCs w:val="18"/>
        </w:rPr>
      </w:pPr>
      <w:r>
        <w:rPr>
          <w:sz w:val="18"/>
          <w:szCs w:val="18"/>
        </w:rPr>
      </w:r>
    </w:p>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10335" w:type="dxa"/>
        <w:jc w:val="left"/>
        <w:tblInd w:w="0" w:type="dxa"/>
        <w:tblLayout w:type="fixed"/>
        <w:tblCellMar>
          <w:top w:w="102" w:type="dxa"/>
          <w:left w:w="62" w:type="dxa"/>
          <w:bottom w:w="102" w:type="dxa"/>
          <w:right w:w="62" w:type="dxa"/>
        </w:tblCellMar>
        <w:tblLook w:val="0000"/>
      </w:tblPr>
      <w:tblGrid>
        <w:gridCol w:w="509"/>
        <w:gridCol w:w="1996"/>
        <w:gridCol w:w="615"/>
        <w:gridCol w:w="3919"/>
        <w:gridCol w:w="719"/>
        <w:gridCol w:w="958"/>
        <w:gridCol w:w="1619"/>
      </w:tblGrid>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N п/п</w:t>
            </w:r>
          </w:p>
        </w:tc>
        <w:tc>
          <w:tcPr>
            <w:tcW w:w="199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Наименование Товара</w:t>
            </w:r>
          </w:p>
        </w:tc>
        <w:tc>
          <w:tcPr>
            <w:tcW w:w="61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Единицы измерения</w:t>
            </w:r>
          </w:p>
        </w:tc>
        <w:tc>
          <w:tcPr>
            <w:tcW w:w="39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Характеристики товара</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Кол-во</w:t>
            </w:r>
          </w:p>
        </w:tc>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Цена за ед., руб.</w:t>
            </w:r>
          </w:p>
        </w:tc>
        <w:tc>
          <w:tcPr>
            <w:tcW w:w="16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Общая стоимость, руб.</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1</w:t>
            </w:r>
          </w:p>
        </w:tc>
        <w:tc>
          <w:tcPr>
            <w:tcW w:w="199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2</w:t>
            </w:r>
          </w:p>
        </w:tc>
        <w:tc>
          <w:tcPr>
            <w:tcW w:w="61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3</w:t>
            </w:r>
          </w:p>
        </w:tc>
        <w:tc>
          <w:tcPr>
            <w:tcW w:w="39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bookmarkStart w:id="19" w:name="P342"/>
            <w:bookmarkStart w:id="20" w:name="P341"/>
            <w:bookmarkEnd w:id="19"/>
            <w:bookmarkEnd w:id="20"/>
            <w:r>
              <w:rPr>
                <w:rFonts w:ascii="PT Astra Serif" w:hAnsi="PT Astra Serif"/>
                <w:sz w:val="20"/>
                <w:szCs w:val="20"/>
              </w:rPr>
              <w:t>4</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5</w:t>
            </w:r>
          </w:p>
        </w:tc>
        <w:tc>
          <w:tcPr>
            <w:tcW w:w="9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6</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bookmarkStart w:id="21" w:name="P344"/>
            <w:bookmarkStart w:id="22" w:name="P345"/>
            <w:bookmarkEnd w:id="21"/>
            <w:bookmarkEnd w:id="22"/>
            <w:r>
              <w:rPr>
                <w:rFonts w:ascii="PT Astra Serif" w:hAnsi="PT Astra Serif"/>
                <w:sz w:val="20"/>
                <w:szCs w:val="20"/>
              </w:rPr>
              <w:t>7</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1.</w:t>
            </w:r>
          </w:p>
        </w:tc>
        <w:tc>
          <w:tcPr>
            <w:tcW w:w="1996"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вермишель</w:t>
            </w:r>
          </w:p>
        </w:tc>
        <w:tc>
          <w:tcPr>
            <w:tcW w:w="615"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Вид изделия макаронного: Вермишель, Вид сырья :Пшеничная мука, Группа макаронных изделий из пшеничной муки: А, Сорт макаронных изделий из пшеничной муки: Высший                                         Соответствие нормативной документации ГОСТ 31743-2017 Фасовка по согласованию с Заказчиком Происхождение Россия</w:t>
            </w:r>
          </w:p>
        </w:tc>
        <w:tc>
          <w:tcPr>
            <w:tcW w:w="71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10</w:t>
            </w:r>
          </w:p>
        </w:tc>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2</w:t>
            </w:r>
          </w:p>
        </w:tc>
        <w:tc>
          <w:tcPr>
            <w:tcW w:w="199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горошек консервированный</w:t>
            </w:r>
          </w:p>
        </w:tc>
        <w:tc>
          <w:tcPr>
            <w:tcW w:w="61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 xml:space="preserve">Шт </w:t>
            </w:r>
          </w:p>
        </w:tc>
        <w:tc>
          <w:tcPr>
            <w:tcW w:w="39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Горох, консервированный без уксуса или уксусной кислоты Товарный сорт: Первый  Фасовка : банка вес 0,420кг Происхождение Россия</w:t>
            </w:r>
          </w:p>
        </w:tc>
        <w:tc>
          <w:tcPr>
            <w:tcW w:w="7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10</w:t>
            </w:r>
          </w:p>
        </w:tc>
        <w:tc>
          <w:tcPr>
            <w:tcW w:w="958"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3</w:t>
            </w:r>
          </w:p>
        </w:tc>
        <w:tc>
          <w:tcPr>
            <w:tcW w:w="199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горох шлифованный</w:t>
            </w:r>
          </w:p>
        </w:tc>
        <w:tc>
          <w:tcPr>
            <w:tcW w:w="61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Вид зерна: Колотое, Сорт :Не ниже первого Фасовка:по согласованию с Заказчиком Происхождение Россия</w:t>
            </w:r>
          </w:p>
        </w:tc>
        <w:tc>
          <w:tcPr>
            <w:tcW w:w="7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5</w:t>
            </w:r>
          </w:p>
        </w:tc>
        <w:tc>
          <w:tcPr>
            <w:tcW w:w="958"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4</w:t>
            </w:r>
          </w:p>
        </w:tc>
        <w:tc>
          <w:tcPr>
            <w:tcW w:w="199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геркулес</w:t>
            </w:r>
          </w:p>
        </w:tc>
        <w:tc>
          <w:tcPr>
            <w:tcW w:w="61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Геркулес. Фасовка:по согласованию с Заказчиком</w:t>
            </w:r>
          </w:p>
        </w:tc>
        <w:tc>
          <w:tcPr>
            <w:tcW w:w="7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10</w:t>
            </w:r>
          </w:p>
        </w:tc>
        <w:tc>
          <w:tcPr>
            <w:tcW w:w="958"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top w:val="single" w:sz="4" w:space="0" w:color="000000"/>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5</w:t>
            </w:r>
          </w:p>
        </w:tc>
        <w:tc>
          <w:tcPr>
            <w:tcW w:w="1996" w:type="dxa"/>
            <w:tcBorders>
              <w:top w:val="single" w:sz="4" w:space="0" w:color="000000"/>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крупа гречневая</w:t>
            </w:r>
          </w:p>
        </w:tc>
        <w:tc>
          <w:tcPr>
            <w:tcW w:w="615" w:type="dxa"/>
            <w:tcBorders>
              <w:top w:val="single" w:sz="4" w:space="0" w:color="000000"/>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top w:val="single" w:sz="4" w:space="0" w:color="000000"/>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Сорт:не ниже первого,Вид крупы:ядрица Фасовка: по согласованию с Заказчиком Происхождение Россия</w:t>
            </w:r>
          </w:p>
        </w:tc>
        <w:tc>
          <w:tcPr>
            <w:tcW w:w="719" w:type="dxa"/>
            <w:tcBorders>
              <w:top w:val="single" w:sz="4" w:space="0" w:color="000000"/>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10</w:t>
            </w:r>
          </w:p>
        </w:tc>
        <w:tc>
          <w:tcPr>
            <w:tcW w:w="958" w:type="dxa"/>
            <w:tcBorders>
              <w:top w:val="single" w:sz="4" w:space="0" w:color="000000"/>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6</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крупа манная</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Марка крупы:МТ фасовка:по согласованию с Заказчиком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7</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крупа перловая</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Номер крупы :2 Фасовка по согласованию с Заказчиком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8</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крупа пшено шлифованное</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Сорт :высший , Фасовка:по согласованию с Заказчиком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9</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кофейный напиток</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Вид кофейного напитка :Без натурального кофе и цикория ,Тип напитка: Нерастворимый Фасовка по согласованию с Заказчиком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10</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какао порошок</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по согласованию с Заказчиком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11</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макароны</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12</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мука пшеничная хлебопекарская</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Сорт муки: Не ниже высшего, Вид муки :Хлебопекарная   Фасовка: по 2-5 кг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25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13</w:t>
            </w:r>
          </w:p>
        </w:tc>
        <w:tc>
          <w:tcPr>
            <w:tcW w:w="199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масло растительное</w:t>
            </w:r>
          </w:p>
        </w:tc>
        <w:tc>
          <w:tcPr>
            <w:tcW w:w="615"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шт</w:t>
            </w:r>
          </w:p>
        </w:tc>
        <w:tc>
          <w:tcPr>
            <w:tcW w:w="39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масла подсолнечного рафинированного : Дезодорированное Марка масла подсолнечного рафинированного дезодорированного: Первый сорт Фасовка : 0,9л-1,9 л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14</w:t>
            </w:r>
          </w:p>
        </w:tc>
        <w:tc>
          <w:tcPr>
            <w:tcW w:w="199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рис</w:t>
            </w:r>
          </w:p>
        </w:tc>
        <w:tc>
          <w:tcPr>
            <w:tcW w:w="615"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Сорт Не ниже первого Вид Цельнозерновой Способ обработки Шелушеный (обрушенный) Пропаренный Нет Фасовка :по согласованию с Заказчиком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15</w:t>
            </w:r>
          </w:p>
        </w:tc>
        <w:tc>
          <w:tcPr>
            <w:tcW w:w="199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соль пищевая поваренная йодированная</w:t>
            </w:r>
          </w:p>
        </w:tc>
        <w:tc>
          <w:tcPr>
            <w:tcW w:w="615"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сырья для соли пищевой: Каменная ,Вид соли по способу производства: Молотая, Соль йодированная: Да Сорт Высший Фасовка: 1 кг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16</w:t>
            </w:r>
          </w:p>
        </w:tc>
        <w:tc>
          <w:tcPr>
            <w:tcW w:w="199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Смесь сушеных фруктов (сухой компот)</w:t>
            </w:r>
          </w:p>
        </w:tc>
        <w:tc>
          <w:tcPr>
            <w:tcW w:w="615"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сушеных фруктов:Яблоко,груша,чернослив,куряга,сорт:экстра или высший . Фасовка по согласованию с Заказчиком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17</w:t>
            </w:r>
          </w:p>
        </w:tc>
        <w:tc>
          <w:tcPr>
            <w:tcW w:w="1996"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паста томатная</w:t>
            </w:r>
          </w:p>
        </w:tc>
        <w:tc>
          <w:tcPr>
            <w:tcW w:w="615"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 xml:space="preserve">Вес товара в единице потребительской тары (упаковки) - 0,5 кг </w:t>
              <w:b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Цвет: красный, ярко выраженный, равномерный по всей массе. Вкус и запах: ярко выраженные, свойственные концентрированной томатной массе, без горечи, пригара и других посторонних привкуса и запаха. Томатная паста с массовой долей сухих веществ не менее 20%. Продукция не содержит ГМО. Каждая упаковка содержит маркировку о производителе, сроке годности, условиях хранения. Упаковка предотвращает порчу, сохраняет целостность продукта при транспортировке и хранении.На момент поставки остаточный срок годности товара не менее 4 месяцев транспортировке и хранении.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18</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Чай черный (ферментированный)</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0,1-0,5 кг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1</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rHeight w:val="2802" w:hRule="atLeast"/>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19</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сок фруктовый</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шт</w:t>
            </w:r>
          </w:p>
        </w:tc>
        <w:tc>
          <w:tcPr>
            <w:tcW w:w="3919"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Вид сока – фруктовый</w:t>
              <w:br/>
              <w:t>Вид сока по технологии производства - восстановленный</w:t>
              <w:br/>
              <w:t>Вид сока по способу обработки - пастеризованный</w:t>
              <w:br/>
              <w:t xml:space="preserve">Фасовка  3х литровая банка </w:t>
              <w:br/>
              <w:t>Остаточный срок годности на момент поставки 6 месяцев.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45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20</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кисель плодово-ягодный</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sz w:val="20"/>
                <w:szCs w:val="20"/>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кисель плодово-ягодный ,фасовка по согласованию с заказчиком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rHeight w:val="615" w:hRule="atLeast"/>
        </w:trPr>
        <w:tc>
          <w:tcPr>
            <w:tcW w:w="509" w:type="dxa"/>
            <w:tcBorders>
              <w:left w:val="single" w:sz="4" w:space="0" w:color="000000"/>
              <w:bottom w:val="single" w:sz="4" w:space="0" w:color="000000"/>
            </w:tcBorders>
          </w:tcPr>
          <w:p>
            <w:pPr>
              <w:pStyle w:val="ConsPlusNormal1"/>
              <w:widowControl w:val="false"/>
              <w:rPr>
                <w:sz w:val="20"/>
                <w:szCs w:val="20"/>
              </w:rPr>
            </w:pPr>
            <w:r>
              <w:rPr>
                <w:rFonts w:ascii="PT Astra Serif" w:hAnsi="PT Astra Serif"/>
                <w:sz w:val="20"/>
                <w:szCs w:val="20"/>
              </w:rPr>
              <w:t>21</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Печенье</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bidi w:val="0"/>
              <w:spacing w:before="0" w:after="200"/>
              <w:jc w:val="left"/>
              <w:rPr>
                <w:sz w:val="20"/>
                <w:szCs w:val="20"/>
              </w:rPr>
            </w:pPr>
            <w:r>
              <w:rPr>
                <w:rFonts w:ascii="PT Astra Serif" w:hAnsi="PT Astra Serif"/>
                <w:b w:val="false"/>
                <w:bCs w:val="false"/>
                <w:i w:val="false"/>
                <w:strike w:val="false"/>
                <w:dstrike w:val="false"/>
                <w:outline w:val="false"/>
                <w:shadow w:val="false"/>
                <w:color w:val="000000"/>
                <w:sz w:val="20"/>
                <w:szCs w:val="20"/>
                <w:u w:val="none"/>
                <w:em w:val="none"/>
              </w:rPr>
              <w:t>вид печенья: сахарное, фасовка : по согласованию с Заказчиком  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10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22</w:t>
            </w:r>
          </w:p>
        </w:tc>
        <w:tc>
          <w:tcPr>
            <w:tcW w:w="1996" w:type="dxa"/>
            <w:tcBorders>
              <w:left w:val="single" w:sz="4" w:space="0" w:color="000000"/>
              <w:bottom w:val="single" w:sz="4" w:space="0" w:color="000000"/>
            </w:tcBorders>
          </w:tcPr>
          <w:p>
            <w:pPr>
              <w:pStyle w:val="Normal"/>
              <w:tabs>
                <w:tab w:val="clear" w:pos="708"/>
              </w:tabs>
              <w:spacing w:before="0" w:after="200"/>
              <w:jc w:val="left"/>
              <w:rPr>
                <w:sz w:val="20"/>
                <w:szCs w:val="20"/>
              </w:rPr>
            </w:pPr>
            <w:r>
              <w:rPr>
                <w:sz w:val="20"/>
                <w:szCs w:val="20"/>
              </w:rPr>
              <w:t>Пряники</w:t>
            </w:r>
          </w:p>
        </w:tc>
        <w:tc>
          <w:tcPr>
            <w:tcW w:w="615" w:type="dxa"/>
            <w:tcBorders>
              <w:left w:val="single" w:sz="4" w:space="0" w:color="000000"/>
              <w:bottom w:val="single" w:sz="4" w:space="0" w:color="000000"/>
            </w:tcBorders>
          </w:tcPr>
          <w:p>
            <w:pPr>
              <w:pStyle w:val="Normal"/>
              <w:tabs>
                <w:tab w:val="clear" w:pos="708"/>
              </w:tabs>
              <w:spacing w:before="0" w:after="200"/>
              <w:jc w:val="left"/>
              <w:rPr>
                <w:sz w:val="20"/>
                <w:szCs w:val="20"/>
              </w:rPr>
            </w:pPr>
            <w:r>
              <w:rPr>
                <w:sz w:val="20"/>
                <w:szCs w:val="20"/>
              </w:rPr>
            </w:r>
          </w:p>
        </w:tc>
        <w:tc>
          <w:tcPr>
            <w:tcW w:w="3919" w:type="dxa"/>
            <w:tcBorders>
              <w:left w:val="single" w:sz="4" w:space="0" w:color="000000"/>
              <w:bottom w:val="single" w:sz="4" w:space="0" w:color="000000"/>
            </w:tcBorders>
          </w:tcPr>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Вид продукта по рецептуре : Без начинки ;мятные   Фасовка по  согласованию</w:t>
            </w:r>
          </w:p>
          <w:p>
            <w:pPr>
              <w:pStyle w:val="Normal"/>
              <w:tabs>
                <w:tab w:val="clear" w:pos="708"/>
              </w:tabs>
              <w:spacing w:before="0" w:after="200"/>
              <w:jc w:val="left"/>
              <w:rPr>
                <w:sz w:val="20"/>
                <w:szCs w:val="20"/>
              </w:rPr>
            </w:pPr>
            <w:r>
              <w:rPr>
                <w:rFonts w:ascii="PT Astra Serif" w:hAnsi="PT Astra Serif"/>
                <w:sz w:val="20"/>
                <w:szCs w:val="20"/>
              </w:rPr>
              <w:t>Происхождение Россия</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10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bl>
    <w:p>
      <w:pPr>
        <w:pStyle w:val="Normal"/>
        <w:jc w:val="center"/>
        <w:rPr>
          <w:sz w:val="18"/>
          <w:szCs w:val="18"/>
        </w:rPr>
      </w:pPr>
      <w:r>
        <w:rPr>
          <w:sz w:val="18"/>
          <w:szCs w:val="18"/>
        </w:rPr>
      </w:r>
    </w:p>
    <w:p>
      <w:pPr>
        <w:pStyle w:val="ConsPlusNormal1"/>
        <w:jc w:val="center"/>
        <w:rPr>
          <w:sz w:val="18"/>
          <w:szCs w:val="18"/>
        </w:rPr>
      </w:pPr>
      <w:r>
        <w:rPr>
          <w:sz w:val="18"/>
          <w:szCs w:val="18"/>
        </w:rPr>
      </w:r>
    </w:p>
    <w:p>
      <w:pPr>
        <w:pStyle w:val="ConsPlusNormal1"/>
        <w:jc w:val="center"/>
        <w:rPr>
          <w:sz w:val="18"/>
          <w:szCs w:val="18"/>
        </w:rPr>
      </w:pPr>
      <w:bookmarkStart w:id="23" w:name="P326"/>
      <w:bookmarkEnd w:id="23"/>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2"/>
        <w:gridCol w:w="4778"/>
      </w:tblGrid>
      <w:tr>
        <w:trPr/>
        <w:tc>
          <w:tcPr>
            <w:tcW w:w="5092" w:type="dxa"/>
            <w:tcBorders/>
          </w:tcPr>
          <w:p>
            <w:pPr>
              <w:pStyle w:val="ConsPlusNormal1"/>
              <w:widowControl w:val="false"/>
              <w:rPr>
                <w:sz w:val="18"/>
                <w:szCs w:val="18"/>
              </w:rPr>
            </w:pPr>
            <w:r>
              <w:rPr>
                <w:sz w:val="18"/>
                <w:szCs w:val="18"/>
              </w:rPr>
              <w:t>Заказчик:</w:t>
            </w:r>
          </w:p>
          <w:p>
            <w:pPr>
              <w:pStyle w:val="Normal"/>
              <w:widowControl w:val="false"/>
              <w:spacing w:lineRule="auto" w:line="240"/>
              <w:jc w:val="both"/>
              <w:rPr>
                <w:rFonts w:ascii="Times New Roman" w:hAnsi="Times New Roman"/>
                <w:sz w:val="18"/>
                <w:szCs w:val="18"/>
              </w:rPr>
            </w:pPr>
            <w:r>
              <w:rPr>
                <w:rFonts w:cs="Times New Roman" w:ascii="Times New Roman" w:hAnsi="Times New Roman"/>
                <w:sz w:val="18"/>
                <w:szCs w:val="18"/>
                <w:lang w:val="ru-RU"/>
              </w:rPr>
              <w:t>Муниципальное дошкольное образовательное учреждение</w:t>
            </w:r>
            <w:r>
              <w:rPr>
                <w:rFonts w:cs="Times New Roman" w:ascii="Times New Roman" w:hAnsi="Times New Roman"/>
                <w:sz w:val="18"/>
                <w:szCs w:val="18"/>
              </w:rPr>
              <w:t xml:space="preserve"> </w:t>
            </w:r>
            <w:r>
              <w:rPr>
                <w:rFonts w:cs="Times New Roman" w:ascii="Times New Roman" w:hAnsi="Times New Roman"/>
                <w:b/>
                <w:bCs/>
                <w:sz w:val="18"/>
                <w:szCs w:val="18"/>
              </w:rPr>
              <w:t>Нижнетимерсянский детский сад</w:t>
            </w:r>
            <w:r>
              <w:rPr>
                <w:rFonts w:cs="Times New Roman" w:ascii="Times New Roman" w:hAnsi="Times New Roman"/>
                <w:sz w:val="18"/>
                <w:szCs w:val="18"/>
              </w:rPr>
              <w:t xml:space="preserve">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Ульяновская область, Цильнинский район, с.Нижние Тимерсяны, ул. Советская, д. 8</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7322004330/КПП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 л/сч 03573223038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25393549</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ОГРН 1027301059092</w:t>
            </w:r>
          </w:p>
          <w:p>
            <w:pPr>
              <w:pStyle w:val="Normal"/>
              <w:widowControl w:val="false"/>
              <w:shd w:val="clear" w:fill="FFFFFF"/>
              <w:snapToGrid w:val="false"/>
              <w:spacing w:lineRule="auto" w:line="240"/>
              <w:jc w:val="left"/>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hyperlink r:id="rId17">
              <w:r>
                <w:rPr>
                  <w:rStyle w:val="Style6"/>
                  <w:rFonts w:ascii="Times New Roman" w:hAnsi="Times New Roman"/>
                  <w:b w:val="false"/>
                  <w:caps w:val="false"/>
                  <w:smallCaps w:val="false"/>
                  <w:sz w:val="18"/>
                  <w:szCs w:val="18"/>
                  <w:lang w:val="zxx"/>
                </w:rPr>
                <w:t>tnadivanova@mail.ru</w:t>
              </w:r>
            </w:hyperlink>
            <w:r>
              <w:rPr>
                <w:rFonts w:ascii="Times New Roman" w:hAnsi="Times New Roman"/>
                <w:b w:val="false"/>
                <w:caps w:val="false"/>
                <w:smallCaps w:val="false"/>
                <w:sz w:val="18"/>
                <w:szCs w:val="18"/>
                <w:lang w:val="zxx"/>
              </w:rPr>
              <w:t xml:space="preserve"> </w:t>
            </w:r>
            <w:r>
              <w:rPr>
                <w:rFonts w:cs="Times New Roman" w:ascii="Times New Roman" w:hAnsi="Times New Roman"/>
                <w:b w:val="false"/>
                <w:caps w:val="false"/>
                <w:smallCaps w:val="false"/>
                <w:sz w:val="18"/>
                <w:szCs w:val="18"/>
                <w:lang w:val="zxx"/>
              </w:rPr>
              <w:t>тел.88424540317</w:t>
            </w:r>
            <w:r>
              <w:rPr>
                <w:rFonts w:cs="Times New Roman" w:ascii="Times New Roman" w:hAnsi="Times New Roman"/>
                <w:b w:val="false"/>
                <w:caps w:val="false"/>
                <w:smallCaps w:val="false"/>
                <w:sz w:val="18"/>
                <w:szCs w:val="18"/>
                <w:lang w:val="ru-RU"/>
              </w:rPr>
              <w:t xml:space="preserve">; </w:t>
            </w:r>
            <w:r>
              <w:rPr>
                <w:rFonts w:cs="Times New Roman" w:ascii="Times New Roman" w:hAnsi="Times New Roman"/>
                <w:b w:val="false"/>
                <w:caps w:val="false"/>
                <w:smallCaps w:val="false"/>
                <w:sz w:val="18"/>
                <w:szCs w:val="18"/>
                <w:lang w:val="zxx"/>
              </w:rPr>
              <w:t>89020010526</w:t>
            </w:r>
          </w:p>
          <w:p>
            <w:pPr>
              <w:pStyle w:val="Normal"/>
              <w:widowControl w:val="false"/>
              <w:shd w:val="clear" w:fill="FFFFFF"/>
              <w:suppressAutoHyphens w:val="true"/>
              <w:snapToGrid w:val="false"/>
              <w:spacing w:lineRule="auto" w:line="240" w:before="0" w:after="200"/>
              <w:jc w:val="left"/>
              <w:rPr>
                <w:rFonts w:ascii="Times New Roman" w:hAnsi="Times New Roman"/>
                <w:sz w:val="18"/>
                <w:szCs w:val="18"/>
              </w:rPr>
            </w:pPr>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Заведующий                               Надиванова Т.В.</w:t>
            </w:r>
          </w:p>
          <w:p>
            <w:pPr>
              <w:pStyle w:val="Normal"/>
              <w:widowControl w:val="false"/>
              <w:overflowPunct w:val="true"/>
              <w:spacing w:lineRule="auto" w:line="240"/>
              <w:jc w:val="left"/>
              <w:textAlignment w:val="baseline"/>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8"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user4">
    <w:name w:val="Колонтитулы (user)"/>
    <w:basedOn w:val="Normal"/>
    <w:qFormat/>
    <w:pPr/>
    <w:rPr/>
  </w:style>
  <w:style w:type="paragraph" w:styleId="Style30">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39">
    <w:name w:val="Содержимое таблицы"/>
    <w:basedOn w:val="Normal"/>
    <w:qFormat/>
    <w:pPr>
      <w:widowControl w:val="false"/>
      <w:suppressLineNumbers/>
    </w:pPr>
    <w:rPr/>
  </w:style>
  <w:style w:type="paragraph" w:styleId="Style40">
    <w:name w:val="Заголовок таблицы"/>
    <w:basedOn w:val="Style39"/>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1">
    <w:name w:val="Текст"/>
    <w:basedOn w:val="Standard11"/>
    <w:qFormat/>
    <w:pPr>
      <w:suppressAutoHyphens w:val="true"/>
    </w:pPr>
    <w:rPr>
      <w:rFonts w:ascii="Courier New" w:hAnsi="Courier New" w:cs="Courier New"/>
    </w:rPr>
  </w:style>
  <w:style w:type="paragraph" w:styleId="user6">
    <w:name w:val="Текст (user)"/>
    <w:basedOn w:val="Standard1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tnadivanova@mail.ru" TargetMode="External"/><Relationship Id="rId17" Type="http://schemas.openxmlformats.org/officeDocument/2006/relationships/hyperlink" Target="mailto:tnadivanova@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179</TotalTime>
  <Application>LibreOffice/26.2.4.2$Windows_X86_64 LibreOffice_project/0229ac93fcf0d7cbc6376066c6f35021cef002dc</Application>
  <AppVersion>15.0000</AppVersion>
  <Pages>11</Pages>
  <Words>4732</Words>
  <Characters>33469</Characters>
  <CharactersWithSpaces>38251</CharactersWithSpaces>
  <Paragraphs>317</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2026-07-31T13:26:58Z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