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hanging="0" w:left="4536"/>
        <w:jc w:val="right"/>
        <w:rPr>
          <w:rFonts w:ascii="PT Serif" w:hAnsi="PT Serif"/>
          <w:sz w:val="24"/>
          <w:szCs w:val="24"/>
        </w:rPr>
      </w:pPr>
      <w:r>
        <w:rPr>
          <w:rFonts w:ascii="PT Serif" w:hAnsi="PT Serif"/>
          <w:sz w:val="24"/>
          <w:szCs w:val="24"/>
        </w:rPr>
        <w:t xml:space="preserve">Приложение № 5 </w:t>
      </w:r>
    </w:p>
    <w:p>
      <w:pPr>
        <w:pStyle w:val="Normal"/>
        <w:spacing w:lineRule="auto" w:line="240" w:before="0" w:after="0"/>
        <w:ind w:hanging="0" w:left="4536"/>
        <w:jc w:val="right"/>
        <w:rPr>
          <w:rFonts w:ascii="PT Serif" w:hAnsi="PT Serif"/>
          <w:sz w:val="24"/>
          <w:szCs w:val="24"/>
        </w:rPr>
      </w:pPr>
      <w:r>
        <w:rPr>
          <w:rFonts w:ascii="PT Serif" w:hAnsi="PT Serif"/>
          <w:sz w:val="24"/>
          <w:szCs w:val="24"/>
        </w:rPr>
        <w:t xml:space="preserve">к РЕГЛАМЕНТУ, утвержденного </w:t>
      </w:r>
      <w:r>
        <w:rPr>
          <w:rFonts w:cs="PT Serif" w:ascii="PT Serif" w:hAnsi="PT Serif"/>
          <w:sz w:val="24"/>
          <w:szCs w:val="24"/>
        </w:rPr>
        <w:t>приказом руководителя — главного эксперта</w:t>
      </w:r>
    </w:p>
    <w:p>
      <w:pPr>
        <w:pStyle w:val="Normal"/>
        <w:spacing w:lineRule="auto" w:line="240" w:before="0" w:after="0"/>
        <w:ind w:hanging="0" w:left="4536"/>
        <w:jc w:val="right"/>
        <w:rPr>
          <w:rFonts w:ascii="PT Serif" w:hAnsi="PT Serif"/>
          <w:sz w:val="24"/>
          <w:szCs w:val="24"/>
        </w:rPr>
      </w:pPr>
      <w:r>
        <w:rPr>
          <w:rFonts w:cs="PT Serif" w:ascii="PT Serif" w:hAnsi="PT Serif"/>
          <w:sz w:val="24"/>
          <w:szCs w:val="24"/>
        </w:rPr>
        <w:t>по медико-социальной экспертизе</w:t>
      </w:r>
    </w:p>
    <w:p>
      <w:pPr>
        <w:pStyle w:val="Normal"/>
        <w:spacing w:lineRule="auto" w:line="240" w:before="0" w:after="0"/>
        <w:ind w:hanging="0" w:left="4536"/>
        <w:jc w:val="right"/>
        <w:rPr>
          <w:rFonts w:ascii="PT Serif" w:hAnsi="PT Serif"/>
          <w:sz w:val="24"/>
          <w:szCs w:val="24"/>
        </w:rPr>
      </w:pPr>
      <w:r>
        <w:rPr>
          <w:rFonts w:eastAsia="Arial Unicode MS" w:cs="Times New Roman" w:ascii="PT Serif" w:hAnsi="PT Serif"/>
          <w:color w:val="000000"/>
          <w:sz w:val="24"/>
          <w:szCs w:val="24"/>
          <w:lang w:eastAsia="ru-RU" w:bidi="ru-RU"/>
        </w:rPr>
        <w:t>от ________________№ ________________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rFonts w:ascii="PT Serif" w:hAnsi="PT Serif"/>
          <w:b/>
          <w:bCs/>
          <w:sz w:val="28"/>
          <w:szCs w:val="28"/>
        </w:rPr>
        <w:t>Техническое задание</w:t>
      </w:r>
    </w:p>
    <w:tbl>
      <w:tblPr>
        <w:tblW w:w="9642" w:type="dxa"/>
        <w:jc w:val="left"/>
        <w:tblInd w:w="-1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0"/>
        <w:gridCol w:w="3045"/>
        <w:gridCol w:w="5847"/>
      </w:tblGrid>
      <w:tr>
        <w:trPr>
          <w:trHeight w:val="413" w:hRule="atLeast"/>
        </w:trPr>
        <w:tc>
          <w:tcPr>
            <w:tcW w:w="7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</w:rPr>
              <w:t>1.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Наименование и описание объекта закупки, ОКПД (КТРУ)</w:t>
            </w:r>
          </w:p>
        </w:tc>
        <w:tc>
          <w:tcPr>
            <w:tcW w:w="58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0" w:before="0" w:after="0"/>
              <w:jc w:val="center"/>
              <w:rPr>
                <w:rFonts w:ascii="PT Astra Serif" w:hAnsi="PT Astra Serif" w:eastAsia="Calibri" w:cs="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Закупка в сфере ИКТ: оказание услуг по предоставлению доступа к сети Интернет 3G / 4G</w:t>
            </w:r>
            <w:bookmarkStart w:id="0" w:name="_GoBack"/>
            <w:bookmarkEnd w:id="0"/>
          </w:p>
        </w:tc>
      </w:tr>
      <w:tr>
        <w:trPr>
          <w:trHeight w:val="413" w:hRule="atLeast"/>
        </w:trPr>
        <w:tc>
          <w:tcPr>
            <w:tcW w:w="7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</w:rPr>
              <w:t>2.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Количество/объем поставляемых товаров (выполняемых работ, оказываемых услуг)</w:t>
            </w:r>
          </w:p>
        </w:tc>
        <w:tc>
          <w:tcPr>
            <w:tcW w:w="58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PT Astra Serif" w:hAnsi="PT Astra Serif" w:eastAsia="Calibri" w:cs="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Предоставляемый объем трафика не менее 25гб.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PT Astra Serif" w:hAnsi="PT Astra Serif" w:eastAsia="Calibri" w:cs="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4"/>
                <w:szCs w:val="24"/>
                <w:lang w:val="ru-RU" w:eastAsia="en-US" w:bidi="ar-SA"/>
              </w:rPr>
              <w:t>Заказчик вправе в течение всего срока действия Контракта изменять количество используемых абонентских номеров (SIM-карт). Исполнитель обязан по запросу Заказчика предоставлять дополнительные SIM-карты (новые абонентские номера) либо прекращать обслуживание (блокировать) неиспользуемые SIM-карты.</w:t>
            </w:r>
          </w:p>
        </w:tc>
      </w:tr>
      <w:tr>
        <w:trPr>
          <w:trHeight w:val="888" w:hRule="atLeast"/>
        </w:trPr>
        <w:tc>
          <w:tcPr>
            <w:tcW w:w="7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</w:rPr>
              <w:t>3.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Требование к качеству  поставляемых товаров (выполняемых работ, оказываемых услуг)</w:t>
            </w:r>
          </w:p>
        </w:tc>
        <w:tc>
          <w:tcPr>
            <w:tcW w:w="58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45" w:hRule="atLeast"/>
        </w:trPr>
        <w:tc>
          <w:tcPr>
            <w:tcW w:w="7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</w:rPr>
              <w:t>4.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Требования к техническим характеристикам поставляемых товаров (выполняемых работ, оказываемых услуг)</w:t>
            </w:r>
          </w:p>
        </w:tc>
        <w:tc>
          <w:tcPr>
            <w:tcW w:w="58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PT Astra Serif" w:hAnsi="PT Astra Serif"/>
                <w:color w:themeColor="text1" w:val="000000"/>
                <w:sz w:val="24"/>
                <w:szCs w:val="24"/>
                <w:highlight w:val="none"/>
                <w:shd w:fill="FFFF00" w:val="clear"/>
              </w:rPr>
            </w:pPr>
            <w:r>
              <w:rPr>
                <w:rFonts w:ascii="PT Astra Serif" w:hAnsi="PT Astra Serif"/>
                <w:color w:themeColor="text1" w:val="000000"/>
                <w:sz w:val="24"/>
                <w:szCs w:val="24"/>
              </w:rPr>
              <w:t>Округление трафика осуществляется в большую сторону с точностью до 150 КБ. Трафик должн списываться по фактическому потреблению (не допускается деления на пропорционально количеству дней, оставшихся до конца текущего календарного месяца).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PT Astra Serif" w:hAnsi="PT Astra Serif"/>
                <w:color w:themeColor="text1" w:val="000000"/>
                <w:sz w:val="24"/>
                <w:szCs w:val="24"/>
                <w:highlight w:val="none"/>
                <w:shd w:fill="FFFF00" w:val="clear"/>
              </w:rPr>
            </w:pPr>
            <w:r>
              <w:rPr>
                <w:rFonts w:ascii="PT Astra Serif" w:hAnsi="PT Astra Serif"/>
                <w:color w:themeColor="text1" w:val="000000"/>
                <w:sz w:val="24"/>
                <w:szCs w:val="24"/>
              </w:rPr>
              <w:t>В случаях, когда лимит пакета услуг закончился, связь должна быть автоматически приостановлена (заблокирована) Не должно быть услуги в долг.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PT Astra Serif" w:hAnsi="PT Astra Serif"/>
                <w:color w:themeColor="text1" w:val="000000"/>
                <w:sz w:val="24"/>
                <w:szCs w:val="24"/>
                <w:highlight w:val="none"/>
                <w:shd w:fill="FFFF00" w:val="clear"/>
              </w:rPr>
            </w:pPr>
            <w:r>
              <w:rPr>
                <w:rFonts w:ascii="PT Astra Serif" w:hAnsi="PT Astra Serif"/>
                <w:color w:themeColor="text1" w:val="000000"/>
                <w:sz w:val="24"/>
                <w:szCs w:val="24"/>
              </w:rPr>
              <w:t>Организация канала для доступа в сеть Интернет со скоростью входящего/исходящего трафика не менее 3мбит/с</w:t>
            </w:r>
          </w:p>
        </w:tc>
      </w:tr>
      <w:tr>
        <w:trPr>
          <w:trHeight w:val="2787" w:hRule="atLeast"/>
        </w:trPr>
        <w:tc>
          <w:tcPr>
            <w:tcW w:w="7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</w:rPr>
              <w:t>5.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Требования к функциональным характеристикам (потребительским свойствам) поставляемых товаров (выполняемых работ, оказываемых услуг)</w:t>
            </w:r>
          </w:p>
        </w:tc>
        <w:tc>
          <w:tcPr>
            <w:tcW w:w="58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PT Astra Serif" w:hAnsi="PT Astra Serif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Наличие личного кабинета, вход в который должен осуществляться по логину и паролю.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PT Astra Serif" w:hAnsi="PT Astra Serif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Получение информации об используемых услугах связи, о балансе лицевого счета и платежах, иной информации, связанной с оказанием услуг связи без дополнительной платы;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PT Astra Serif" w:hAnsi="PT Astra Serif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Заказ детализации счета услуг связи без дополнительной платы;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PT Astra Serif" w:hAnsi="PT Astra Serif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Изменение перечня оказываемых услуг связи, тарифных планов, иных условий предусмотренных Исполнителем.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PT Astra Serif" w:hAnsi="PT Astra Serif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Возможность управления услугой посредсвом личного кабинета.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PT Astra Serif" w:hAnsi="PT Astra Serif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Блокировка, разблокировка SIM-карты по требованию Заказчика с момента обращения;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PT Astra Serif" w:hAnsi="PT Astra Serif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Сохранение тайны связи в соответствии с действующим законодательством Российской Федерации</w:t>
            </w:r>
          </w:p>
        </w:tc>
      </w:tr>
      <w:tr>
        <w:trPr>
          <w:trHeight w:val="400" w:hRule="atLeast"/>
        </w:trPr>
        <w:tc>
          <w:tcPr>
            <w:tcW w:w="7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</w:rPr>
              <w:t>6.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Требования к объему гарантий качества поставляемых товаров (выполняемых работ, оказываемых услуг)</w:t>
            </w:r>
          </w:p>
        </w:tc>
        <w:tc>
          <w:tcPr>
            <w:tcW w:w="58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BodyTextIndent"/>
              <w:widowControl w:val="false"/>
              <w:snapToGrid w:val="false"/>
              <w:spacing w:before="0" w:after="0"/>
              <w:ind w:hanging="0" w:left="0"/>
              <w:jc w:val="both"/>
              <w:rPr>
                <w:rFonts w:ascii="PT Astra Serif" w:hAnsi="PT Astra Serif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color w:val="auto"/>
                <w:sz w:val="24"/>
                <w:szCs w:val="24"/>
              </w:rPr>
              <w:t>Круглосуточная техническая поддержка;</w:t>
            </w:r>
          </w:p>
          <w:p>
            <w:pPr>
              <w:pStyle w:val="BodyTextIndent"/>
              <w:widowControl w:val="false"/>
              <w:snapToGrid w:val="false"/>
              <w:spacing w:before="0" w:after="0"/>
              <w:ind w:hanging="0" w:left="0"/>
              <w:jc w:val="both"/>
              <w:rPr>
                <w:rFonts w:ascii="PT Astra Serif" w:hAnsi="PT Astra Serif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color w:val="auto"/>
                <w:sz w:val="24"/>
                <w:szCs w:val="24"/>
              </w:rPr>
              <w:t>предоставление услуг по Контракту — круглосуточно;</w:t>
            </w:r>
          </w:p>
          <w:p>
            <w:pPr>
              <w:pStyle w:val="BodyTextIndent"/>
              <w:widowControl w:val="false"/>
              <w:snapToGrid w:val="false"/>
              <w:spacing w:before="0" w:after="0"/>
              <w:ind w:hanging="0" w:left="0"/>
              <w:jc w:val="both"/>
              <w:rPr>
                <w:rFonts w:ascii="PT Astra Serif" w:hAnsi="PT Astra Serif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color w:val="auto"/>
                <w:sz w:val="24"/>
                <w:szCs w:val="24"/>
              </w:rPr>
              <w:t>доступность сети за месяц от продолжительности месяца в часах - от 99,5 %;</w:t>
            </w:r>
          </w:p>
          <w:p>
            <w:pPr>
              <w:pStyle w:val="BodyTextIndent"/>
              <w:widowControl w:val="false"/>
              <w:snapToGrid w:val="false"/>
              <w:spacing w:before="0" w:after="0"/>
              <w:ind w:hanging="0" w:left="0"/>
              <w:jc w:val="both"/>
              <w:rPr>
                <w:rFonts w:ascii="PT Astra Serif" w:hAnsi="PT Astra Serif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color w:val="auto"/>
                <w:sz w:val="24"/>
                <w:szCs w:val="24"/>
              </w:rPr>
              <w:t>Технические показатели, характеризующие потерю пакетов информации, временные задержки при передаче пакетов информации, а также достоверность передачи информации установлены как динамические и могут изменяться в ходе оказания услуг и передачи абонентских данных, однако в любом случае услуги связи предоставляются Заказчику путем выделения максимально возможного в конкретной ситуации количества ресурсов сети Оператора для обеспечения стабильной связи.</w:t>
            </w:r>
          </w:p>
          <w:p>
            <w:pPr>
              <w:pStyle w:val="BodyTextIndent"/>
              <w:widowControl w:val="false"/>
              <w:snapToGrid w:val="false"/>
              <w:spacing w:before="0" w:after="0"/>
              <w:ind w:hanging="0" w:left="0"/>
              <w:jc w:val="both"/>
              <w:rPr>
                <w:rFonts w:ascii="PT Astra Serif" w:hAnsi="PT Astra Serif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color w:val="auto"/>
                <w:sz w:val="24"/>
                <w:szCs w:val="24"/>
              </w:rPr>
              <w:t>Телематические услуги должны оказываются Оператором в соответствии с техническими нормами, определяемыми в соответствии с действующими нормативными правовыми актами в области связи.</w:t>
            </w:r>
          </w:p>
        </w:tc>
      </w:tr>
      <w:tr>
        <w:trPr>
          <w:trHeight w:val="684" w:hRule="atLeast"/>
        </w:trPr>
        <w:tc>
          <w:tcPr>
            <w:tcW w:w="7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</w:rPr>
              <w:t>7.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  <w:spacing w:val="-4"/>
                <w:sz w:val="24"/>
                <w:szCs w:val="24"/>
              </w:rPr>
              <w:t xml:space="preserve">Место </w:t>
            </w: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поставки товаров (выполнения работ, оказания услуг)</w:t>
            </w:r>
          </w:p>
        </w:tc>
        <w:tc>
          <w:tcPr>
            <w:tcW w:w="58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80" w:leader="none"/>
                <w:tab w:val="left" w:pos="360" w:leader="none"/>
              </w:tabs>
              <w:spacing w:before="0" w:after="20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themeColor="text1" w:val="000000"/>
                <w:sz w:val="24"/>
                <w:szCs w:val="24"/>
              </w:rPr>
              <w:t>г. Иркутск, ул. Байкальская 206 (каб. 313).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80" w:leader="none"/>
                <w:tab w:val="left" w:pos="360" w:leader="none"/>
              </w:tabs>
              <w:spacing w:before="0" w:after="20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themeColor="text1" w:val="000000"/>
                <w:sz w:val="24"/>
                <w:szCs w:val="24"/>
              </w:rPr>
              <w:t>Доставка новых SIM-карт осуществляется курьером в офис заказчика.</w:t>
            </w:r>
          </w:p>
        </w:tc>
      </w:tr>
      <w:tr>
        <w:trPr>
          <w:trHeight w:val="684" w:hRule="atLeast"/>
        </w:trPr>
        <w:tc>
          <w:tcPr>
            <w:tcW w:w="7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</w:rPr>
              <w:t>8.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  <w:spacing w:val="-4"/>
                <w:sz w:val="24"/>
                <w:szCs w:val="24"/>
              </w:rPr>
              <w:t xml:space="preserve">Срок/периодичность </w:t>
            </w:r>
            <w:r>
              <w:rPr>
                <w:rFonts w:cs="Times New Roman" w:ascii="PT Serif" w:hAnsi="PT Serif"/>
                <w:b/>
                <w:color w:val="000000"/>
                <w:sz w:val="24"/>
                <w:szCs w:val="24"/>
              </w:rPr>
              <w:t>поставки товаров (выполнения работ, оказания услуг)</w:t>
            </w:r>
          </w:p>
        </w:tc>
        <w:tc>
          <w:tcPr>
            <w:tcW w:w="58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80" w:leader="none"/>
                <w:tab w:val="left" w:pos="360" w:leader="none"/>
              </w:tabs>
              <w:spacing w:before="0" w:after="20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Calibri" w:ascii="PT Astra Serif" w:hAnsi="PT Astra Serif"/>
                <w:color w:themeColor="text1" w:val="000000"/>
                <w:sz w:val="24"/>
                <w:szCs w:val="24"/>
                <w:highlight w:val="yellow"/>
                <w:lang w:eastAsia="en-US"/>
              </w:rPr>
              <w:t>Срок оказания услуг: 17 месяцев с момента заключения контакта.</w:t>
            </w:r>
          </w:p>
        </w:tc>
      </w:tr>
      <w:tr>
        <w:trPr>
          <w:trHeight w:val="1167" w:hRule="atLeast"/>
        </w:trPr>
        <w:tc>
          <w:tcPr>
            <w:tcW w:w="7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</w:rPr>
              <w:t>9.</w:t>
            </w:r>
          </w:p>
        </w:tc>
        <w:tc>
          <w:tcPr>
            <w:tcW w:w="30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color w:val="000000"/>
              </w:rPr>
            </w:pPr>
            <w:r>
              <w:rPr>
                <w:rFonts w:cs="Times New Roman" w:ascii="PT Serif" w:hAnsi="PT Serif"/>
                <w:b/>
                <w:color w:val="000000"/>
                <w:spacing w:val="-4"/>
                <w:sz w:val="24"/>
                <w:szCs w:val="24"/>
              </w:rPr>
              <w:t>Дополнительные требования/особые условия</w:t>
            </w:r>
          </w:p>
        </w:tc>
        <w:tc>
          <w:tcPr>
            <w:tcW w:w="584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BodyTextIndent"/>
              <w:widowControl w:val="false"/>
              <w:suppressAutoHyphens w:val="true"/>
              <w:bidi w:val="0"/>
              <w:snapToGrid w:val="false"/>
              <w:spacing w:before="0" w:after="0"/>
              <w:ind w:hanging="0" w:left="0"/>
              <w:jc w:val="both"/>
              <w:rPr>
                <w:rFonts w:ascii="PT Astra Serif" w:hAnsi="PT Astra Serif"/>
                <w:b w:val="false"/>
                <w:bCs w:val="false"/>
                <w:color w:val="auto"/>
                <w:kern w:val="0"/>
                <w:lang w:val="ru-RU" w:eastAsia="en-US" w:bidi="ar-SA"/>
              </w:rPr>
            </w:pPr>
            <w:r>
              <w:rPr>
                <w:rFonts w:ascii="PT Astra Serif" w:hAnsi="PT Astra Serif"/>
                <w:b w:val="false"/>
                <w:bCs w:val="false"/>
                <w:color w:val="auto"/>
                <w:kern w:val="0"/>
                <w:lang w:val="ru-RU" w:eastAsia="en-US" w:bidi="ar-SA"/>
              </w:rPr>
              <w:t>Оплата услуг осуществляется по авансовой системе расчетов. Заказчик перечисляет денежные средства на единый лицевой счет (уже существующий), открытый Исполнителем для Заказчика. Списание денежных средств с лицевого счета Заказчика производится Исполнителем по факту оказания услуг в соответствии с выбранным тарифным планамом.</w:t>
            </w:r>
          </w:p>
        </w:tc>
      </w:tr>
    </w:tbl>
    <w:p>
      <w:pPr>
        <w:pStyle w:val="Normal"/>
        <w:spacing w:before="240" w:after="200"/>
        <w:jc w:val="right"/>
        <w:rPr>
          <w:rFonts w:ascii="PT Serif" w:hAnsi="PT Serif" w:cs="Times New Roman"/>
          <w:color w:val="FF0000"/>
        </w:rPr>
      </w:pPr>
      <w:r>
        <w:rPr/>
      </w:r>
    </w:p>
    <w:p>
      <w:pPr>
        <w:pStyle w:val="Normal"/>
        <w:widowControl w:val="false"/>
        <w:spacing w:lineRule="atLeast" w:line="0" w:before="0" w:after="0"/>
        <w:jc w:val="center"/>
        <w:rPr>
          <w:rFonts w:ascii="PT Serif" w:hAnsi="PT Serif"/>
          <w:sz w:val="24"/>
          <w:szCs w:val="24"/>
        </w:rPr>
      </w:pPr>
      <w:r>
        <w:rPr>
          <w:rFonts w:ascii="PT Serif" w:hAnsi="PT Serif"/>
          <w:sz w:val="24"/>
          <w:szCs w:val="24"/>
        </w:rPr>
      </w:r>
    </w:p>
    <w:sectPr>
      <w:type w:val="nextPage"/>
      <w:pgSz w:w="11906" w:h="16838"/>
      <w:pgMar w:left="1701" w:right="395" w:gutter="0" w:header="0" w:top="1134" w:footer="0" w:bottom="851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PT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b7b80"/>
    <w:pPr>
      <w:widowControl/>
      <w:suppressAutoHyphens w:val="true"/>
      <w:bidi w:val="0"/>
      <w:spacing w:lineRule="auto" w:line="240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rsid w:val="0047548f"/>
    <w:pPr>
      <w:keepNext w:val="true"/>
      <w:spacing w:lineRule="auto" w:line="240"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  <w:lang w:eastAsia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firstLine="851" w:left="-851" w:right="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2"/>
      </w:numPr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_"/>
    <w:basedOn w:val="DefaultParagraphFont"/>
    <w:link w:val="21"/>
    <w:qFormat/>
    <w:rsid w:val="0024381c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f4f4c"/>
    <w:rPr>
      <w:sz w:val="16"/>
      <w:szCs w:val="16"/>
    </w:rPr>
  </w:style>
  <w:style w:type="character" w:styleId="Style10" w:customStyle="1">
    <w:name w:val="Текст примечания Знак"/>
    <w:basedOn w:val="DefaultParagraphFont"/>
    <w:uiPriority w:val="99"/>
    <w:semiHidden/>
    <w:qFormat/>
    <w:rsid w:val="006f4f4c"/>
    <w:rPr>
      <w:sz w:val="20"/>
      <w:szCs w:val="20"/>
    </w:rPr>
  </w:style>
  <w:style w:type="character" w:styleId="Style11" w:customStyle="1">
    <w:name w:val="Тема примечания Знак"/>
    <w:basedOn w:val="Style10"/>
    <w:link w:val="annotationsubject"/>
    <w:uiPriority w:val="99"/>
    <w:semiHidden/>
    <w:qFormat/>
    <w:rsid w:val="006f4f4c"/>
    <w:rPr>
      <w:b/>
      <w:bCs/>
      <w:sz w:val="20"/>
      <w:szCs w:val="20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6f4f4c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47548f"/>
    <w:rPr>
      <w:rFonts w:ascii="Calibri Light" w:hAnsi="Calibri Light" w:eastAsia="Times New Roman" w:cs="Times New Roman"/>
      <w:b/>
      <w:bCs/>
      <w:kern w:val="2"/>
      <w:sz w:val="32"/>
      <w:szCs w:val="32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40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 w:customStyle="1">
    <w:name w:val="Основной текст (2)"/>
    <w:basedOn w:val="Normal"/>
    <w:link w:val="2"/>
    <w:qFormat/>
    <w:rsid w:val="0024381c"/>
    <w:pPr>
      <w:widowControl w:val="false"/>
      <w:shd w:val="clear" w:color="auto" w:fill="FFFFFF"/>
      <w:spacing w:lineRule="exact" w:line="322" w:before="420" w:after="0"/>
      <w:ind w:hanging="70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7b13f1"/>
    <w:pPr>
      <w:spacing w:before="0" w:after="200"/>
      <w:ind w:hanging="0" w:left="720"/>
      <w:contextualSpacing/>
    </w:pPr>
    <w:rPr/>
  </w:style>
  <w:style w:type="paragraph" w:styleId="CommentText">
    <w:name w:val="annotation text"/>
    <w:basedOn w:val="Normal"/>
    <w:link w:val="Style10"/>
    <w:uiPriority w:val="99"/>
    <w:semiHidden/>
    <w:unhideWhenUsed/>
    <w:qFormat/>
    <w:rsid w:val="006f4f4c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1"/>
    <w:uiPriority w:val="99"/>
    <w:semiHidden/>
    <w:unhideWhenUsed/>
    <w:qFormat/>
    <w:rsid w:val="006f4f4c"/>
    <w:pPr/>
    <w:rPr>
      <w:b/>
      <w:bCs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6f4f4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user2" w:customStyle="1">
    <w:name w:val="Содержимое врезки (user)"/>
    <w:basedOn w:val="Normal"/>
    <w:qFormat/>
    <w:pPr/>
    <w:rPr/>
  </w:style>
  <w:style w:type="paragraph" w:styleId="user3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en-US" w:bidi="ar-SA"/>
    </w:rPr>
  </w:style>
  <w:style w:type="paragraph" w:styleId="BodyTextIndent">
    <w:name w:val="Body Text Indent"/>
    <w:basedOn w:val="Normal"/>
    <w:pPr>
      <w:spacing w:lineRule="auto" w:line="240" w:before="0" w:after="120"/>
      <w:ind w:hanging="0" w:left="283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qFormat/>
    <w:rsid w:val="00fa1a4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zh-CN" w:bidi="ar-SA"/>
    </w:rPr>
  </w:style>
  <w:style w:type="paragraph" w:styleId="ConsPlusTitle" w:customStyle="1">
    <w:name w:val="ConsPlusTitle"/>
    <w:qFormat/>
    <w:rsid w:val="00f64d47"/>
    <w:pPr>
      <w:widowControl w:val="false"/>
      <w:suppressAutoHyphens w:val="fals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22">
    <w:name w:val="Основной текст 2"/>
    <w:basedOn w:val="Normal"/>
    <w:qFormat/>
    <w:pPr/>
    <w:rPr>
      <w:sz w:val="28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39"/>
    <w:rsid w:val="007325e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Заголовок 1 Знак1"/>
    <w:basedOn w:val="a1"/>
    <w:uiPriority w:val="39"/>
    <w:rsid w:val="000017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D5BE9-5C53-4901-AF59-58109900D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3428</TotalTime>
  <Application>LibreOffice/25.2.6.2$Linux_X86_64 LibreOffice_project/520$Build-2</Application>
  <AppVersion>15.0000</AppVersion>
  <Pages>2</Pages>
  <Words>453</Words>
  <Characters>3319</Characters>
  <CharactersWithSpaces>3731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2023-04-03T08:27:00Z</dcterms:created>
  <dc:creator>Михайлова Оксана Борисовна</dc:creator>
  <dc:description/>
  <dc:language>ru-RU</dc:language>
  <cp:lastModifiedBy/>
  <cp:lastPrinted>2024-08-29T14:51:36Z</cp:lastPrinted>
  <dcterms:modified xsi:type="dcterms:W3CDTF">2026-08-07T08:39:18Z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