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4A2A7B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ГОТ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4A2A7B">
        <w:rPr>
          <w:b/>
          <w:bCs/>
          <w:color w:val="000000"/>
          <w:sz w:val="20"/>
          <w:szCs w:val="20"/>
        </w:rPr>
        <w:t>реактивов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12340B" w:rsidRPr="0012340B">
        <w:rPr>
          <w:b/>
          <w:sz w:val="20"/>
          <w:szCs w:val="20"/>
        </w:rPr>
        <w:t>120</w:t>
      </w:r>
      <w:r w:rsidR="00507F54" w:rsidRPr="0012340B">
        <w:rPr>
          <w:b/>
          <w:sz w:val="20"/>
          <w:szCs w:val="20"/>
        </w:rPr>
        <w:t xml:space="preserve"> (</w:t>
      </w:r>
      <w:r w:rsidR="0012340B" w:rsidRPr="0012340B">
        <w:rPr>
          <w:b/>
          <w:sz w:val="20"/>
          <w:szCs w:val="20"/>
        </w:rPr>
        <w:t>ста двадцати</w:t>
      </w:r>
      <w:r w:rsidR="000F3652" w:rsidRPr="0012340B">
        <w:rPr>
          <w:b/>
          <w:sz w:val="20"/>
          <w:szCs w:val="20"/>
        </w:rPr>
        <w:t xml:space="preserve">) </w:t>
      </w:r>
      <w:r w:rsidR="004A2A7B" w:rsidRPr="0012340B">
        <w:rPr>
          <w:b/>
          <w:sz w:val="20"/>
          <w:szCs w:val="20"/>
        </w:rPr>
        <w:t>календарных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4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3229"/>
        <w:gridCol w:w="4858"/>
        <w:gridCol w:w="1508"/>
        <w:gridCol w:w="1327"/>
        <w:gridCol w:w="579"/>
        <w:gridCol w:w="766"/>
        <w:gridCol w:w="1065"/>
        <w:gridCol w:w="1138"/>
      </w:tblGrid>
      <w:tr w:rsidR="00166FD1" w:rsidRPr="002345C9" w:rsidTr="002345C9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№ п/п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4A2A7B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bCs/>
                <w:sz w:val="20"/>
                <w:szCs w:val="20"/>
              </w:rPr>
            </w:pPr>
            <w:r w:rsidRPr="002345C9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C101BB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Стоимость с НДС, руб.</w:t>
            </w:r>
          </w:p>
        </w:tc>
      </w:tr>
      <w:tr w:rsidR="003B631C" w:rsidRPr="002345C9" w:rsidTr="002345C9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Метанол «ХЧ» (1л)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D127C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ТУ 20.14.22-003-62112778-2020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D1105B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20.14.22.111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</w:tr>
      <w:tr w:rsidR="003B631C" w:rsidRPr="002345C9" w:rsidTr="002345C9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63" w:rsidRPr="002345C9" w:rsidRDefault="00061263" w:rsidP="003B631C">
            <w:pPr>
              <w:jc w:val="center"/>
              <w:rPr>
                <w:sz w:val="20"/>
                <w:szCs w:val="20"/>
              </w:rPr>
            </w:pPr>
            <w:proofErr w:type="spellStart"/>
            <w:r w:rsidRPr="002345C9">
              <w:rPr>
                <w:sz w:val="20"/>
                <w:szCs w:val="20"/>
              </w:rPr>
              <w:t>Пиперазин</w:t>
            </w:r>
            <w:proofErr w:type="spellEnd"/>
            <w:r w:rsidRPr="002345C9">
              <w:rPr>
                <w:sz w:val="20"/>
                <w:szCs w:val="20"/>
              </w:rPr>
              <w:t>-</w:t>
            </w:r>
            <w:proofErr w:type="gramStart"/>
            <w:r w:rsidRPr="002345C9">
              <w:rPr>
                <w:sz w:val="20"/>
                <w:szCs w:val="20"/>
              </w:rPr>
              <w:t>N,N</w:t>
            </w:r>
            <w:proofErr w:type="gramEnd"/>
            <w:r w:rsidRPr="002345C9">
              <w:rPr>
                <w:sz w:val="20"/>
                <w:szCs w:val="20"/>
              </w:rPr>
              <w:t>'-бис(2-этансульфоновая кислота)</w:t>
            </w:r>
          </w:p>
          <w:p w:rsidR="00061263" w:rsidRPr="002345C9" w:rsidRDefault="00061263" w:rsidP="003B631C">
            <w:pPr>
              <w:jc w:val="center"/>
              <w:rPr>
                <w:sz w:val="20"/>
                <w:szCs w:val="20"/>
              </w:rPr>
            </w:pPr>
          </w:p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45C9">
              <w:rPr>
                <w:color w:val="000000"/>
                <w:sz w:val="20"/>
                <w:szCs w:val="20"/>
              </w:rPr>
              <w:t>Buffer</w:t>
            </w:r>
            <w:proofErr w:type="spellEnd"/>
            <w:r w:rsidRPr="002345C9">
              <w:rPr>
                <w:color w:val="000000"/>
                <w:sz w:val="20"/>
                <w:szCs w:val="20"/>
              </w:rPr>
              <w:t xml:space="preserve"> PIPES 99% (1 кг)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D127C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CAS 5625-37-6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A170CB" w:rsidP="00402CCA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20.59.52.19</w:t>
            </w:r>
            <w:r w:rsidR="00402CCA">
              <w:rPr>
                <w:b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</w:tr>
      <w:tr w:rsidR="003B631C" w:rsidRPr="002345C9" w:rsidTr="002345C9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63" w:rsidRPr="002345C9" w:rsidRDefault="00061263" w:rsidP="003B631C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2-(N-</w:t>
            </w:r>
            <w:proofErr w:type="spellStart"/>
            <w:proofErr w:type="gramStart"/>
            <w:r w:rsidRPr="002345C9">
              <w:rPr>
                <w:sz w:val="20"/>
                <w:szCs w:val="20"/>
              </w:rPr>
              <w:t>морфолино</w:t>
            </w:r>
            <w:proofErr w:type="spellEnd"/>
            <w:r w:rsidRPr="002345C9">
              <w:rPr>
                <w:sz w:val="20"/>
                <w:szCs w:val="20"/>
              </w:rPr>
              <w:t>)</w:t>
            </w:r>
            <w:proofErr w:type="spellStart"/>
            <w:r w:rsidRPr="002345C9">
              <w:rPr>
                <w:sz w:val="20"/>
                <w:szCs w:val="20"/>
              </w:rPr>
              <w:t>этансульфоновая</w:t>
            </w:r>
            <w:proofErr w:type="spellEnd"/>
            <w:proofErr w:type="gramEnd"/>
            <w:r w:rsidRPr="002345C9">
              <w:rPr>
                <w:sz w:val="20"/>
                <w:szCs w:val="20"/>
              </w:rPr>
              <w:t xml:space="preserve"> кислота </w:t>
            </w:r>
          </w:p>
          <w:p w:rsidR="00061263" w:rsidRPr="002345C9" w:rsidRDefault="00061263" w:rsidP="003B631C">
            <w:pPr>
              <w:jc w:val="center"/>
              <w:rPr>
                <w:sz w:val="20"/>
                <w:szCs w:val="20"/>
              </w:rPr>
            </w:pPr>
          </w:p>
          <w:p w:rsidR="003B631C" w:rsidRPr="0012340B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45C9">
              <w:rPr>
                <w:color w:val="000000"/>
                <w:sz w:val="20"/>
                <w:szCs w:val="20"/>
                <w:lang w:val="en-US"/>
              </w:rPr>
              <w:t>Morpholino</w:t>
            </w:r>
            <w:proofErr w:type="spellEnd"/>
            <w:r w:rsidRPr="0012340B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345C9">
              <w:rPr>
                <w:color w:val="000000"/>
                <w:sz w:val="20"/>
                <w:szCs w:val="20"/>
                <w:lang w:val="en-US"/>
              </w:rPr>
              <w:t>ethanesulfonic</w:t>
            </w:r>
            <w:proofErr w:type="spellEnd"/>
            <w:r w:rsidRPr="0012340B">
              <w:rPr>
                <w:color w:val="000000"/>
                <w:sz w:val="20"/>
                <w:szCs w:val="20"/>
              </w:rPr>
              <w:t xml:space="preserve"> </w:t>
            </w:r>
            <w:r w:rsidRPr="002345C9">
              <w:rPr>
                <w:color w:val="000000"/>
                <w:sz w:val="20"/>
                <w:szCs w:val="20"/>
                <w:lang w:val="en-US"/>
              </w:rPr>
              <w:t>acid</w:t>
            </w:r>
            <w:r w:rsidRPr="0012340B">
              <w:rPr>
                <w:color w:val="000000"/>
                <w:sz w:val="20"/>
                <w:szCs w:val="20"/>
              </w:rPr>
              <w:t xml:space="preserve"> (</w:t>
            </w:r>
            <w:r w:rsidRPr="002345C9">
              <w:rPr>
                <w:color w:val="000000"/>
                <w:sz w:val="20"/>
                <w:szCs w:val="20"/>
                <w:lang w:val="en-US"/>
              </w:rPr>
              <w:t>MES</w:t>
            </w:r>
            <w:r w:rsidRPr="0012340B">
              <w:rPr>
                <w:color w:val="000000"/>
                <w:sz w:val="20"/>
                <w:szCs w:val="20"/>
              </w:rPr>
              <w:t xml:space="preserve">) (1 </w:t>
            </w:r>
            <w:r w:rsidRPr="002345C9">
              <w:rPr>
                <w:color w:val="000000"/>
                <w:sz w:val="20"/>
                <w:szCs w:val="20"/>
              </w:rPr>
              <w:t>кг</w:t>
            </w:r>
            <w:r w:rsidRPr="001234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D127CC" w:rsidP="00D127C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CAS 4432-31-9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A170CB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20.59.52.19</w:t>
            </w:r>
            <w:r w:rsidR="00402CCA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</w:tr>
      <w:tr w:rsidR="003B631C" w:rsidRPr="002345C9" w:rsidTr="002345C9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2345C9" w:rsidP="003B63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345C9">
              <w:rPr>
                <w:color w:val="000000"/>
                <w:sz w:val="20"/>
                <w:szCs w:val="20"/>
              </w:rPr>
              <w:t>Реактив</w:t>
            </w:r>
            <w:r w:rsidRPr="002345C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127CC" w:rsidRPr="002345C9">
              <w:rPr>
                <w:color w:val="000000"/>
                <w:sz w:val="20"/>
                <w:szCs w:val="20"/>
                <w:lang w:val="en-US"/>
              </w:rPr>
              <w:t xml:space="preserve">SIGMAFAST PROTEASE INHIBITOR TABLETS GEN (20 </w:t>
            </w:r>
            <w:proofErr w:type="spellStart"/>
            <w:r w:rsidR="00D127CC" w:rsidRPr="002345C9">
              <w:rPr>
                <w:color w:val="000000"/>
                <w:sz w:val="20"/>
                <w:szCs w:val="20"/>
              </w:rPr>
              <w:t>табл</w:t>
            </w:r>
            <w:proofErr w:type="spellEnd"/>
            <w:r w:rsidR="00D127CC" w:rsidRPr="002345C9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31" w:type="dxa"/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2693"/>
            </w:tblGrid>
            <w:tr w:rsidR="00D127CC" w:rsidRPr="002345C9" w:rsidTr="00061263">
              <w:trPr>
                <w:trHeight w:val="300"/>
              </w:trPr>
              <w:tc>
                <w:tcPr>
                  <w:tcW w:w="2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Таблетки</w:t>
                  </w:r>
                </w:p>
              </w:tc>
            </w:tr>
            <w:tr w:rsidR="00D127CC" w:rsidRPr="002345C9" w:rsidTr="00061263">
              <w:trPr>
                <w:trHeight w:val="300"/>
              </w:trPr>
              <w:tc>
                <w:tcPr>
                  <w:tcW w:w="2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Растворимость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вода: 1 таблетка/100мл</w:t>
                  </w:r>
                </w:p>
              </w:tc>
            </w:tr>
            <w:tr w:rsidR="00D127CC" w:rsidRPr="002345C9" w:rsidTr="00061263">
              <w:trPr>
                <w:trHeight w:val="300"/>
              </w:trPr>
              <w:tc>
                <w:tcPr>
                  <w:tcW w:w="2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Хранение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2-8°C</w:t>
                  </w:r>
                </w:p>
              </w:tc>
            </w:tr>
            <w:tr w:rsidR="00D127CC" w:rsidRPr="002345C9" w:rsidTr="00061263">
              <w:trPr>
                <w:trHeight w:val="300"/>
              </w:trPr>
              <w:tc>
                <w:tcPr>
                  <w:tcW w:w="2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 xml:space="preserve">Компоненты, входящие в состав таблетки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 xml:space="preserve">AEBSF, E-64, </w:t>
                  </w:r>
                  <w:proofErr w:type="spellStart"/>
                  <w:r w:rsidRPr="002345C9">
                    <w:rPr>
                      <w:color w:val="000000"/>
                      <w:sz w:val="20"/>
                      <w:szCs w:val="20"/>
                    </w:rPr>
                    <w:t>бестатин</w:t>
                  </w:r>
                  <w:proofErr w:type="spellEnd"/>
                  <w:r w:rsidRPr="002345C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345C9">
                    <w:rPr>
                      <w:color w:val="000000"/>
                      <w:sz w:val="20"/>
                      <w:szCs w:val="20"/>
                    </w:rPr>
                    <w:t>лейпептин</w:t>
                  </w:r>
                  <w:proofErr w:type="spellEnd"/>
                  <w:r w:rsidRPr="002345C9">
                    <w:rPr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2345C9">
                    <w:rPr>
                      <w:color w:val="000000"/>
                      <w:sz w:val="20"/>
                      <w:szCs w:val="20"/>
                    </w:rPr>
                    <w:t>апротинин</w:t>
                  </w:r>
                  <w:proofErr w:type="spellEnd"/>
                  <w:r w:rsidRPr="002345C9">
                    <w:rPr>
                      <w:color w:val="000000"/>
                      <w:sz w:val="20"/>
                      <w:szCs w:val="20"/>
                    </w:rPr>
                    <w:t>, ЭДТА</w:t>
                  </w:r>
                </w:p>
              </w:tc>
            </w:tr>
            <w:tr w:rsidR="00D127CC" w:rsidRPr="002345C9" w:rsidTr="00061263">
              <w:trPr>
                <w:trHeight w:val="300"/>
              </w:trPr>
              <w:tc>
                <w:tcPr>
                  <w:tcW w:w="2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 xml:space="preserve">Артикул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127CC" w:rsidRPr="002345C9" w:rsidRDefault="00D127CC" w:rsidP="00D127C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345C9">
                    <w:rPr>
                      <w:color w:val="000000"/>
                      <w:sz w:val="20"/>
                      <w:szCs w:val="20"/>
                    </w:rPr>
                    <w:t>S8820-20TAB</w:t>
                  </w:r>
                </w:p>
              </w:tc>
            </w:tr>
          </w:tbl>
          <w:p w:rsidR="003B631C" w:rsidRPr="002345C9" w:rsidRDefault="003B631C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1C" w:rsidRPr="002345C9" w:rsidRDefault="00A170CB" w:rsidP="003B631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345C9">
              <w:rPr>
                <w:b w:val="0"/>
                <w:sz w:val="20"/>
                <w:szCs w:val="20"/>
              </w:rPr>
              <w:t>20.59.52.19</w:t>
            </w:r>
            <w:r w:rsidR="00402CCA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1C" w:rsidRPr="002345C9" w:rsidRDefault="003B631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31C" w:rsidRPr="002345C9" w:rsidRDefault="00D127CC" w:rsidP="003B631C">
            <w:pPr>
              <w:jc w:val="center"/>
              <w:rPr>
                <w:color w:val="000000"/>
                <w:sz w:val="20"/>
                <w:szCs w:val="20"/>
              </w:rPr>
            </w:pPr>
            <w:r w:rsidRPr="002345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31C" w:rsidRPr="002345C9" w:rsidRDefault="003B631C" w:rsidP="003B631C">
            <w:pPr>
              <w:jc w:val="center"/>
              <w:rPr>
                <w:sz w:val="20"/>
                <w:szCs w:val="20"/>
              </w:rPr>
            </w:pPr>
          </w:p>
        </w:tc>
      </w:tr>
      <w:tr w:rsidR="00166FD1" w:rsidRPr="002345C9" w:rsidTr="002345C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  <w:r w:rsidRPr="002345C9">
              <w:rPr>
                <w:sz w:val="20"/>
                <w:szCs w:val="20"/>
              </w:rPr>
              <w:t>Итого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FD1" w:rsidRPr="002345C9" w:rsidRDefault="00166FD1" w:rsidP="00D46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2CCA">
      <w:rPr>
        <w:rStyle w:val="a4"/>
        <w:noProof/>
      </w:rPr>
      <w:t>5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810F3"/>
    <w:rsid w:val="000A5E3A"/>
    <w:rsid w:val="000A6D68"/>
    <w:rsid w:val="000B6ABD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973F7"/>
    <w:rsid w:val="003A5E46"/>
    <w:rsid w:val="003A667E"/>
    <w:rsid w:val="003B631C"/>
    <w:rsid w:val="003C008A"/>
    <w:rsid w:val="003D17E1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6219"/>
    <w:rsid w:val="00B15E07"/>
    <w:rsid w:val="00B46924"/>
    <w:rsid w:val="00B5583A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939A9"/>
    <w:rsid w:val="00EA0C3C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DA711A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A004-7771-450C-BCB3-722E3D7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5</Pages>
  <Words>1472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12167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59</cp:revision>
  <cp:lastPrinted>2026-01-23T08:25:00Z</cp:lastPrinted>
  <dcterms:created xsi:type="dcterms:W3CDTF">2025-02-19T04:24:00Z</dcterms:created>
  <dcterms:modified xsi:type="dcterms:W3CDTF">2026-05-22T06:33:00Z</dcterms:modified>
</cp:coreProperties>
</file>