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start="0" w:end="0"/>
        <w:jc w:val="end"/>
        <w:rPr>
          <w:rFonts w:ascii="Times New Roman" w:hAnsi="Times New Roman"/>
          <w:color w:val="000000"/>
          <w:sz w:val="24"/>
          <w:szCs w:val="24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Приложение № 5 </w:t>
      </w:r>
    </w:p>
    <w:p>
      <w:pPr>
        <w:pStyle w:val="Normal"/>
        <w:bidi w:val="0"/>
        <w:spacing w:lineRule="auto" w:line="240" w:before="0" w:after="0"/>
        <w:ind w:hanging="0" w:start="4536" w:end="0"/>
        <w:jc w:val="end"/>
        <w:rPr>
          <w:rFonts w:ascii="Times New Roman" w:hAnsi="Times New Roman"/>
          <w:color w:val="000000"/>
          <w:sz w:val="24"/>
          <w:szCs w:val="24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к РЕГЛАМЕНТУ, утвержденного </w:t>
      </w:r>
      <w:r>
        <w:rPr>
          <w:rFonts w:cs="PT Serif" w:ascii="Times New Roman" w:hAnsi="Times New Roman"/>
          <w:color w:val="000000"/>
          <w:sz w:val="24"/>
          <w:szCs w:val="24"/>
          <w:shd w:fill="auto" w:val="clear"/>
        </w:rPr>
        <w:t xml:space="preserve">приказом </w:t>
      </w:r>
    </w:p>
    <w:p>
      <w:pPr>
        <w:pStyle w:val="Normal"/>
        <w:bidi w:val="0"/>
        <w:spacing w:lineRule="auto" w:line="240" w:before="0" w:after="0"/>
        <w:ind w:hanging="0" w:start="4536" w:end="0"/>
        <w:jc w:val="end"/>
        <w:rPr>
          <w:rFonts w:ascii="Times New Roman" w:hAnsi="Times New Roman" w:cs="PT Serif"/>
          <w:color w:val="000000"/>
          <w:sz w:val="24"/>
          <w:szCs w:val="24"/>
          <w:shd w:fill="auto" w:val="clear"/>
        </w:rPr>
      </w:pPr>
      <w:r>
        <w:rPr>
          <w:rFonts w:cs="PT Serif" w:ascii="Times New Roman" w:hAnsi="Times New Roman"/>
          <w:color w:val="000000"/>
          <w:sz w:val="24"/>
          <w:szCs w:val="24"/>
          <w:shd w:fill="auto" w:val="clear"/>
        </w:rPr>
        <w:t>руководителя — главного эксперта</w:t>
      </w:r>
    </w:p>
    <w:p>
      <w:pPr>
        <w:pStyle w:val="Normal"/>
        <w:bidi w:val="0"/>
        <w:spacing w:lineRule="auto" w:line="240" w:before="0" w:after="0"/>
        <w:ind w:hanging="0" w:start="4536" w:end="0"/>
        <w:jc w:val="end"/>
        <w:rPr>
          <w:rFonts w:ascii="Times New Roman" w:hAnsi="Times New Roman" w:cs="PT Serif"/>
          <w:color w:val="000000"/>
          <w:sz w:val="24"/>
          <w:szCs w:val="24"/>
          <w:shd w:fill="auto" w:val="clear"/>
        </w:rPr>
      </w:pPr>
      <w:r>
        <w:rPr>
          <w:rFonts w:cs="PT Serif" w:ascii="Times New Roman" w:hAnsi="Times New Roman"/>
          <w:color w:val="000000"/>
          <w:sz w:val="24"/>
          <w:szCs w:val="24"/>
          <w:shd w:fill="auto" w:val="clear"/>
        </w:rPr>
        <w:t>по медико-социальной экспертизе</w:t>
      </w:r>
    </w:p>
    <w:p>
      <w:pPr>
        <w:pStyle w:val="Normal"/>
        <w:bidi w:val="0"/>
        <w:spacing w:lineRule="auto" w:line="240" w:before="0" w:after="0"/>
        <w:ind w:hanging="0" w:start="4536" w:end="0"/>
        <w:jc w:val="end"/>
        <w:rPr>
          <w:rFonts w:ascii="Times New Roman" w:hAnsi="Times New Roman" w:eastAsia="Arial Unicode MS" w:cs="Times New Roman"/>
          <w:b w:val="false"/>
          <w:bCs w:val="false"/>
          <w:color w:val="000000"/>
          <w:sz w:val="24"/>
          <w:szCs w:val="24"/>
          <w:shd w:fill="auto" w:val="clear"/>
          <w:lang w:eastAsia="ru-RU" w:bidi="ru-RU"/>
        </w:rPr>
      </w:pPr>
      <w:r>
        <w:rPr>
          <w:rFonts w:eastAsia="Arial Unicode MS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eastAsia="ru-RU" w:bidi="ru-RU"/>
        </w:rPr>
        <w:t>от 05.06.2024 № 74-хд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Техническое задание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</w:r>
    </w:p>
    <w:tbl>
      <w:tblPr>
        <w:tblW w:w="10620" w:type="dxa"/>
        <w:jc w:val="start"/>
        <w:tblInd w:w="-44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90"/>
        <w:gridCol w:w="2040"/>
        <w:gridCol w:w="8190"/>
      </w:tblGrid>
      <w:tr>
        <w:trPr>
          <w:trHeight w:val="788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1.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Наименование и описание объекта закупки,</w:t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ОКПД (КТРУ)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ConsPlusNormal"/>
              <w:widowControl w:val="false"/>
              <w:spacing w:before="0" w:after="0"/>
              <w:ind w:hanging="0" w:start="0" w:end="0"/>
              <w:jc w:val="both"/>
              <w:rPr/>
            </w:pPr>
            <w:r>
              <w:rPr>
                <w:rStyle w:val="Hyperlink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1"/>
                <w:szCs w:val="21"/>
                <w:u w:val="none"/>
                <w:effect w:val="none"/>
                <w:shd w:fill="auto" w:val="clear"/>
                <w:lang w:val="ru-RU" w:eastAsia="en-US" w:bidi="ar-SA"/>
              </w:rPr>
              <w:t xml:space="preserve">Оказание услуг </w:t>
            </w:r>
            <w:r>
              <w:rPr>
                <w:rStyle w:val="Hyperlink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1"/>
                <w:szCs w:val="21"/>
                <w:u w:val="none"/>
                <w:effect w:val="none"/>
                <w:shd w:fill="auto" w:val="clear"/>
                <w:lang w:val="ru-RU" w:eastAsia="en-US" w:bidi="ar-SA"/>
              </w:rPr>
              <w:t>по замене и активации блоков СКЗИ и калибровке тахографов</w:t>
            </w:r>
          </w:p>
          <w:p>
            <w:pPr>
              <w:pStyle w:val="ConsPlusNormal"/>
              <w:widowControl w:val="false"/>
              <w:spacing w:before="0" w:after="0"/>
              <w:ind w:hanging="0" w:start="0" w:end="0"/>
              <w:jc w:val="both"/>
              <w:rPr/>
            </w:pPr>
            <w:hyperlink r:id="rId2" w:tgtFrame="_blank">
              <w:r>
                <w:rPr>
                  <w:rStyle w:val="Hyperlink"/>
                  <w:rFonts w:cs="Times New Roman" w:ascii="Times New Roman" w:hAnsi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1"/>
                  <w:szCs w:val="21"/>
                  <w:u w:val="none"/>
                  <w:effect w:val="none"/>
                  <w:shd w:fill="auto" w:val="clear"/>
                  <w:lang w:val="ru-RU" w:eastAsia="en-US" w:bidi="ar-SA"/>
                </w:rPr>
                <w:t>45.20.20.000</w:t>
              </w:r>
            </w:hyperlink>
          </w:p>
        </w:tc>
      </w:tr>
      <w:tr>
        <w:trPr>
          <w:trHeight w:val="659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2.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Количество/объем  оказываемых услуг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  <w:t xml:space="preserve">Замене и активации блоков СКЗИ и калибровке подлежат тахографы установленные на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  <w:t>транспортные средства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  <w:t>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Ford TRANSIT, гос. номер Р 879 КА 138 (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г.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Иркутск);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ГАЗ 32212, гос. номер О 637 В0 138 (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г.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Иркутск);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shd w:fill="auto" w:val="clear"/>
              </w:rPr>
              <w:t xml:space="preserve">ГАЗ 32212,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гос. номер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А 632 ВК 138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(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г.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Иркутск);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shd w:fill="auto" w:val="clear"/>
              </w:rPr>
              <w:t xml:space="preserve">ГАЗ 32212,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гос. номер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А 630 ВК 138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(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г. Братск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shd w:fill="auto" w:val="clear"/>
              </w:rPr>
              <w:t xml:space="preserve">ГАЗ 32212,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гос. номер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 xml:space="preserve">А 659 ВК 138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(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г. Черемхово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shd w:fill="auto" w:val="clear"/>
                <w:lang w:val="ru-RU" w:eastAsia="ru-RU" w:bidi="ar-SA"/>
              </w:rPr>
              <w:t>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14"/>
                <w:szCs w:val="1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14"/>
                <w:szCs w:val="1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left" w:pos="-300" w:leader="none"/>
                <w:tab w:val="left" w:pos="437" w:leader="none"/>
                <w:tab w:val="left" w:pos="895" w:leader="none"/>
                <w:tab w:val="left" w:pos="1259" w:leader="none"/>
                <w:tab w:val="left" w:pos="1401" w:leader="none"/>
              </w:tabs>
              <w:bidi w:val="0"/>
              <w:spacing w:lineRule="auto" w:line="240" w:before="0" w:after="3"/>
              <w:ind w:hanging="0" w:start="-170" w:end="113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Виды работ: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 xml:space="preserve"> Демонтаж тахографа с ТС;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 w:end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2. Монтаж тахографа на ТС;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 w:end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3. Деактивация старого блока СКЗИ;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 w:end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4. Активация нового блока СКЗИ;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5. Калибровка (настройка) тахографа;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 w:end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1.6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. Опломбирование тахографа;</w:t>
            </w:r>
          </w:p>
          <w:p>
            <w:pPr>
              <w:pStyle w:val="19"/>
              <w:numPr>
                <w:ilvl w:val="0"/>
                <w:numId w:val="0"/>
              </w:numPr>
              <w:tabs>
                <w:tab w:val="left" w:pos="-300" w:leader="none"/>
                <w:tab w:val="left" w:pos="437" w:leader="none"/>
                <w:tab w:val="left" w:pos="895" w:leader="none"/>
                <w:tab w:val="left" w:pos="1259" w:leader="none"/>
                <w:tab w:val="left" w:pos="1401" w:leader="none"/>
              </w:tabs>
              <w:bidi w:val="0"/>
              <w:spacing w:lineRule="auto" w:line="240" w:before="0" w:after="0"/>
              <w:ind w:hanging="0" w:start="57" w:end="113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1.7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. Распечатка установочной таблички.</w:t>
            </w:r>
          </w:p>
        </w:tc>
      </w:tr>
      <w:tr>
        <w:trPr>
          <w:trHeight w:val="888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3.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Требование к качеству   оказываемых услуг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19"/>
              <w:tabs>
                <w:tab w:val="left" w:pos="-850" w:leader="none"/>
                <w:tab w:val="left" w:pos="-113" w:leader="none"/>
                <w:tab w:val="left" w:pos="345" w:leader="none"/>
                <w:tab w:val="left" w:pos="709" w:leader="none"/>
                <w:tab w:val="left" w:pos="851" w:leader="none"/>
              </w:tabs>
              <w:bidi w:val="0"/>
              <w:spacing w:lineRule="auto" w:line="240" w:before="0" w:after="0"/>
              <w:ind w:hanging="0" w:start="0" w:end="113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1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 xml:space="preserve">.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 xml:space="preserve">Калибровка (настройка) должна быть выполнена на период не менее 3 лет и подтверждаться клеймом, сертификатом, либо иными документами. 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2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. 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Обслуживание выполняется согласно правилам указанных в Приложение 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№ 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4 к </w:t>
            </w:r>
            <w:hyperlink w:anchor="sub_0">
              <w:r>
                <w:rPr>
                  <w:rStyle w:val="Style"/>
                  <w:rFonts w:ascii="Times New Roman" w:hAnsi="Times New Roman"/>
                  <w:b w:val="false"/>
                  <w:bCs/>
                  <w:color w:val="000000"/>
                  <w:sz w:val="21"/>
                  <w:szCs w:val="21"/>
                  <w:shd w:fill="auto" w:val="clear"/>
                </w:rPr>
                <w:t>Приказу</w:t>
              </w:r>
            </w:hyperlink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 Минтранса России от 28 октября 2020 г. 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№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 440</w:t>
            </w:r>
            <w:hyperlink r:id="rId3">
              <w:r>
                <w:rPr>
                  <w:rStyle w:val="Style"/>
                  <w:rFonts w:ascii="Times New Roman" w:hAnsi="Times New Roman"/>
                  <w:b w:val="false"/>
                  <w:bCs w:val="false"/>
                  <w:color w:val="000000"/>
                  <w:sz w:val="21"/>
                  <w:szCs w:val="21"/>
                  <w:shd w:fill="auto" w:val="clear"/>
                </w:rPr>
                <w:t xml:space="preserve"> 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        </w:r>
            </w:hyperlink>
            <w:r>
              <w:rPr>
                <w:rFonts w:ascii="Times New Roman" w:hAnsi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  <w:t>»</w:t>
            </w:r>
            <w:r>
              <w:rPr>
                <w:rStyle w:val="Style23"/>
                <w:rFonts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3</w:t>
            </w: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. </w:t>
            </w: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Тахограф и блок СКЗИ должны метрологически поверенными Федеральным агентством по техническому регулированию и метрологии.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4</w:t>
            </w: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. Исполнитель должен соответствовать требованиям: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Приказа ФСБ РФ от 9 февраля 2005 г. № 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5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 xml:space="preserve">.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Исполнитель должен иметь (и предоставить заверенные копии):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Лицензию, выданную Управлением ФСБ России, на осуществление работ по защите информации (не содержащей сведений, составляющих государственную тайну) с использованием шифровальных (криптографических) средств, а именно: монтаж, установка (инсталляция), наладка шифровальных (криптографических) средств; работы по обслуживанию шифровальных (криптографических) средств, предусмотренные технической и эксплуатационной документацией на эти средства; передача шифровальных (криптографических) средств. Адрес места нахождения и места осуществления лицензируемого вида деятельности должен находится в Иркутской области;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Уведомление Федерального бюджетного учреждения «Агентство автомобильного транспорта» об учёте Поставщика в перечне мастерских, осуществляющих деятельность  по установке, проверке, техническому обслуживанию и ремонту тахографов с присвоением регистрационного номера РФ;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Уведомление Федерального агентства по техническому регулированию и метрологии о работе Исполнителя с метрологией с отметкой агентства;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Лицензию, выданную федеральной службой по надзору в сфере связи, информационных технологий и массовых коммуникаций, на оказание телематических услуг связи;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Лицензию, выданную федеральной службой по надзору в сфере связи, информационных технологий и массовых коммуникаций, на оказание услуг связи по передаче данных, за исключением услуг связи по передаче данных для целей передачи голосовой информации;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tLeast" w:line="240" w:before="0" w:after="20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 Сертификат соответствия услуг технического обслуживания легковых автомобилей, ремонт легковых автомобилей, техническое обслуживание грузовых автомобилей и автобусов, ремонт грузовых автомобилей и автобусов, прочие услуги по ТО и Р АМТС, техническое обслуживание и ремонт строительно–дорожных машин и оборудования) с кодом ОКПД2 45.20.2 (код услуги 017613 (установка дополнительного оборудования (сигнализация, радиоаппаратура, дополнительные фары, системы навигации и мониторингового оборудования на базе ГЛОНАСС/GPS, установка на транспортные средства, ремонт и обслуживание тахографов, систем контроля топлива, систем взимания платы, другого дополнительного и специального оборудования различного назначения и т.п.))).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auto" w:val="clear"/>
              </w:rPr>
              <w:t>- Соглашения о взаимодействии и информационном обмене между Исполнителем и АЦКН Ространснадзора (УГАДН Иркутской области) или Исполнителем и организацией, имеющей соглашение о взаимодействии и информационном обмене с АЦКН Ространснадзора (УГАДН Иркутской области).</w:t>
            </w:r>
          </w:p>
        </w:tc>
      </w:tr>
      <w:tr>
        <w:trPr>
          <w:trHeight w:val="400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  <w:shd w:fill="auto" w:val="clear"/>
              </w:rPr>
              <w:t>4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  <w:t>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Требования к объему гарантий качества  оказываемых услуг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1. </w:t>
            </w: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На выполняемые работы, а также на блоки СКЗИ устанавливается гарантийный срок согласно гарантийному сроку завода изготовителя, но не менее 1 (одного) года и начинает действовать с даты подписания Сторонами акта выполненных работ. Акт выполненных работ составляется на каждое транспортное средство, либо на группу транспортных средств, в случае выполнения работ на нескольких транспортных средствах одновременно.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 xml:space="preserve">2. </w:t>
            </w:r>
            <w:r>
              <w:rPr>
                <w:rStyle w:val="Style23"/>
                <w:rFonts w:cs="Times New Roman" w:ascii="Times New Roman" w:hAnsi="Times New Roman"/>
                <w:b w:val="false"/>
                <w:color w:val="000000"/>
                <w:sz w:val="21"/>
                <w:szCs w:val="21"/>
                <w:shd w:fill="auto" w:val="clear"/>
              </w:rPr>
              <w:t>Выполнение успешного тестирования возможности передачи данных с карты тахографа в АЦКН Ространснадзора (УГАДН Иркутской области) Заказчик запрашивает у организации имеющей Соглашение о взаимодействии и информационном обмене между ней и АЦКН Ространснадзора (УГАДН Иркутской области). Успешное тестирование возможности передачи данных с карты тахографа в АЦКН Ространснадзора (УГАДН Иркутской области) является существенным условием выполнения технического задания.</w:t>
            </w:r>
          </w:p>
        </w:tc>
      </w:tr>
      <w:tr>
        <w:trPr>
          <w:trHeight w:val="521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5.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1"/>
                <w:szCs w:val="21"/>
                <w:shd w:fill="auto" w:val="clear"/>
              </w:rPr>
              <w:t xml:space="preserve">Место 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оказания услуг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hanging="0" w:start="0"/>
              <w:jc w:val="both"/>
              <w:rPr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Иркутская область, г. Иркутск,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1"/>
                <w:szCs w:val="21"/>
                <w:lang w:val="ru-RU" w:eastAsia="ru-RU" w:bidi="ar-SA"/>
              </w:rPr>
              <w:t>ул. Байкальская, 277Б/3;</w:t>
            </w:r>
          </w:p>
          <w:p>
            <w:pPr>
              <w:pStyle w:val="Normal"/>
              <w:widowControl w:val="false"/>
              <w:bidi w:val="0"/>
              <w:spacing w:before="0" w:after="0"/>
              <w:ind w:hanging="0" w:start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Иркутская область, г. Братск, ж.р. Центральный, ул. Подбельского, 28А;</w:t>
            </w:r>
          </w:p>
          <w:p>
            <w:pPr>
              <w:pStyle w:val="Normal"/>
              <w:widowControl w:val="false"/>
              <w:bidi w:val="0"/>
              <w:spacing w:before="0" w:after="0"/>
              <w:ind w:hanging="0" w:start="0"/>
              <w:jc w:val="both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1"/>
                <w:szCs w:val="21"/>
                <w:lang w:val="ru-RU" w:eastAsia="ru-RU" w:bidi="ar-SA"/>
              </w:rPr>
              <w:t>Иркутская область, г. Черемхово, ул. Луговая, д. 50/1</w:t>
            </w:r>
          </w:p>
        </w:tc>
      </w:tr>
      <w:tr>
        <w:trPr>
          <w:trHeight w:val="452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6.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1"/>
                <w:szCs w:val="21"/>
                <w:shd w:fill="auto" w:val="clear"/>
              </w:rPr>
              <w:t>Срок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 xml:space="preserve"> оказания услуг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3"/>
                <w:numId w:val="4"/>
              </w:numPr>
              <w:bidi w:val="0"/>
              <w:snapToGrid w:val="false"/>
              <w:spacing w:before="0" w:after="0"/>
              <w:jc w:val="both"/>
              <w:rPr>
                <w:rFonts w:ascii="Times New Roman" w:hAnsi="Times New Roman"/>
                <w:b w:val="false"/>
                <w:i w:val="false"/>
                <w:i w:val="false"/>
                <w:i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olor w:val="000000"/>
                <w:sz w:val="21"/>
                <w:szCs w:val="21"/>
                <w:shd w:fill="auto" w:val="clear"/>
              </w:rPr>
              <w:t xml:space="preserve">Сроки 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000000"/>
                <w:sz w:val="21"/>
                <w:szCs w:val="21"/>
                <w:shd w:fill="auto" w:val="clear"/>
              </w:rPr>
              <w:t>оказания услуг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000000"/>
                <w:sz w:val="21"/>
                <w:szCs w:val="21"/>
                <w:shd w:fill="auto" w:val="clear"/>
              </w:rPr>
              <w:t xml:space="preserve">: 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000000"/>
                <w:sz w:val="21"/>
                <w:szCs w:val="21"/>
                <w:shd w:fill="auto" w:val="clear"/>
              </w:rPr>
              <w:t xml:space="preserve">в течении 30 рабочих дней 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000000"/>
                <w:sz w:val="21"/>
                <w:szCs w:val="21"/>
                <w:shd w:fill="auto" w:val="clear"/>
              </w:rPr>
              <w:t>с даты заключения контракта.</w:t>
            </w:r>
          </w:p>
        </w:tc>
      </w:tr>
      <w:tr>
        <w:trPr>
          <w:trHeight w:val="743" w:hRule="atLeast"/>
        </w:trPr>
        <w:tc>
          <w:tcPr>
            <w:tcW w:w="3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auto" w:val="clear"/>
              </w:rPr>
              <w:t>7.</w:t>
            </w:r>
          </w:p>
        </w:tc>
        <w:tc>
          <w:tcPr>
            <w:tcW w:w="204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1"/>
                <w:szCs w:val="21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1"/>
                <w:szCs w:val="21"/>
                <w:shd w:fill="auto" w:val="clear"/>
              </w:rPr>
              <w:t>Дополнительные требования/особые условия</w:t>
            </w:r>
          </w:p>
        </w:tc>
        <w:tc>
          <w:tcPr>
            <w:tcW w:w="819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fill="auto" w:val="clear"/>
              </w:rPr>
              <w:t>Транспортные расходы, связанные с доставкой до места нахождения транспортного средства, несет Исполнитель, они должны быть включены в стоимость работ.</w:t>
            </w:r>
          </w:p>
        </w:tc>
      </w:tr>
    </w:tbl>
    <w:p>
      <w:pPr>
        <w:pStyle w:val="Normal"/>
        <w:bidi w:val="0"/>
        <w:spacing w:lineRule="auto" w:line="240" w:before="126" w:after="86"/>
        <w:ind w:hanging="0" w:start="0" w:end="0"/>
        <w:jc w:val="end"/>
        <w:rPr>
          <w:sz w:val="16"/>
          <w:szCs w:val="16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end"/>
        <w:rPr>
          <w:sz w:val="16"/>
          <w:szCs w:val="16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                 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______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_______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____ /_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__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_____/</w:t>
      </w:r>
      <w:r>
        <w:rPr>
          <w:rFonts w:eastAsia="Calibri" w:ascii="Times New Roman" w:hAnsi="Times New Roman"/>
          <w:b w:val="false"/>
          <w:caps w:val="false"/>
          <w:smallCaps w:val="false"/>
          <w:color w:val="000000"/>
          <w:sz w:val="24"/>
          <w:szCs w:val="24"/>
          <w:shd w:fill="auto" w:val="clear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eastAsia="Calibri" w:ascii="Times New Roman" w:hAnsi="Times New Roman"/>
          <w:b w:val="false"/>
          <w:caps w:val="false"/>
          <w:smallCaps w:val="false"/>
          <w:color w:val="000000"/>
          <w:sz w:val="20"/>
          <w:szCs w:val="20"/>
          <w:shd w:fill="auto" w:val="clear"/>
          <w:lang w:eastAsia="en-US"/>
        </w:rPr>
        <w:t xml:space="preserve">(Инициатор закупки         </w:t>
      </w:r>
      <w:r>
        <w:rPr>
          <w:rFonts w:eastAsia="Calibri" w:ascii="Times New Roman" w:hAnsi="Times New Roman"/>
          <w:b w:val="false"/>
          <w:caps w:val="false"/>
          <w:smallCaps w:val="false"/>
          <w:color w:val="000000"/>
          <w:sz w:val="20"/>
          <w:szCs w:val="20"/>
          <w:shd w:fill="auto" w:val="clear"/>
          <w:lang w:eastAsia="en-US"/>
        </w:rPr>
        <w:t>(</w:t>
      </w:r>
      <w:r>
        <w:rPr>
          <w:rFonts w:eastAsia="Calibri" w:ascii="Times New Roman" w:hAnsi="Times New Roman"/>
          <w:b w:val="false"/>
          <w:caps w:val="false"/>
          <w:smallCaps w:val="false"/>
          <w:color w:val="000000"/>
          <w:sz w:val="20"/>
          <w:szCs w:val="20"/>
          <w:shd w:fill="auto" w:val="clear"/>
          <w:lang w:eastAsia="en-US"/>
        </w:rPr>
        <w:t xml:space="preserve">подпись) </w:t>
      </w:r>
    </w:p>
    <w:sectPr>
      <w:headerReference w:type="default" r:id="rId4"/>
      <w:footerReference w:type="default" r:id="rId5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Arial">
    <w:charset w:val="01" w:characterSet="utf-8"/>
    <w:family w:val="roman"/>
    <w:pitch w:val="default"/>
  </w:font>
  <w:font w:name="Times New Roman">
    <w:charset w:val="01" w:characterSet="utf-8"/>
    <w:family w:val="roman"/>
    <w:pitch w:val="default"/>
  </w:font>
  <w:font w:name="PT Serif">
    <w:charset w:val="01" w:characterSet="utf-8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4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4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4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Цветовое выделение"/>
    <w:qFormat/>
    <w:rPr>
      <w:b/>
      <w:bCs/>
      <w:color w:val="26282F"/>
    </w:rPr>
  </w:style>
  <w:style w:type="paragraph" w:styleId="Style24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5">
    <w:name w:val="Указатель"/>
    <w:basedOn w:val="Normal"/>
    <w:qFormat/>
    <w:pPr>
      <w:jc w:val="start"/>
    </w:pPr>
    <w:rPr>
      <w:rFonts w:cs="Lohit Devanagari"/>
    </w:rPr>
  </w:style>
  <w:style w:type="paragraph" w:styleId="Style26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7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8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4"/>
    <w:pPr>
      <w:ind w:hanging="0" w:start="0" w:end="0"/>
    </w:pPr>
    <w:rPr/>
  </w:style>
  <w:style w:type="paragraph" w:styleId="Index1">
    <w:name w:val="index 1"/>
    <w:basedOn w:val="Style25"/>
    <w:pPr>
      <w:ind w:hanging="0" w:start="0" w:end="0"/>
    </w:pPr>
    <w:rPr/>
  </w:style>
  <w:style w:type="paragraph" w:styleId="Index2">
    <w:name w:val="index 2"/>
    <w:basedOn w:val="Style25"/>
    <w:pPr>
      <w:ind w:hanging="0" w:start="0" w:end="0"/>
    </w:pPr>
    <w:rPr/>
  </w:style>
  <w:style w:type="paragraph" w:styleId="Index3">
    <w:name w:val="index 3"/>
    <w:basedOn w:val="Style25"/>
    <w:pPr>
      <w:ind w:hanging="0" w:start="0" w:end="0"/>
    </w:pPr>
    <w:rPr/>
  </w:style>
  <w:style w:type="paragraph" w:styleId="Style29">
    <w:name w:val="Разделитель предметного указателя"/>
    <w:basedOn w:val="Style25"/>
    <w:qFormat/>
    <w:pPr>
      <w:ind w:hanging="0" w:start="0" w:end="0"/>
    </w:pPr>
    <w:rPr/>
  </w:style>
  <w:style w:type="paragraph" w:styleId="TOCHeading">
    <w:name w:val="TOC Heading"/>
    <w:basedOn w:val="Style24"/>
    <w:next w:val="TOC1"/>
    <w:qFormat/>
    <w:pPr>
      <w:ind w:hanging="0" w:start="0" w:end="0"/>
    </w:pPr>
    <w:rPr/>
  </w:style>
  <w:style w:type="paragraph" w:styleId="TOC1">
    <w:name w:val="toc 1"/>
    <w:basedOn w:val="Style25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5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5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5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5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30">
    <w:name w:val="Заголовок указателей пользователя"/>
    <w:basedOn w:val="Style24"/>
    <w:qFormat/>
    <w:pPr/>
    <w:rPr/>
  </w:style>
  <w:style w:type="paragraph" w:styleId="15">
    <w:name w:val="Указатель пользователя 1"/>
    <w:basedOn w:val="Style25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5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5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5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5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5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5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5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5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5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5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объектов"/>
    <w:basedOn w:val="Style24"/>
    <w:qFormat/>
    <w:pPr>
      <w:ind w:hanging="0" w:start="0" w:end="0"/>
    </w:pPr>
    <w:rPr/>
  </w:style>
  <w:style w:type="paragraph" w:styleId="16">
    <w:name w:val="Список объектов 1"/>
    <w:basedOn w:val="Style25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2">
    <w:name w:val="Заголовок списка таблиц"/>
    <w:basedOn w:val="Style24"/>
    <w:qFormat/>
    <w:pPr>
      <w:ind w:hanging="0" w:start="0" w:end="0"/>
    </w:pPr>
    <w:rPr/>
  </w:style>
  <w:style w:type="paragraph" w:styleId="17">
    <w:name w:val="Список таблиц 1"/>
    <w:basedOn w:val="Style25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4"/>
    <w:pPr>
      <w:ind w:hanging="0" w:start="0" w:end="0"/>
    </w:pPr>
    <w:rPr/>
  </w:style>
  <w:style w:type="paragraph" w:styleId="18">
    <w:name w:val="Библиография 1"/>
    <w:basedOn w:val="Style25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5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5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5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5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5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3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6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7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8">
    <w:name w:val="Содержимое таблицы"/>
    <w:basedOn w:val="Normal"/>
    <w:qFormat/>
    <w:pPr/>
    <w:rPr/>
  </w:style>
  <w:style w:type="paragraph" w:styleId="Style39">
    <w:name w:val="Заголовок таблицы"/>
    <w:basedOn w:val="Style38"/>
    <w:qFormat/>
    <w:pPr>
      <w:jc w:val="center"/>
    </w:pPr>
    <w:rPr>
      <w:b/>
    </w:rPr>
  </w:style>
  <w:style w:type="paragraph" w:styleId="Style40">
    <w:name w:val="Иллюстрация"/>
    <w:basedOn w:val="Caption"/>
    <w:qFormat/>
    <w:pPr/>
    <w:rPr/>
  </w:style>
  <w:style w:type="paragraph" w:styleId="Style41">
    <w:name w:val="Таблица"/>
    <w:basedOn w:val="Caption"/>
    <w:qFormat/>
    <w:pPr/>
    <w:rPr/>
  </w:style>
  <w:style w:type="paragraph" w:styleId="Style42">
    <w:name w:val="Текст"/>
    <w:basedOn w:val="Caption"/>
    <w:qFormat/>
    <w:pPr/>
    <w:rPr/>
  </w:style>
  <w:style w:type="paragraph" w:styleId="Style43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4">
    <w:name w:val="Рисунок"/>
    <w:basedOn w:val="Caption"/>
    <w:qFormat/>
    <w:pPr/>
    <w:rPr/>
  </w:style>
  <w:style w:type="paragraph" w:styleId="Style4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6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7">
    <w:name w:val="Содержимое списка"/>
    <w:basedOn w:val="Normal"/>
    <w:qFormat/>
    <w:pPr>
      <w:ind w:hanging="0" w:start="0" w:end="0"/>
    </w:pPr>
    <w:rPr/>
  </w:style>
  <w:style w:type="paragraph" w:styleId="Style48">
    <w:name w:val="Заголовок списка"/>
    <w:basedOn w:val="Normal"/>
    <w:next w:val="Style47"/>
    <w:qFormat/>
    <w:pPr>
      <w:ind w:hanging="0" w:start="0" w:end="0"/>
    </w:pPr>
    <w:rPr/>
  </w:style>
  <w:style w:type="paragraph" w:styleId="Style49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50">
    <w:name w:val="Исполнитель документа"/>
    <w:basedOn w:val="Normal"/>
    <w:qFormat/>
    <w:pPr>
      <w:jc w:val="start"/>
    </w:pPr>
    <w:rPr>
      <w:sz w:val="24"/>
    </w:rPr>
  </w:style>
  <w:style w:type="paragraph" w:styleId="Style51">
    <w:name w:val="Заголовок списка иллюстраций"/>
    <w:basedOn w:val="Style24"/>
    <w:qFormat/>
    <w:pPr>
      <w:suppressLineNumbers/>
      <w:ind w:hanging="0" w:start="0" w:end="0"/>
      <w:jc w:val="center"/>
    </w:pPr>
    <w:rPr/>
  </w:style>
  <w:style w:type="paragraph" w:styleId="ConsPlusNormal">
    <w:name w:val="ConsPlusNormal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firstLine="720" w:start="0" w:end="0"/>
      <w:jc w:val="start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ru-RU"/>
    </w:rPr>
  </w:style>
  <w:style w:type="paragraph" w:styleId="ListParagraph">
    <w:name w:val="List Paragraph"/>
    <w:basedOn w:val="Normal"/>
    <w:qFormat/>
    <w:pPr>
      <w:spacing w:before="0" w:after="200"/>
      <w:ind w:hanging="0" w:start="720" w:end="0"/>
      <w:contextualSpacing/>
    </w:pPr>
    <w:rPr/>
  </w:style>
  <w:style w:type="paragraph" w:styleId="19">
    <w:name w:val="Абзац списка1"/>
    <w:basedOn w:val="Normal"/>
    <w:qFormat/>
    <w:pPr>
      <w:spacing w:before="0" w:after="0"/>
      <w:ind w:start="720"/>
      <w:contextualSpacing/>
    </w:pPr>
    <w:rPr>
      <w:rFonts w:eastAsia="Calibri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2">
    <w:name w:val="Маркированный •"/>
    <w:qFormat/>
  </w:style>
  <w:style w:type="numbering" w:styleId="Style53">
    <w:name w:val="Маркированный –"/>
    <w:qFormat/>
  </w:style>
  <w:style w:type="numbering" w:styleId="Style54">
    <w:name w:val="Маркированный ☑"/>
    <w:qFormat/>
  </w:style>
  <w:style w:type="numbering" w:styleId="Style55">
    <w:name w:val="Маркированный ➢"/>
    <w:qFormat/>
  </w:style>
  <w:style w:type="numbering" w:styleId="Style56">
    <w:name w:val="Маркированный ✗"/>
    <w:qFormat/>
  </w:style>
  <w:style w:type="numbering" w:styleId="110">
    <w:name w:val="Нумерованный 1)"/>
    <w:qFormat/>
  </w:style>
  <w:style w:type="numbering" w:styleId="Style57">
    <w:name w:val="Нумерованный а)"/>
    <w:qFormat/>
  </w:style>
  <w:style w:type="numbering" w:styleId="Style5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ktru/ktruCard/commonInfo.html?itemId=45.20.20.000-00000001" TargetMode="External"/><Relationship Id="rId3" Type="http://schemas.openxmlformats.org/officeDocument/2006/relationships/hyperlink" Target="http://ivo.garant.ru/document/redirect/74965526/0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266</TotalTime>
  <Application>LibreOffice/25.2.6.2$Linux_X86_64 LibreOffice_project/520$Build-2</Application>
  <AppVersion>15.0000</AppVersion>
  <Pages>2</Pages>
  <Words>763</Words>
  <Characters>5207</Characters>
  <CharactersWithSpaces>6112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2025-03-13T15:13:01Z</dcterms:created>
  <dc:creator/>
  <dc:description/>
  <dc:language>ru-RU</dc:language>
  <cp:lastModifiedBy/>
  <cp:lastPrinted>2025-04-01T11:16:10Z</cp:lastPrinted>
  <dcterms:modified xsi:type="dcterms:W3CDTF">2026-07-16T10:38:20Z</dcterms:modified>
  <cp:revision>35</cp:revision>
  <dc:subject/>
  <dc:title>Default</dc:title>
</cp:coreProperties>
</file>