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85"/>
        <w:jc w:val="center"/>
        <w:spacing w:before="0"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 xml:space="preserve">Описание объекта закупки 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r>
    </w:p>
    <w:p>
      <w:pPr>
        <w:pStyle w:val="785"/>
        <w:jc w:val="center"/>
        <w:spacing w:before="0"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 xml:space="preserve">на оказание услуг по проведению предрейсового осмотра водителей 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r>
    </w:p>
    <w:p>
      <w:pPr>
        <w:pStyle w:val="785"/>
        <w:jc w:val="center"/>
        <w:spacing w:before="0"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 xml:space="preserve">транспортных средств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r>
    </w:p>
    <w:p>
      <w:pPr>
        <w:pStyle w:val="7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Контракт заключается  с соблюдением требований 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5"/>
        <w:spacing w:before="0" w:after="0" w:line="240" w:lineRule="auto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 Контракта: </w:t>
      </w:r>
      <w:r>
        <w:rPr>
          <w:rFonts w:ascii="Times New Roman" w:hAnsi="Times New Roman" w:eastAsia="Calibri" w:cs="Times New Roman"/>
          <w:bCs/>
          <w:sz w:val="24"/>
          <w:szCs w:val="24"/>
          <w:lang w:eastAsia="ru-RU"/>
        </w:rPr>
        <w:t xml:space="preserve">оказание услуг по проведению предрейсового осмотра водителей </w:t>
      </w:r>
      <w:r>
        <w:rPr>
          <w:rFonts w:ascii="Times New Roman" w:hAnsi="Times New Roman" w:eastAsia="Calibri" w:cs="Times New Roman"/>
          <w:bCs/>
          <w:sz w:val="24"/>
          <w:szCs w:val="24"/>
        </w:rPr>
      </w:r>
      <w:r>
        <w:rPr>
          <w:rFonts w:ascii="Times New Roman" w:hAnsi="Times New Roman" w:eastAsia="Calibri" w:cs="Times New Roman"/>
          <w:bCs/>
          <w:sz w:val="24"/>
          <w:szCs w:val="24"/>
        </w:rPr>
      </w:r>
    </w:p>
    <w:p>
      <w:pPr>
        <w:pStyle w:val="846"/>
        <w:jc w:val="both"/>
        <w:rPr>
          <w:b/>
          <w:sz w:val="24"/>
          <w:szCs w:val="24"/>
        </w:rPr>
      </w:pPr>
      <w:r>
        <w:rPr>
          <w:rFonts w:eastAsia="Calibri"/>
          <w:bCs/>
          <w:sz w:val="24"/>
          <w:szCs w:val="24"/>
          <w:lang w:eastAsia="ru-RU"/>
        </w:rPr>
        <w:t xml:space="preserve">транспортных средств (ОКПД 2 – 86.21.10.190)</w:t>
      </w:r>
      <w:r>
        <w:rPr>
          <w:b/>
          <w:sz w:val="24"/>
          <w:szCs w:val="24"/>
        </w:rPr>
        <w:t xml:space="preserve">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46"/>
        <w:jc w:val="both"/>
        <w:rPr>
          <w:b/>
          <w:bCs/>
          <w:spacing w:val="-15"/>
          <w:sz w:val="24"/>
          <w:szCs w:val="24"/>
        </w:rPr>
      </w:pPr>
      <w:r>
        <w:rPr>
          <w:b/>
          <w:sz w:val="24"/>
          <w:szCs w:val="24"/>
        </w:rPr>
        <w:t xml:space="preserve">Место проведения: </w:t>
      </w:r>
      <w:r>
        <w:rPr>
          <w:spacing w:val="-15"/>
          <w:sz w:val="24"/>
          <w:szCs w:val="24"/>
        </w:rPr>
        <w:t xml:space="preserve">Чувашская Республика,  </w:t>
      </w:r>
      <w:r>
        <w:rPr>
          <w:b/>
          <w:bCs/>
          <w:spacing w:val="-15"/>
          <w:sz w:val="24"/>
          <w:szCs w:val="24"/>
        </w:rPr>
        <w:t xml:space="preserve">с. Батырево</w:t>
      </w:r>
      <w:r>
        <w:rPr>
          <w:b/>
          <w:bCs/>
          <w:spacing w:val="-15"/>
          <w:sz w:val="24"/>
          <w:szCs w:val="24"/>
        </w:rPr>
      </w:r>
      <w:r>
        <w:rPr>
          <w:b/>
          <w:bCs/>
          <w:spacing w:val="-15"/>
          <w:sz w:val="24"/>
          <w:szCs w:val="24"/>
        </w:rPr>
      </w:r>
    </w:p>
    <w:p>
      <w:pPr>
        <w:pStyle w:val="846"/>
        <w:jc w:val="both"/>
        <w:rPr>
          <w:spacing w:val="-15"/>
          <w:sz w:val="24"/>
          <w:szCs w:val="24"/>
        </w:rPr>
      </w:pPr>
      <w:r>
        <w:rPr>
          <w:b/>
          <w:spacing w:val="-15"/>
          <w:sz w:val="24"/>
          <w:szCs w:val="24"/>
        </w:rPr>
        <w:t xml:space="preserve">Время проведения</w:t>
      </w:r>
      <w:r>
        <w:rPr>
          <w:spacing w:val="-15"/>
          <w:sz w:val="24"/>
          <w:szCs w:val="24"/>
        </w:rPr>
        <w:t xml:space="preserve">: с 7:00 часов до 10 часов по Московскому времени</w:t>
      </w:r>
      <w:r>
        <w:rPr>
          <w:spacing w:val="-15"/>
          <w:sz w:val="24"/>
          <w:szCs w:val="24"/>
        </w:rPr>
      </w:r>
      <w:r>
        <w:rPr>
          <w:spacing w:val="-15"/>
          <w:sz w:val="24"/>
          <w:szCs w:val="24"/>
        </w:rPr>
      </w:r>
    </w:p>
    <w:p>
      <w:pPr>
        <w:pStyle w:val="846"/>
        <w:jc w:val="both"/>
        <w:rPr>
          <w:spacing w:val="-15"/>
          <w:sz w:val="24"/>
          <w:szCs w:val="24"/>
        </w:rPr>
      </w:pPr>
      <w:r>
        <w:rPr>
          <w:b/>
          <w:spacing w:val="-15"/>
          <w:sz w:val="24"/>
          <w:szCs w:val="24"/>
        </w:rPr>
        <w:t xml:space="preserve">Дни проведения: </w:t>
      </w:r>
      <w:r>
        <w:rPr>
          <w:spacing w:val="-15"/>
          <w:sz w:val="24"/>
          <w:szCs w:val="24"/>
        </w:rPr>
        <w:t xml:space="preserve">в рабочие дни Заказчика</w:t>
      </w:r>
      <w:r>
        <w:rPr>
          <w:spacing w:val="-15"/>
          <w:sz w:val="24"/>
          <w:szCs w:val="24"/>
        </w:rPr>
      </w:r>
      <w:r>
        <w:rPr>
          <w:spacing w:val="-15"/>
          <w:sz w:val="24"/>
          <w:szCs w:val="24"/>
        </w:rPr>
      </w:r>
    </w:p>
    <w:p>
      <w:pPr>
        <w:pStyle w:val="846"/>
        <w:jc w:val="both"/>
        <w:rPr>
          <w:rFonts w:eastAsia="Calibri"/>
          <w:b/>
          <w:bCs/>
          <w:sz w:val="24"/>
          <w:szCs w:val="24"/>
          <w:u w:val="single"/>
        </w:rPr>
      </w:pPr>
      <w:r>
        <w:rPr>
          <w:rFonts w:eastAsia="Calibri"/>
          <w:b/>
          <w:bCs/>
          <w:sz w:val="24"/>
          <w:szCs w:val="24"/>
          <w:lang w:eastAsia="ru-RU"/>
        </w:rPr>
        <w:t xml:space="preserve">Срок оказания услуг: </w:t>
      </w:r>
      <w:r>
        <w:rPr>
          <w:rFonts w:eastAsia="Calibri"/>
          <w:bCs/>
          <w:sz w:val="24"/>
          <w:szCs w:val="24"/>
          <w:lang w:eastAsia="ru-RU"/>
        </w:rPr>
        <w:t xml:space="preserve">со дня заключения контракта </w:t>
      </w:r>
      <w:r>
        <w:rPr>
          <w:rFonts w:eastAsia="Calibri"/>
          <w:b/>
          <w:bCs/>
          <w:sz w:val="24"/>
          <w:szCs w:val="24"/>
          <w:u w:val="single"/>
          <w:lang w:eastAsia="ru-RU"/>
        </w:rPr>
        <w:t xml:space="preserve">по 30 ноября 2026 года.</w:t>
      </w:r>
      <w:r>
        <w:rPr>
          <w:rFonts w:eastAsia="Calibri"/>
          <w:b/>
          <w:bCs/>
          <w:sz w:val="24"/>
          <w:szCs w:val="24"/>
          <w:u w:val="single"/>
        </w:rPr>
      </w:r>
      <w:r>
        <w:rPr>
          <w:rFonts w:eastAsia="Calibri"/>
          <w:b/>
          <w:bCs/>
          <w:sz w:val="24"/>
          <w:szCs w:val="24"/>
          <w:u w:val="single"/>
        </w:rPr>
      </w:r>
    </w:p>
    <w:p>
      <w:pPr>
        <w:pStyle w:val="846"/>
        <w:jc w:val="both"/>
        <w:rPr>
          <w:spacing w:val="-15"/>
          <w:sz w:val="24"/>
          <w:szCs w:val="24"/>
        </w:rPr>
      </w:pPr>
      <w:r>
        <w:rPr>
          <w:spacing w:val="-15"/>
          <w:sz w:val="24"/>
          <w:szCs w:val="24"/>
        </w:rPr>
      </w:r>
      <w:r>
        <w:rPr>
          <w:spacing w:val="-15"/>
          <w:sz w:val="24"/>
          <w:szCs w:val="24"/>
        </w:rPr>
      </w:r>
      <w:r>
        <w:rPr>
          <w:spacing w:val="-15"/>
          <w:sz w:val="24"/>
          <w:szCs w:val="24"/>
        </w:rPr>
      </w:r>
    </w:p>
    <w:p>
      <w:pPr>
        <w:pStyle w:val="845"/>
        <w:numPr>
          <w:ilvl w:val="0"/>
          <w:numId w:val="1"/>
        </w:numPr>
        <w:contextualSpacing/>
        <w:ind w:left="0" w:right="0" w:firstLine="709"/>
        <w:jc w:val="both"/>
        <w:spacing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Медицинские услуги по настоящему контракту оказываются в помещениях Исполнителя в количестве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предрейсовых медицинских осмотра.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46"/>
        <w:numPr>
          <w:ilvl w:val="0"/>
          <w:numId w:val="1"/>
        </w:numPr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«Исполнитель» обязан: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6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2.1.1. </w:t>
      </w:r>
      <w:r>
        <w:rPr>
          <w:sz w:val="24"/>
          <w:szCs w:val="24"/>
        </w:rPr>
        <w:t xml:space="preserve">2.1.1. Оказывать услуги с надлежащим качеством и в полном объеме медицинским персоналом Исполнителя, имеющим соответствующую квалификацию и подготовку, в соответствии с Приказом Министерства здравоохранения Российской Федерации № 266н от 30 мая 2023 года.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6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2.1.2. По результатам проведенного м</w:t>
      </w:r>
      <w:r>
        <w:rPr>
          <w:sz w:val="24"/>
          <w:szCs w:val="24"/>
        </w:rPr>
        <w:t xml:space="preserve">едицинского осмотра при допуске к рейсу на путевых листах проставлять штамп о прохождении предрейсового медицинского осмотра и подпись медицинского работника, проводившего осмотр, а в случаях обнаружения факторов, препятствующих допуску водителя к работе, </w:t>
      </w:r>
      <w:r>
        <w:rPr>
          <w:sz w:val="24"/>
          <w:szCs w:val="24"/>
        </w:rPr>
        <w:t xml:space="preserve">составлять акт (справку) в двух экземплярах. Один экземпляр остается у медицинского работника Исполнителя, второй экземпляр передается руководителю или уполномоченному лицу Заказчика, который, в свою очередь, принимает решение в отношении данного водителя.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6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2.1.3. Вести учет объема оказанных медицинских услуг.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6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2.1.4. </w:t>
      </w:r>
      <w:r>
        <w:rPr>
          <w:sz w:val="24"/>
          <w:szCs w:val="24"/>
          <w:lang w:eastAsia="ru-RU"/>
        </w:rPr>
        <w:t xml:space="preserve">Сдать оказанные услуги по актам об оказанных услугах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6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Исполнитель имеет право: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6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2.2.1. Требовать от Заказчика оплату за своевременно и надлежаще оказанные услуги.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6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12 Федерального закона от 04.05.2011 N 99-ФЗ "О лицензировании отдельных видов деятельности"</w:t>
      </w:r>
      <w:r>
        <w:rPr>
          <w:color w:val="000000"/>
          <w:sz w:val="24"/>
          <w:szCs w:val="24"/>
        </w:rPr>
        <w:t xml:space="preserve"> Исполнитель обязан обладать лицензией на </w:t>
      </w:r>
      <w:r>
        <w:rPr>
          <w:rFonts w:eastAsia="Calibri"/>
          <w:sz w:val="24"/>
          <w:szCs w:val="24"/>
        </w:rPr>
        <w:t xml:space="preserve">медицинскую </w:t>
      </w:r>
      <w:hyperlink r:id="rId9" w:tooltip="consultantplus://offline/ref=BF748ED8DCE030C0205E26962DEB9CAA40FAE6B50670695ED086B8416E716C97821C2433FBF06C0AFDTAF" w:history="1">
        <w:r>
          <w:rPr>
            <w:rFonts w:eastAsia="Calibri"/>
            <w:sz w:val="24"/>
            <w:szCs w:val="24"/>
          </w:rPr>
          <w:t xml:space="preserve">деятельность</w:t>
        </w:r>
      </w:hyperlink>
      <w:r>
        <w:rPr>
          <w:rFonts w:eastAsia="Calibri"/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5"/>
        <w:contextualSpacing/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Контракт может быть расторгнут по взаимному соглашению Сторон,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порядке, предусмотренном </w:t>
      </w:r>
      <w:hyperlink r:id="rId10" w:tooltip="consultantplus://offline/ref=C418BD18C89FE1B5D6ACE04F3C799DBBCB51A5D840C203CECA4B7D4C2F2FECCFF9CAAD39CE84ECB4AFCEF69F618B1C95F46A26C2B6B6ABE1m404K" w:history="1">
        <w:r>
          <w:rPr>
            <w:rStyle w:val="818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 xml:space="preserve">частями 8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- </w:t>
      </w:r>
      <w:hyperlink r:id="rId11" w:tooltip="consultantplus://offline/ref=C418BD18C89FE1B5D6ACE04F3C799DBBCB51A5D840C203CECA4B7D4C2F2FECCFF9CAAD39CE84E8B9ABCEF69F618B1C95F46A26C2B6B6ABE1m404K" w:history="1">
        <w:r>
          <w:rPr>
            <w:rStyle w:val="818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 xml:space="preserve">23 статьи 95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845"/>
        <w:numPr>
          <w:ilvl w:val="0"/>
          <w:numId w:val="1"/>
        </w:numPr>
        <w:contextualSpacing/>
        <w:ind w:left="0" w:right="0" w:firstLine="709"/>
        <w:jc w:val="both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Изменение условий Контракта при его исполнении не допускается за исключением случаев, предусмотренных </w:t>
      </w:r>
      <w:hyperlink r:id="rId12" w:tooltip="consultantplus://offline/ref=C418BD18C89FE1B5D6ACE04F3C799DBBCB51A5D840C203CECA4B7D4C2F2FECCFF9CAAD39CE84E8BDA2CEF69F618B1C95F46A26C2B6B6ABE1m404K" w:history="1">
        <w:r>
          <w:rPr>
            <w:rStyle w:val="818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 xml:space="preserve">статьями 34, 95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Фе</w:t>
      </w:r>
      <w:r>
        <w:rPr>
          <w:rFonts w:ascii="Times New Roman" w:hAnsi="Times New Roman"/>
          <w:bCs/>
          <w:sz w:val="24"/>
          <w:szCs w:val="24"/>
        </w:rPr>
        <w:t xml:space="preserve">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5"/>
        <w:numPr>
          <w:ilvl w:val="0"/>
          <w:numId w:val="1"/>
        </w:numPr>
        <w:contextualSpacing/>
        <w:ind w:left="0" w:right="0" w:firstLine="709"/>
        <w:jc w:val="both"/>
        <w:spacing w:before="0"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сполнитель не позднее 5-го числа месяца, следующего за отчетным, представляет акт  оказанных услу</w:t>
      </w:r>
      <w:r>
        <w:rPr>
          <w:rFonts w:ascii="Times New Roman" w:hAnsi="Times New Roman"/>
          <w:b/>
          <w:bCs/>
          <w:sz w:val="24"/>
          <w:szCs w:val="24"/>
        </w:rPr>
        <w:t xml:space="preserve">г.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45"/>
        <w:numPr>
          <w:ilvl w:val="0"/>
          <w:numId w:val="1"/>
        </w:numPr>
        <w:contextualSpacing/>
        <w:ind w:left="0" w:right="0" w:firstLine="709"/>
        <w:jc w:val="both"/>
        <w:spacing w:before="0" w:after="0" w:line="240" w:lineRule="auto"/>
        <w:rPr>
          <w:rFonts w:ascii="Times New Roman" w:hAnsi="Times New Roman" w:eastAsia="Arial" w:cs="Times New Roman" w:eastAsiaTheme="minorEastAsia"/>
          <w:sz w:val="23"/>
          <w:szCs w:val="23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Оплата по Контракту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производится за счет сре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дств федерального бюджета в пределах доведенных лимитов бюджетных обязательств на 2026 год в течение 7 (Семи) рабочих дней после подписания Заказчиком акта оказанных услуг путем перечисления на расчетный счет Исполнителя, указанный в реквизитах Контракта. </w:t>
      </w:r>
      <w:r>
        <w:rPr>
          <w:rFonts w:ascii="Times New Roman" w:hAnsi="Times New Roman" w:eastAsia="Arial" w:cs="Times New Roman" w:eastAsiaTheme="minorEastAsia"/>
          <w:sz w:val="23"/>
          <w:szCs w:val="23"/>
          <w14:ligatures w14:val="none"/>
        </w:rPr>
      </w:r>
      <w:r>
        <w:rPr>
          <w:rFonts w:ascii="Times New Roman" w:hAnsi="Times New Roman" w:eastAsia="Arial" w:cs="Times New Roman" w:eastAsiaTheme="minorEastAsia"/>
          <w:sz w:val="23"/>
          <w:szCs w:val="23"/>
          <w14:ligatures w14:val="none"/>
        </w:rPr>
      </w:r>
    </w:p>
    <w:p>
      <w:pPr>
        <w:pStyle w:val="845"/>
        <w:numPr>
          <w:ilvl w:val="0"/>
          <w:numId w:val="1"/>
        </w:numPr>
        <w:contextualSpacing/>
        <w:ind w:left="0" w:right="0" w:firstLine="709"/>
        <w:jc w:val="both"/>
        <w:spacing w:before="0" w:after="0" w:line="240" w:lineRule="auto"/>
        <w:rPr>
          <w:rFonts w:ascii="Times New Roman" w:hAnsi="Times New Roman" w:eastAsia="Arial" w:cs="Times New Roman" w:eastAsiaTheme="minorEastAsia"/>
          <w:sz w:val="23"/>
          <w:szCs w:val="23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Цена Контракта является твердой и определяется на весь срок исполнения Контракта.</w:t>
      </w:r>
      <w:r>
        <w:rPr>
          <w:rFonts w:ascii="Times New Roman" w:hAnsi="Times New Roman" w:eastAsia="Arial" w:cs="Times New Roman" w:eastAsiaTheme="minorEastAsia"/>
          <w:sz w:val="23"/>
          <w:szCs w:val="23"/>
          <w14:ligatures w14:val="none"/>
        </w:rPr>
      </w:r>
      <w:r>
        <w:rPr>
          <w:rFonts w:ascii="Times New Roman" w:hAnsi="Times New Roman" w:eastAsia="Arial" w:cs="Times New Roman" w:eastAsiaTheme="minorEastAsia"/>
          <w:sz w:val="23"/>
          <w:szCs w:val="23"/>
          <w14:ligatures w14:val="none"/>
        </w:rPr>
      </w:r>
    </w:p>
    <w:p>
      <w:pPr>
        <w:pStyle w:val="785"/>
        <w:ind w:left="709" w:right="0" w:firstLine="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846"/>
        <w:ind w:left="720" w:firstLine="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/>
      <w:endnotePr/>
      <w:type w:val="nextPage"/>
      <w:pgSz w:w="11906" w:h="16838" w:orient="portrait"/>
      <w:pgMar w:top="567" w:right="567" w:bottom="567" w:left="1418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Noto Sans Devanagari">
    <w:panose1 w:val="020B0502040504020204"/>
  </w:font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sz w:val="23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5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6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6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8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8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9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69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9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69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69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69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69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0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0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0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0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0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2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2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2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2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2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2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2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5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5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5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5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5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5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5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6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6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6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6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6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6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6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6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7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8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8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85" w:default="1">
    <w:name w:val="Normal"/>
    <w:qFormat/>
    <w:pPr>
      <w:jc w:val="left"/>
      <w:spacing w:before="0" w:beforeAutospacing="0" w:after="200" w:afterAutospacing="0" w:line="276" w:lineRule="auto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86">
    <w:name w:val="Heading 1"/>
    <w:basedOn w:val="78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87">
    <w:name w:val="Heading 2"/>
    <w:basedOn w:val="78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88">
    <w:name w:val="Heading 3"/>
    <w:basedOn w:val="7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89">
    <w:name w:val="Heading 4"/>
    <w:basedOn w:val="7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90">
    <w:name w:val="Heading 5"/>
    <w:basedOn w:val="7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91">
    <w:name w:val="Heading 6"/>
    <w:basedOn w:val="78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92">
    <w:name w:val="Heading 7"/>
    <w:basedOn w:val="78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93">
    <w:name w:val="Heading 8"/>
    <w:basedOn w:val="78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94">
    <w:name w:val="Heading 9"/>
    <w:basedOn w:val="78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5">
    <w:name w:val="Heading 1 Char"/>
    <w:basedOn w:val="817"/>
    <w:uiPriority w:val="9"/>
    <w:qFormat/>
    <w:rPr>
      <w:rFonts w:ascii="Arial" w:hAnsi="Arial" w:eastAsia="Arial" w:cs="Arial"/>
      <w:sz w:val="40"/>
      <w:szCs w:val="40"/>
    </w:rPr>
  </w:style>
  <w:style w:type="character" w:styleId="796">
    <w:name w:val="Heading 2 Char"/>
    <w:basedOn w:val="817"/>
    <w:uiPriority w:val="9"/>
    <w:qFormat/>
    <w:rPr>
      <w:rFonts w:ascii="Arial" w:hAnsi="Arial" w:eastAsia="Arial" w:cs="Arial"/>
      <w:sz w:val="34"/>
    </w:rPr>
  </w:style>
  <w:style w:type="character" w:styleId="797">
    <w:name w:val="Heading 3 Char"/>
    <w:basedOn w:val="817"/>
    <w:uiPriority w:val="9"/>
    <w:qFormat/>
    <w:rPr>
      <w:rFonts w:ascii="Arial" w:hAnsi="Arial" w:eastAsia="Arial" w:cs="Arial"/>
      <w:sz w:val="30"/>
      <w:szCs w:val="30"/>
    </w:rPr>
  </w:style>
  <w:style w:type="character" w:styleId="798">
    <w:name w:val="Heading 4 Char"/>
    <w:basedOn w:val="817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99">
    <w:name w:val="Heading 5 Char"/>
    <w:basedOn w:val="817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00">
    <w:name w:val="Heading 6 Char"/>
    <w:basedOn w:val="817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01">
    <w:name w:val="Heading 7 Char"/>
    <w:basedOn w:val="817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02">
    <w:name w:val="Heading 8 Char"/>
    <w:basedOn w:val="817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03">
    <w:name w:val="Heading 9 Char"/>
    <w:basedOn w:val="817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04">
    <w:name w:val="Title Char"/>
    <w:basedOn w:val="817"/>
    <w:uiPriority w:val="10"/>
    <w:qFormat/>
    <w:rPr>
      <w:sz w:val="48"/>
      <w:szCs w:val="48"/>
    </w:rPr>
  </w:style>
  <w:style w:type="character" w:styleId="805">
    <w:name w:val="Subtitle Char"/>
    <w:basedOn w:val="817"/>
    <w:uiPriority w:val="11"/>
    <w:qFormat/>
    <w:rPr>
      <w:sz w:val="24"/>
      <w:szCs w:val="24"/>
    </w:rPr>
  </w:style>
  <w:style w:type="character" w:styleId="806">
    <w:name w:val="Quote Char"/>
    <w:uiPriority w:val="29"/>
    <w:qFormat/>
    <w:rPr>
      <w:i/>
    </w:rPr>
  </w:style>
  <w:style w:type="character" w:styleId="807">
    <w:name w:val="Intense Quote Char"/>
    <w:uiPriority w:val="30"/>
    <w:qFormat/>
    <w:rPr>
      <w:i/>
    </w:rPr>
  </w:style>
  <w:style w:type="character" w:styleId="808">
    <w:name w:val="Header Char"/>
    <w:basedOn w:val="817"/>
    <w:uiPriority w:val="99"/>
    <w:qFormat/>
  </w:style>
  <w:style w:type="character" w:styleId="809">
    <w:name w:val="Footer Char"/>
    <w:basedOn w:val="817"/>
    <w:uiPriority w:val="99"/>
    <w:qFormat/>
  </w:style>
  <w:style w:type="character" w:styleId="810">
    <w:name w:val="Caption Char"/>
    <w:uiPriority w:val="99"/>
    <w:qFormat/>
  </w:style>
  <w:style w:type="character" w:styleId="811">
    <w:name w:val="Footnote Text Char"/>
    <w:uiPriority w:val="99"/>
    <w:qFormat/>
    <w:rPr>
      <w:sz w:val="18"/>
    </w:rPr>
  </w:style>
  <w:style w:type="character" w:styleId="812">
    <w:name w:val="Символ сноски"/>
    <w:uiPriority w:val="99"/>
    <w:unhideWhenUsed/>
    <w:qFormat/>
    <w:rPr>
      <w:vertAlign w:val="superscript"/>
    </w:rPr>
  </w:style>
  <w:style w:type="character" w:styleId="813">
    <w:name w:val="footnote reference"/>
    <w:rPr>
      <w:vertAlign w:val="superscript"/>
    </w:rPr>
  </w:style>
  <w:style w:type="character" w:styleId="814">
    <w:name w:val="Endnote Text Char"/>
    <w:uiPriority w:val="99"/>
    <w:qFormat/>
    <w:rPr>
      <w:sz w:val="20"/>
    </w:rPr>
  </w:style>
  <w:style w:type="character" w:styleId="815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816">
    <w:name w:val="endnote reference"/>
    <w:rPr>
      <w:vertAlign w:val="superscript"/>
    </w:rPr>
  </w:style>
  <w:style w:type="character" w:styleId="817" w:default="1">
    <w:name w:val="Default Paragraph Font"/>
    <w:uiPriority w:val="1"/>
    <w:semiHidden/>
    <w:unhideWhenUsed/>
    <w:qFormat/>
  </w:style>
  <w:style w:type="character" w:styleId="818">
    <w:name w:val="Hyperlink"/>
    <w:uiPriority w:val="99"/>
    <w:unhideWhenUsed/>
    <w:rPr>
      <w:color w:val="0000ff"/>
      <w:u w:val="single"/>
    </w:rPr>
  </w:style>
  <w:style w:type="paragraph" w:styleId="819">
    <w:name w:val="Заголовок"/>
    <w:basedOn w:val="785"/>
    <w:next w:val="820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820">
    <w:name w:val="Body Text"/>
    <w:basedOn w:val="785"/>
    <w:pPr>
      <w:spacing w:before="0" w:after="140" w:line="276" w:lineRule="auto"/>
    </w:pPr>
  </w:style>
  <w:style w:type="paragraph" w:styleId="821">
    <w:name w:val="List"/>
    <w:basedOn w:val="820"/>
    <w:rPr>
      <w:rFonts w:ascii="PT Astra Serif" w:hAnsi="PT Astra Serif" w:cs="Noto Sans Devanagari"/>
    </w:rPr>
  </w:style>
  <w:style w:type="paragraph" w:styleId="822">
    <w:name w:val="Caption"/>
    <w:basedOn w:val="785"/>
    <w:link w:val="8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23">
    <w:name w:val="Указатель"/>
    <w:basedOn w:val="785"/>
    <w:qFormat/>
    <w:pPr>
      <w:suppressLineNumbers/>
    </w:pPr>
    <w:rPr>
      <w:rFonts w:ascii="PT Astra Serif" w:hAnsi="PT Astra Serif" w:cs="Noto Sans Devanagari"/>
    </w:rPr>
  </w:style>
  <w:style w:type="paragraph" w:styleId="824">
    <w:name w:val="Title"/>
    <w:basedOn w:val="785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25">
    <w:name w:val="Subtitle"/>
    <w:basedOn w:val="785"/>
    <w:uiPriority w:val="11"/>
    <w:qFormat/>
    <w:pPr>
      <w:spacing w:before="200" w:after="200"/>
    </w:pPr>
    <w:rPr>
      <w:sz w:val="24"/>
      <w:szCs w:val="24"/>
    </w:rPr>
  </w:style>
  <w:style w:type="paragraph" w:styleId="826">
    <w:name w:val="Quote"/>
    <w:basedOn w:val="785"/>
    <w:uiPriority w:val="29"/>
    <w:qFormat/>
    <w:pPr>
      <w:ind w:left="720" w:right="720" w:firstLine="0"/>
    </w:pPr>
    <w:rPr>
      <w:i/>
    </w:rPr>
  </w:style>
  <w:style w:type="paragraph" w:styleId="827">
    <w:name w:val="Intense Quote"/>
    <w:basedOn w:val="785"/>
    <w:uiPriority w:val="30"/>
    <w:qFormat/>
    <w:pPr>
      <w:ind w:left="720" w:right="720" w:firstLine="0"/>
      <w:spacing w:before="0" w:after="20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28">
    <w:name w:val="Колонтитул"/>
    <w:basedOn w:val="785"/>
    <w:qFormat/>
  </w:style>
  <w:style w:type="paragraph" w:styleId="829">
    <w:name w:val="Header"/>
    <w:basedOn w:val="785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0">
    <w:name w:val="Footer"/>
    <w:basedOn w:val="785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1">
    <w:name w:val="footnote text"/>
    <w:basedOn w:val="785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32">
    <w:name w:val="endnote text"/>
    <w:basedOn w:val="785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33">
    <w:name w:val="toc 1"/>
    <w:basedOn w:val="785"/>
    <w:uiPriority w:val="39"/>
    <w:unhideWhenUsed/>
    <w:pPr>
      <w:ind w:left="0" w:right="0" w:firstLine="0"/>
      <w:spacing w:before="0" w:after="57"/>
    </w:pPr>
  </w:style>
  <w:style w:type="paragraph" w:styleId="834">
    <w:name w:val="toc 2"/>
    <w:basedOn w:val="785"/>
    <w:uiPriority w:val="39"/>
    <w:unhideWhenUsed/>
    <w:pPr>
      <w:ind w:left="283" w:right="0" w:firstLine="0"/>
      <w:spacing w:before="0" w:after="57"/>
    </w:pPr>
  </w:style>
  <w:style w:type="paragraph" w:styleId="835">
    <w:name w:val="toc 3"/>
    <w:basedOn w:val="785"/>
    <w:uiPriority w:val="39"/>
    <w:unhideWhenUsed/>
    <w:pPr>
      <w:ind w:left="567" w:right="0" w:firstLine="0"/>
      <w:spacing w:before="0" w:after="57"/>
    </w:pPr>
  </w:style>
  <w:style w:type="paragraph" w:styleId="836">
    <w:name w:val="toc 4"/>
    <w:basedOn w:val="785"/>
    <w:uiPriority w:val="39"/>
    <w:unhideWhenUsed/>
    <w:pPr>
      <w:ind w:left="850" w:right="0" w:firstLine="0"/>
      <w:spacing w:before="0" w:after="57"/>
    </w:pPr>
  </w:style>
  <w:style w:type="paragraph" w:styleId="837">
    <w:name w:val="toc 5"/>
    <w:basedOn w:val="785"/>
    <w:uiPriority w:val="39"/>
    <w:unhideWhenUsed/>
    <w:pPr>
      <w:ind w:left="1134" w:right="0" w:firstLine="0"/>
      <w:spacing w:before="0" w:after="57"/>
    </w:pPr>
  </w:style>
  <w:style w:type="paragraph" w:styleId="838">
    <w:name w:val="toc 6"/>
    <w:basedOn w:val="785"/>
    <w:uiPriority w:val="39"/>
    <w:unhideWhenUsed/>
    <w:pPr>
      <w:ind w:left="1417" w:right="0" w:firstLine="0"/>
      <w:spacing w:before="0" w:after="57"/>
    </w:pPr>
  </w:style>
  <w:style w:type="paragraph" w:styleId="839">
    <w:name w:val="toc 7"/>
    <w:basedOn w:val="785"/>
    <w:uiPriority w:val="39"/>
    <w:unhideWhenUsed/>
    <w:pPr>
      <w:ind w:left="1701" w:right="0" w:firstLine="0"/>
      <w:spacing w:before="0" w:after="57"/>
    </w:pPr>
  </w:style>
  <w:style w:type="paragraph" w:styleId="840">
    <w:name w:val="toc 8"/>
    <w:basedOn w:val="785"/>
    <w:uiPriority w:val="39"/>
    <w:unhideWhenUsed/>
    <w:pPr>
      <w:ind w:left="1984" w:right="0" w:firstLine="0"/>
      <w:spacing w:before="0" w:after="57"/>
    </w:pPr>
  </w:style>
  <w:style w:type="paragraph" w:styleId="841">
    <w:name w:val="toc 9"/>
    <w:basedOn w:val="785"/>
    <w:uiPriority w:val="39"/>
    <w:unhideWhenUsed/>
    <w:pPr>
      <w:ind w:left="2268" w:right="0" w:firstLine="0"/>
      <w:spacing w:before="0" w:after="57"/>
    </w:pPr>
  </w:style>
  <w:style w:type="paragraph" w:styleId="842">
    <w:name w:val="Index Heading"/>
    <w:basedOn w:val="819"/>
  </w:style>
  <w:style w:type="paragraph" w:styleId="843">
    <w:name w:val="TOC Heading"/>
    <w:uiPriority w:val="39"/>
    <w:unhideWhenUsed/>
    <w:pPr>
      <w:jc w:val="left"/>
      <w:spacing w:before="0" w:beforeAutospacing="0" w:after="200" w:afterAutospacing="0" w:line="276" w:lineRule="auto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844">
    <w:name w:val="table of figures"/>
    <w:basedOn w:val="785"/>
    <w:uiPriority w:val="99"/>
    <w:unhideWhenUsed/>
    <w:qFormat/>
    <w:pPr>
      <w:spacing w:before="0" w:after="0" w:afterAutospacing="0"/>
    </w:pPr>
  </w:style>
  <w:style w:type="paragraph" w:styleId="845">
    <w:name w:val="List Paragraph"/>
    <w:basedOn w:val="785"/>
    <w:uiPriority w:val="34"/>
    <w:qFormat/>
    <w:pPr>
      <w:contextualSpacing/>
      <w:ind w:left="720" w:firstLine="0"/>
      <w:spacing w:before="0" w:after="200"/>
    </w:pPr>
  </w:style>
  <w:style w:type="paragraph" w:styleId="846">
    <w:name w:val="No Spacing"/>
    <w:uiPriority w:val="1"/>
    <w:qFormat/>
    <w:pPr>
      <w:jc w:val="left"/>
      <w:spacing w:before="0" w:beforeAutospacing="0" w:after="0" w:afterAutospacing="0" w:line="240" w:lineRule="auto"/>
      <w:widowControl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numbering" w:styleId="847" w:default="1">
    <w:name w:val="No List"/>
    <w:uiPriority w:val="99"/>
    <w:semiHidden/>
    <w:unhideWhenUsed/>
    <w:qFormat/>
  </w:style>
  <w:style w:type="table" w:styleId="84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consultantplus://offline/ref=BF748ED8DCE030C0205E26962DEB9CAA40FAE6B50670695ED086B8416E716C97821C2433FBF06C0AFDTAF" TargetMode="External"/><Relationship Id="rId10" Type="http://schemas.openxmlformats.org/officeDocument/2006/relationships/hyperlink" Target="consultantplus://offline/ref=C418BD18C89FE1B5D6ACE04F3C799DBBCB51A5D840C203CECA4B7D4C2F2FECCFF9CAAD39CE84ECB4AFCEF69F618B1C95F46A26C2B6B6ABE1m404K" TargetMode="External"/><Relationship Id="rId11" Type="http://schemas.openxmlformats.org/officeDocument/2006/relationships/hyperlink" Target="consultantplus://offline/ref=C418BD18C89FE1B5D6ACE04F3C799DBBCB51A5D840C203CECA4B7D4C2F2FECCFF9CAAD39CE84E8B9ABCEF69F618B1C95F46A26C2B6B6ABE1m404K" TargetMode="External"/><Relationship Id="rId12" Type="http://schemas.openxmlformats.org/officeDocument/2006/relationships/hyperlink" Target="consultantplus://offline/ref=C418BD18C89FE1B5D6ACE04F3C799DBBCB51A5D840C203CECA4B7D4C2F2FECCFF9CAAD39CE84E8BDA2CEF69F618B1C95F46A26C2B6B6ABE1m404K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маркова</dc:creator>
  <dc:description/>
  <dc:language>ru-RU</dc:language>
  <cp:lastModifiedBy>Лысова</cp:lastModifiedBy>
  <cp:revision>26</cp:revision>
  <dcterms:created xsi:type="dcterms:W3CDTF">2022-02-03T08:42:00Z</dcterms:created>
  <dcterms:modified xsi:type="dcterms:W3CDTF">2026-08-18T07:39:34Z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