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tabs>
          <w:tab w:leader="none" w:pos="709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</w:t>
      </w:r>
    </w:p>
    <w:p w14:paraId="02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p w14:paraId="03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Общие сведения</w:t>
      </w:r>
    </w:p>
    <w:p w14:paraId="04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1.1. Объект закупки: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Оказание услуг по изготовлению и поставке бланков благодарностей</w:t>
      </w:r>
      <w:r>
        <w:rPr>
          <w:rFonts w:ascii="Times New Roman" w:hAnsi="Times New Roman"/>
          <w:sz w:val="24"/>
        </w:rPr>
        <w:t xml:space="preserve"> (далее – </w:t>
      </w:r>
      <w:r>
        <w:rPr>
          <w:rFonts w:ascii="Times New Roman" w:hAnsi="Times New Roman"/>
          <w:sz w:val="24"/>
        </w:rPr>
        <w:t>Продукция</w:t>
      </w:r>
      <w:r>
        <w:rPr>
          <w:rFonts w:ascii="Times New Roman" w:hAnsi="Times New Roman"/>
          <w:sz w:val="24"/>
        </w:rPr>
        <w:t xml:space="preserve">). </w:t>
      </w:r>
    </w:p>
    <w:p w14:paraId="05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1.2. Место поставки </w:t>
      </w:r>
      <w:r>
        <w:rPr>
          <w:rFonts w:ascii="Times New Roman" w:hAnsi="Times New Roman"/>
          <w:b w:val="1"/>
          <w:sz w:val="24"/>
        </w:rPr>
        <w:t>продукции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г. </w:t>
      </w:r>
      <w:r>
        <w:rPr>
          <w:rFonts w:ascii="Times New Roman" w:hAnsi="Times New Roman"/>
          <w:sz w:val="24"/>
        </w:rPr>
        <w:t>Хабаровск, ул. Запарина, 65.</w:t>
      </w:r>
    </w:p>
    <w:p w14:paraId="06000000">
      <w:pPr>
        <w:keepNext w:val="1"/>
        <w:widowControl w:val="0"/>
        <w:spacing w:after="0" w:line="240" w:lineRule="auto"/>
        <w:ind w:firstLine="851" w:left="0"/>
        <w:jc w:val="both"/>
        <w:outlineLvl w:val="0"/>
        <w:rPr>
          <w:rFonts w:ascii="Times New Roman" w:hAnsi="Times New Roman"/>
          <w:b w:val="1"/>
          <w:sz w:val="24"/>
        </w:rPr>
      </w:pPr>
    </w:p>
    <w:p w14:paraId="07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2.1. Требования к качеству поставляемо</w:t>
      </w:r>
      <w:r>
        <w:rPr>
          <w:rFonts w:ascii="Times New Roman" w:hAnsi="Times New Roman"/>
          <w:b w:val="1"/>
          <w:sz w:val="24"/>
        </w:rPr>
        <w:t>й продукции:</w:t>
      </w:r>
    </w:p>
    <w:p w14:paraId="08000000">
      <w:pPr>
        <w:widowControl w:val="0"/>
        <w:tabs>
          <w:tab w:leader="none" w:pos="7088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</w:t>
      </w:r>
      <w:r>
        <w:rPr>
          <w:rFonts w:ascii="Times New Roman" w:hAnsi="Times New Roman"/>
          <w:sz w:val="24"/>
        </w:rPr>
        <w:t xml:space="preserve">ая </w:t>
      </w:r>
      <w:r>
        <w:rPr>
          <w:rFonts w:ascii="Times New Roman" w:hAnsi="Times New Roman"/>
          <w:sz w:val="24"/>
        </w:rPr>
        <w:t>продукция</w:t>
      </w:r>
      <w:r>
        <w:rPr>
          <w:rFonts w:ascii="Times New Roman" w:hAnsi="Times New Roman"/>
          <w:sz w:val="24"/>
        </w:rPr>
        <w:t xml:space="preserve"> должен быть нов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продукция которая не </w:t>
      </w:r>
      <w:r>
        <w:rPr>
          <w:rFonts w:ascii="Times New Roman" w:hAnsi="Times New Roman"/>
          <w:sz w:val="24"/>
        </w:rPr>
        <w:t>был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восстановлен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, не были восстановлены потребительские свойства) и на н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z w:val="24"/>
        </w:rPr>
        <w:t xml:space="preserve"> должна распространяться полная гарантия производителя.</w:t>
      </w:r>
    </w:p>
    <w:p w14:paraId="09000000">
      <w:pPr>
        <w:widowControl w:val="0"/>
        <w:tabs>
          <w:tab w:leader="none" w:pos="7088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</w:t>
      </w:r>
      <w:r>
        <w:rPr>
          <w:rFonts w:ascii="Times New Roman" w:hAnsi="Times New Roman"/>
          <w:sz w:val="24"/>
        </w:rPr>
        <w:t>ая продукция и</w:t>
      </w:r>
      <w:r>
        <w:rPr>
          <w:rFonts w:ascii="Times New Roman" w:hAnsi="Times New Roman"/>
          <w:sz w:val="24"/>
        </w:rPr>
        <w:t>зготавливается в соответствии с требованиями приказа Росимущества от 27.12.2022 №291 «Об утверждении ведомственных наград Федерального агентства по управлению государственным имуществом и его территориальных органов».</w:t>
      </w:r>
    </w:p>
    <w:p w14:paraId="0A000000">
      <w:pPr>
        <w:widowControl w:val="0"/>
        <w:tabs>
          <w:tab w:leader="none" w:pos="7088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Продукция</w:t>
      </w:r>
      <w:r>
        <w:rPr>
          <w:rFonts w:ascii="Times New Roman" w:hAnsi="Times New Roman"/>
          <w:sz w:val="24"/>
        </w:rPr>
        <w:t xml:space="preserve"> не долж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иметь дефектов, связанных с материалами или качеством изготовления (осыпания краски или печати текста, отсутствие ошибок и неточностей</w:t>
      </w:r>
      <w:r>
        <w:rPr>
          <w:rFonts w:ascii="Times New Roman" w:hAnsi="Times New Roman"/>
          <w:sz w:val="24"/>
        </w:rPr>
        <w:t xml:space="preserve"> в тексте, отсутствие на листах </w:t>
      </w:r>
      <w:r>
        <w:rPr>
          <w:rFonts w:ascii="Times New Roman" w:hAnsi="Times New Roman"/>
          <w:sz w:val="24"/>
        </w:rPr>
        <w:t>непропечаток, смазывание краски, помарок, пятен, разрывов бумаги, загнутых углов и кромок).</w:t>
      </w:r>
    </w:p>
    <w:p w14:paraId="0B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jc w:val="left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1984"/>
        <w:gridCol w:w="5954"/>
        <w:gridCol w:w="850"/>
        <w:gridCol w:w="1140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0D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п/п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b w:val="1"/>
                <w:sz w:val="24"/>
              </w:rPr>
              <w:t>продукции</w:t>
            </w:r>
          </w:p>
        </w:tc>
        <w:tc>
          <w:tcPr>
            <w:tcW w:type="dxa" w:w="5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Функциональные, технические и качественные характеристики, эксплуатационные характеристики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родукции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Ед. изм.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Бланк «Благодарность»</w:t>
            </w:r>
          </w:p>
          <w:p w14:paraId="1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Материал: бумага </w:t>
            </w:r>
            <w:r>
              <w:rPr>
                <w:rFonts w:ascii="Times New Roman" w:hAnsi="Times New Roman"/>
                <w:sz w:val="24"/>
              </w:rPr>
              <w:t>матовая, двустороннего двойного мелования;</w:t>
            </w:r>
          </w:p>
          <w:p w14:paraId="1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А4 (</w:t>
            </w:r>
            <w:r>
              <w:rPr>
                <w:rFonts w:ascii="Times New Roman" w:hAnsi="Times New Roman"/>
                <w:sz w:val="24"/>
              </w:rPr>
              <w:t>210х</w:t>
            </w:r>
            <w:r>
              <w:rPr>
                <w:rFonts w:ascii="Times New Roman" w:hAnsi="Times New Roman"/>
                <w:sz w:val="24"/>
              </w:rPr>
              <w:t>297 мм)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1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Плотность: не менее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 г/кв.м;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1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</w:t>
            </w:r>
            <w:r>
              <w:rPr>
                <w:rFonts w:ascii="Times New Roman" w:hAnsi="Times New Roman"/>
                <w:sz w:val="24"/>
              </w:rPr>
              <w:t>бледно-желтый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1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периметру </w:t>
            </w:r>
            <w:r>
              <w:rPr>
                <w:rFonts w:ascii="Times New Roman" w:hAnsi="Times New Roman"/>
                <w:sz w:val="24"/>
              </w:rPr>
              <w:t>бланка</w:t>
            </w:r>
            <w:r>
              <w:rPr>
                <w:rFonts w:ascii="Times New Roman" w:hAnsi="Times New Roman"/>
                <w:sz w:val="24"/>
              </w:rPr>
              <w:t xml:space="preserve"> на расстоянии 20 мм от края методом тиснения фольгой под «золото» наносится графическое изображение фигурной рамки (по макету Заказчика</w:t>
            </w:r>
            <w:r>
              <w:rPr>
                <w:rFonts w:ascii="Times New Roman" w:hAnsi="Times New Roman"/>
                <w:sz w:val="24"/>
              </w:rPr>
              <w:t>) размером 166х250 мм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Внутри рамки </w:t>
            </w:r>
            <w:r>
              <w:rPr>
                <w:rFonts w:ascii="Times New Roman" w:hAnsi="Times New Roman"/>
                <w:sz w:val="24"/>
              </w:rPr>
              <w:t xml:space="preserve">методом </w:t>
            </w:r>
            <w:r>
              <w:rPr>
                <w:rFonts w:ascii="Times New Roman" w:hAnsi="Times New Roman"/>
                <w:sz w:val="24"/>
              </w:rPr>
              <w:t>тиснени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 фольгой под «золото» </w:t>
            </w:r>
            <w:r>
              <w:rPr>
                <w:rFonts w:ascii="Times New Roman" w:hAnsi="Times New Roman"/>
                <w:sz w:val="24"/>
              </w:rPr>
              <w:t>наносится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14:paraId="1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геральдический знак Заказчика </w:t>
            </w:r>
            <w:r>
              <w:rPr>
                <w:rFonts w:ascii="Times New Roman" w:hAnsi="Times New Roman"/>
                <w:sz w:val="24"/>
              </w:rPr>
              <w:t xml:space="preserve">размером </w:t>
            </w:r>
            <w:r>
              <w:rPr>
                <w:rFonts w:ascii="Times New Roman" w:hAnsi="Times New Roman"/>
                <w:sz w:val="24"/>
              </w:rPr>
              <w:t>25х23 мм</w:t>
            </w:r>
            <w:r>
              <w:rPr>
                <w:rFonts w:ascii="Times New Roman" w:hAnsi="Times New Roman"/>
                <w:sz w:val="24"/>
              </w:rPr>
              <w:t>, цвет герба – золотой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 xml:space="preserve">(*зеленый щит внутри геральдического знака </w:t>
            </w:r>
            <w:r>
              <w:rPr>
                <w:rFonts w:ascii="Times New Roman" w:hAnsi="Times New Roman"/>
                <w:i w:val="1"/>
                <w:sz w:val="24"/>
              </w:rPr>
              <w:t>выполняется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методом </w:t>
            </w:r>
            <w:r>
              <w:rPr>
                <w:rFonts w:ascii="Times New Roman" w:hAnsi="Times New Roman"/>
                <w:i w:val="1"/>
                <w:sz w:val="24"/>
              </w:rPr>
              <w:t>цифровой печати);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слово «Благодарность» (высота заглавной буквы 12 мм, высота строчных букв 10 мм), длина тиснения 103 мм.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расстоянии 15 мм. от геральдического знака Заказчика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шелкотрафаретным или цифровым способом наносится надпись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две строки: </w:t>
            </w:r>
            <w:r>
              <w:rPr>
                <w:rFonts w:ascii="Times New Roman" w:hAnsi="Times New Roman"/>
                <w:b w:val="1"/>
                <w:sz w:val="24"/>
              </w:rPr>
              <w:t>«Межрегиональное т</w:t>
            </w:r>
            <w:r>
              <w:rPr>
                <w:rFonts w:ascii="Times New Roman" w:hAnsi="Times New Roman"/>
                <w:b w:val="1"/>
                <w:sz w:val="24"/>
              </w:rPr>
              <w:t>ерриториальное управление</w:t>
            </w:r>
            <w:r>
              <w:rPr>
                <w:rStyle w:val="Style_2_ch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Федерального агентства по управлению государственным имуществом</w:t>
            </w:r>
            <w:r>
              <w:rPr>
                <w:rStyle w:val="Style_2_ch"/>
                <w:b w:val="1"/>
                <w:sz w:val="24"/>
              </w:rPr>
              <w:t xml:space="preserve"> в Хабаровском крае и Еврейск</w:t>
            </w:r>
            <w:r>
              <w:rPr>
                <w:rFonts w:ascii="Times New Roman" w:hAnsi="Times New Roman"/>
                <w:b w:val="1"/>
                <w:sz w:val="24"/>
              </w:rPr>
              <w:t>ой автономной области»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(высота </w:t>
            </w:r>
            <w:r>
              <w:rPr>
                <w:rFonts w:ascii="Times New Roman" w:hAnsi="Times New Roman"/>
                <w:sz w:val="24"/>
              </w:rPr>
              <w:t>букв 4 м</w:t>
            </w:r>
            <w:r>
              <w:rPr>
                <w:rFonts w:ascii="Times New Roman" w:hAnsi="Times New Roman"/>
                <w:sz w:val="24"/>
              </w:rPr>
              <w:t xml:space="preserve">м, общая высота текста 16,5 мм). </w:t>
            </w:r>
          </w:p>
          <w:p w14:paraId="1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нижней части </w:t>
            </w:r>
            <w:r>
              <w:rPr>
                <w:rFonts w:ascii="Times New Roman" w:hAnsi="Times New Roman"/>
                <w:sz w:val="24"/>
              </w:rPr>
              <w:t>бланка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шелкотрафаретным или цифровым способом</w:t>
            </w:r>
            <w:r>
              <w:rPr>
                <w:rFonts w:ascii="Times New Roman" w:hAnsi="Times New Roman"/>
                <w:sz w:val="24"/>
              </w:rPr>
              <w:t xml:space="preserve"> нанос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тся </w:t>
            </w:r>
            <w:r>
              <w:rPr>
                <w:rFonts w:ascii="Times New Roman" w:hAnsi="Times New Roman"/>
                <w:sz w:val="24"/>
              </w:rPr>
              <w:t xml:space="preserve">текст (высота букв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мм)</w:t>
            </w:r>
            <w:r>
              <w:rPr>
                <w:rFonts w:ascii="Times New Roman" w:hAnsi="Times New Roman"/>
                <w:sz w:val="24"/>
              </w:rPr>
              <w:t xml:space="preserve"> следующего содержания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14:paraId="20000000">
            <w:pPr>
              <w:widowControl w:val="0"/>
              <w:spacing w:after="0" w:line="240" w:lineRule="auto"/>
              <w:ind/>
              <w:jc w:val="both"/>
              <w:rPr>
                <w:rStyle w:val="Style_2_ch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«Руководитель Межрегионального т</w:t>
            </w:r>
            <w:r>
              <w:rPr>
                <w:rFonts w:ascii="Times New Roman" w:hAnsi="Times New Roman"/>
                <w:b w:val="1"/>
                <w:sz w:val="24"/>
              </w:rPr>
              <w:t>ерриториального управления</w:t>
            </w:r>
            <w:r>
              <w:rPr>
                <w:rStyle w:val="Style_2_ch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Федерального агентства по управлению государственным имуществом</w:t>
            </w:r>
            <w:r>
              <w:rPr>
                <w:rStyle w:val="Style_2_ch"/>
                <w:b w:val="1"/>
                <w:sz w:val="24"/>
              </w:rPr>
              <w:t xml:space="preserve"> в Хабаровском крае и Еврейской автономной области»</w:t>
            </w:r>
            <w:r>
              <w:rPr>
                <w:rStyle w:val="Style_2_ch"/>
                <w:b w:val="1"/>
                <w:color w:val="FF0000"/>
                <w:sz w:val="24"/>
              </w:rPr>
              <w:t>__________</w:t>
            </w:r>
            <w:r>
              <w:rPr>
                <w:rFonts w:ascii="Times New Roman" w:hAnsi="Times New Roman"/>
                <w:b w:val="1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FF0000"/>
                <w:sz w:val="24"/>
              </w:rPr>
              <w:t>____________</w:t>
            </w:r>
            <w:r>
              <w:rPr>
                <w:rFonts w:ascii="Times New Roman" w:hAnsi="Times New Roman"/>
                <w:b w:val="1"/>
                <w:color w:val="FF0000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FF0000"/>
                <w:sz w:val="16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FF0000"/>
                <w:sz w:val="16"/>
              </w:rPr>
              <w:t>ФИО</w:t>
            </w:r>
            <w:r>
              <w:rPr>
                <w:rFonts w:ascii="Times New Roman" w:hAnsi="Times New Roman"/>
                <w:b w:val="1"/>
                <w:color w:val="FF0000"/>
                <w:sz w:val="16"/>
              </w:rPr>
              <w:t>)</w:t>
            </w:r>
            <w:r>
              <w:rPr>
                <w:rFonts w:ascii="Times New Roman" w:hAnsi="Times New Roman"/>
                <w:b w:val="1"/>
                <w:color w:val="FF0000"/>
                <w:sz w:val="16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b w:val="1"/>
                <w:color w:val="FF0000"/>
                <w:sz w:val="16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 xml:space="preserve">                   </w:t>
            </w:r>
          </w:p>
          <w:p w14:paraId="21000000">
            <w:pPr>
              <w:widowControl w:val="0"/>
              <w:spacing w:after="0" w:line="240" w:lineRule="auto"/>
              <w:ind/>
              <w:jc w:val="both"/>
              <w:rPr>
                <w:rStyle w:val="Style_2_ch"/>
                <w:b w:val="1"/>
                <w:sz w:val="24"/>
              </w:rPr>
            </w:pPr>
          </w:p>
          <w:p w14:paraId="22000000">
            <w:pPr>
              <w:widowControl w:val="0"/>
              <w:spacing w:after="0" w:line="240" w:lineRule="auto"/>
              <w:ind/>
              <w:jc w:val="both"/>
              <w:rPr>
                <w:rStyle w:val="Style_2_ch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Приказ от __________ №___________».</w:t>
            </w:r>
          </w:p>
          <w:p w14:paraId="2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 всех печатных надписей под «бронзу». </w:t>
            </w:r>
          </w:p>
          <w:p w14:paraId="2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надписи, выполнены тиснением, имеют глянцевый золотой оттенок. </w:t>
            </w:r>
            <w:r>
              <w:rPr>
                <w:rFonts w:ascii="Times New Roman" w:hAnsi="Times New Roman"/>
                <w:sz w:val="24"/>
              </w:rPr>
              <w:t>Внутренняя рамк</w:t>
            </w:r>
            <w:r>
              <w:rPr>
                <w:rFonts w:ascii="Times New Roman" w:hAnsi="Times New Roman"/>
                <w:sz w:val="24"/>
              </w:rPr>
              <w:t xml:space="preserve">а и слово «Благодарность» имеют </w:t>
            </w:r>
            <w:r>
              <w:rPr>
                <w:rFonts w:ascii="Times New Roman" w:hAnsi="Times New Roman"/>
                <w:sz w:val="24"/>
              </w:rPr>
              <w:t xml:space="preserve">полуконгревный профиль, геральдический знак выполнен латунным клише с патрицей методом конгрева с детальной проработкой. </w:t>
            </w:r>
          </w:p>
          <w:p w14:paraId="2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Упаковка:</w:t>
            </w:r>
            <w:r>
              <w:rPr>
                <w:rFonts w:ascii="Times New Roman" w:hAnsi="Times New Roman"/>
                <w:sz w:val="24"/>
              </w:rPr>
              <w:t xml:space="preserve"> термоусадочная ПВХ-</w:t>
            </w:r>
            <w:r>
              <w:rPr>
                <w:rFonts w:ascii="Times New Roman" w:hAnsi="Times New Roman"/>
                <w:sz w:val="24"/>
              </w:rPr>
              <w:t xml:space="preserve">пленка. </w:t>
            </w:r>
          </w:p>
          <w:p w14:paraId="2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t>Образец</w:t>
            </w:r>
            <w:r>
              <w:rPr>
                <w:rFonts w:ascii="Times New Roman" w:hAnsi="Times New Roman"/>
                <w:i w:val="1"/>
                <w:sz w:val="24"/>
                <w:u w:val="single"/>
              </w:rPr>
              <w:t xml:space="preserve"> бланка:</w:t>
            </w:r>
          </w:p>
          <w:p w14:paraId="2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3643630" cy="5127400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3643630" cy="512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2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2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48000000">
            <w:pPr>
              <w:widowControl w:val="1"/>
              <w:ind/>
              <w:jc w:val="center"/>
            </w:pPr>
          </w:p>
          <w:p w14:paraId="49000000">
            <w:pPr>
              <w:widowControl w:val="1"/>
              <w:ind/>
              <w:jc w:val="center"/>
            </w:pPr>
          </w:p>
          <w:p w14:paraId="4A000000">
            <w:pPr>
              <w:widowControl w:val="1"/>
              <w:ind/>
              <w:jc w:val="center"/>
            </w:pPr>
            <w:r>
              <w:t>30</w:t>
            </w:r>
          </w:p>
        </w:tc>
      </w:tr>
      <w:tr>
        <w:trPr>
          <w:trHeight w:hRule="atLeast" w:val="160"/>
        </w:trPr>
        <w:tc>
          <w:tcPr>
            <w:tcW w:type="dxa" w:w="1049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 течение 2х</w:t>
            </w:r>
            <w:r>
              <w:rPr>
                <w:rFonts w:ascii="Times New Roman" w:hAnsi="Times New Roman"/>
                <w:sz w:val="24"/>
              </w:rPr>
              <w:t xml:space="preserve"> рабочих дней с даты заключения </w:t>
            </w:r>
            <w:r>
              <w:rPr>
                <w:rFonts w:ascii="Times New Roman" w:hAnsi="Times New Roman"/>
                <w:sz w:val="24"/>
              </w:rPr>
              <w:t>Контракта</w:t>
            </w:r>
            <w:r>
              <w:rPr>
                <w:rFonts w:ascii="Times New Roman" w:hAnsi="Times New Roman"/>
                <w:sz w:val="24"/>
              </w:rPr>
              <w:t xml:space="preserve"> Заказчик передает Поставщику </w:t>
            </w:r>
            <w:r>
              <w:rPr>
                <w:rFonts w:ascii="Times New Roman" w:hAnsi="Times New Roman"/>
                <w:sz w:val="24"/>
              </w:rPr>
              <w:t>образ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бланков</w:t>
            </w:r>
            <w:r>
              <w:rPr>
                <w:rFonts w:ascii="Times New Roman" w:hAnsi="Times New Roman"/>
                <w:sz w:val="24"/>
              </w:rPr>
              <w:t xml:space="preserve"> для изготовления заказа в строгом соответствии с представленным</w:t>
            </w:r>
            <w:r>
              <w:rPr>
                <w:rFonts w:ascii="Times New Roman" w:hAnsi="Times New Roman"/>
                <w:sz w:val="24"/>
              </w:rPr>
              <w:t>и образца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и;</w:t>
            </w:r>
          </w:p>
          <w:p w14:paraId="4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Поставщик в течение 2х рабочих дней с даты получения образцов направляет на согласование </w:t>
            </w:r>
            <w:r>
              <w:rPr>
                <w:rFonts w:ascii="Times New Roman" w:hAnsi="Times New Roman"/>
                <w:sz w:val="24"/>
              </w:rPr>
              <w:t xml:space="preserve">Заказчику </w:t>
            </w:r>
            <w:r>
              <w:rPr>
                <w:rFonts w:ascii="Times New Roman" w:hAnsi="Times New Roman"/>
                <w:sz w:val="24"/>
              </w:rPr>
              <w:t>макеты бланков;</w:t>
            </w:r>
          </w:p>
          <w:p w14:paraId="4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Заказчик в течение 1 рабочего дня с момента получения макетов согласовывает или направляет свои замечания Поставщику. </w:t>
            </w:r>
          </w:p>
        </w:tc>
      </w:tr>
    </w:tbl>
    <w:p w14:paraId="4E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p w14:paraId="4F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3. Требования к упаковке </w:t>
      </w:r>
      <w:r>
        <w:rPr>
          <w:rFonts w:ascii="Times New Roman" w:hAnsi="Times New Roman"/>
          <w:b w:val="1"/>
          <w:sz w:val="24"/>
        </w:rPr>
        <w:t>Продукции</w:t>
      </w:r>
    </w:p>
    <w:p w14:paraId="50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Продукция</w:t>
      </w:r>
      <w:r>
        <w:rPr>
          <w:rFonts w:ascii="Times New Roman" w:hAnsi="Times New Roman"/>
          <w:sz w:val="24"/>
        </w:rPr>
        <w:t xml:space="preserve"> поставляется в упаковке, обеспечивающей его сохранность при транспортировке, защищающей от повреждений и воздействия внешней среды. Маркировка </w:t>
      </w:r>
      <w:r>
        <w:rPr>
          <w:rFonts w:ascii="Times New Roman" w:hAnsi="Times New Roman"/>
          <w:sz w:val="24"/>
        </w:rPr>
        <w:t>продукции</w:t>
      </w:r>
      <w:r>
        <w:rPr>
          <w:rFonts w:ascii="Times New Roman" w:hAnsi="Times New Roman"/>
          <w:sz w:val="24"/>
        </w:rPr>
        <w:t xml:space="preserve"> (при наличии) 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</w:p>
    <w:p w14:paraId="51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Требования к гарантийному сроку и объему предоставления гарантии качества</w:t>
      </w:r>
    </w:p>
    <w:p w14:paraId="52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гарантирует, что поставляем</w:t>
      </w:r>
      <w:r>
        <w:rPr>
          <w:rFonts w:ascii="Times New Roman" w:hAnsi="Times New Roman"/>
          <w:sz w:val="24"/>
        </w:rPr>
        <w:t>ая продукция</w:t>
      </w:r>
      <w:r>
        <w:rPr>
          <w:rFonts w:ascii="Times New Roman" w:hAnsi="Times New Roman"/>
          <w:sz w:val="24"/>
        </w:rPr>
        <w:t xml:space="preserve"> изготовлен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в соответствии со стандартами и техническими характеристиками, указанными изготовителем, соответствует требованиям н</w:t>
      </w:r>
      <w:r>
        <w:rPr>
          <w:rFonts w:ascii="Times New Roman" w:hAnsi="Times New Roman"/>
          <w:sz w:val="24"/>
        </w:rPr>
        <w:t>астоящего Технического задания и</w:t>
      </w:r>
      <w:r>
        <w:rPr>
          <w:rFonts w:ascii="Times New Roman" w:hAnsi="Times New Roman"/>
          <w:sz w:val="24"/>
        </w:rPr>
        <w:t xml:space="preserve"> приказа Росимущества </w:t>
      </w:r>
      <w:r>
        <w:rPr>
          <w:rFonts w:ascii="Times New Roman" w:hAnsi="Times New Roman"/>
          <w:sz w:val="24"/>
        </w:rPr>
        <w:t>от 27.12.2022 №291 «Об утверждении ведомственных наград Федерального агентства по управлению государственным имуществом и его территориальных органов»</w:t>
      </w:r>
      <w:r>
        <w:rPr>
          <w:rFonts w:ascii="Times New Roman" w:hAnsi="Times New Roman"/>
          <w:color w:val="000000"/>
          <w:sz w:val="24"/>
        </w:rPr>
        <w:t>.</w:t>
      </w:r>
    </w:p>
    <w:p w14:paraId="5300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</w:t>
      </w:r>
      <w:r>
        <w:rPr>
          <w:rFonts w:ascii="Times New Roman" w:hAnsi="Times New Roman"/>
          <w:sz w:val="24"/>
        </w:rPr>
        <w:t>продукцию</w:t>
      </w:r>
      <w:r>
        <w:rPr>
          <w:rFonts w:ascii="Times New Roman" w:hAnsi="Times New Roman"/>
          <w:sz w:val="24"/>
        </w:rPr>
        <w:t xml:space="preserve"> ненадлежащего качества новым, в срок 1 (один) рабочий день с момента получения письменного уведомления от Заказчика (в том числе посредством факсимильной связи с последующим направлением оригинала). Гарантийный срок на </w:t>
      </w:r>
      <w:r>
        <w:rPr>
          <w:rFonts w:ascii="Times New Roman" w:hAnsi="Times New Roman"/>
          <w:sz w:val="24"/>
        </w:rPr>
        <w:t>продукцию</w:t>
      </w:r>
      <w:r>
        <w:rPr>
          <w:rFonts w:ascii="Times New Roman" w:hAnsi="Times New Roman"/>
          <w:sz w:val="24"/>
        </w:rPr>
        <w:t xml:space="preserve"> в данном случае продлевается на период устранения дефектов.</w:t>
      </w:r>
    </w:p>
    <w:sectPr>
      <w:pgSz w:h="16838" w:orient="portrait" w:w="11906"/>
      <w:pgMar w:bottom="1134" w:footer="708" w:gutter="0" w:header="708" w:left="850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er"/>
    <w:basedOn w:val="Style_3"/>
    <w:link w:val="Style_8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8_ch" w:type="character">
    <w:name w:val="header"/>
    <w:basedOn w:val="Style_3_ch"/>
    <w:link w:val="Style_8"/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List Paragraph"/>
    <w:basedOn w:val="Style_3"/>
    <w:link w:val="Style_11_ch"/>
    <w:pPr>
      <w:widowControl w:val="0"/>
      <w:ind w:firstLine="0" w:left="720"/>
      <w:contextualSpacing w:val="1"/>
    </w:pPr>
  </w:style>
  <w:style w:styleId="Style_11_ch" w:type="character">
    <w:name w:val="List Paragraph"/>
    <w:basedOn w:val="Style_3_ch"/>
    <w:link w:val="Style_11"/>
  </w:style>
  <w:style w:styleId="Style_12" w:type="paragraph">
    <w:name w:val="footer"/>
    <w:basedOn w:val="Style_3"/>
    <w:link w:val="Style_1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footer"/>
    <w:basedOn w:val="Style_3_ch"/>
    <w:link w:val="Style_12"/>
  </w:style>
  <w:style w:styleId="Style_13" w:type="paragraph">
    <w:name w:val="toc 3"/>
    <w:next w:val="Style_3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2" w:type="paragraph">
    <w:name w:val="Font Style14"/>
    <w:link w:val="Style_2_ch"/>
    <w:rPr>
      <w:rFonts w:ascii="Times New Roman" w:hAnsi="Times New Roman"/>
      <w:sz w:val="20"/>
    </w:rPr>
  </w:style>
  <w:style w:styleId="Style_2_ch" w:type="character">
    <w:name w:val="Font Style14"/>
    <w:link w:val="Style_2"/>
    <w:rPr>
      <w:rFonts w:ascii="Times New Roman" w:hAnsi="Times New Roman"/>
      <w:sz w:val="20"/>
    </w:rPr>
  </w:style>
  <w:style w:styleId="Style_14" w:type="paragraph">
    <w:name w:val="heading 5"/>
    <w:next w:val="Style_3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Balloon Text"/>
    <w:basedOn w:val="Style_3"/>
    <w:link w:val="Style_20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3_ch"/>
    <w:link w:val="Style_20"/>
    <w:rPr>
      <w:rFonts w:ascii="Segoe UI" w:hAnsi="Segoe UI"/>
      <w:sz w:val="18"/>
    </w:rPr>
  </w:style>
  <w:style w:styleId="Style_21" w:type="paragraph">
    <w:name w:val="toc 9"/>
    <w:next w:val="Style_3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No Spacing"/>
    <w:link w:val="Style_22_ch"/>
    <w:pPr>
      <w:widowControl w:val="0"/>
      <w:spacing w:after="0" w:line="240" w:lineRule="auto"/>
      <w:ind/>
    </w:pPr>
  </w:style>
  <w:style w:styleId="Style_22_ch" w:type="character">
    <w:name w:val="No Spacing"/>
    <w:link w:val="Style_22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8"/>
    <w:next w:val="Style_3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3"/>
    <w:link w:val="Style_25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3"/>
    <w:link w:val="Style_2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2025-05-29T06:11:45Z</dcterms:created>
  <dcterms:modified xsi:type="dcterms:W3CDTF">2026-08-12T04:29:11Z</dcterms:modified>
</cp:coreProperties>
</file>