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D9" w:rsidRPr="009D3B58" w:rsidRDefault="007673D9" w:rsidP="007673D9">
      <w:pPr>
        <w:spacing w:after="0" w:line="240" w:lineRule="auto"/>
        <w:ind w:right="136"/>
        <w:jc w:val="center"/>
        <w:rPr>
          <w:rFonts w:ascii="PT Astra Serif" w:hAnsi="PT Astra Serif" w:cs="Times New Roman"/>
          <w:b/>
          <w:sz w:val="23"/>
          <w:szCs w:val="23"/>
        </w:rPr>
      </w:pPr>
      <w:r w:rsidRPr="009D3B58">
        <w:rPr>
          <w:rFonts w:ascii="PT Astra Serif" w:hAnsi="PT Astra Serif" w:cs="Times New Roman"/>
          <w:b/>
          <w:sz w:val="23"/>
          <w:szCs w:val="23"/>
        </w:rPr>
        <w:t xml:space="preserve">ОБОСНОВАНИЕ НАЧАЛЬНОЙ МАКСИМАЛЬНОЙ ЦЕНЫ КОНТРАКТА </w:t>
      </w:r>
      <w:r w:rsidRPr="009D3B58">
        <w:rPr>
          <w:rFonts w:ascii="PT Astra Serif" w:hAnsi="PT Astra Serif" w:cs="Times New Roman"/>
          <w:b/>
          <w:sz w:val="23"/>
          <w:szCs w:val="23"/>
        </w:rPr>
        <w:br/>
        <w:t>на поставку товара</w:t>
      </w:r>
    </w:p>
    <w:p w:rsidR="007673D9" w:rsidRPr="009D3B58" w:rsidRDefault="007673D9" w:rsidP="007673D9">
      <w:pPr>
        <w:tabs>
          <w:tab w:val="center" w:pos="4677"/>
          <w:tab w:val="right" w:pos="9355"/>
        </w:tabs>
        <w:spacing w:after="0"/>
        <w:jc w:val="both"/>
        <w:rPr>
          <w:rFonts w:ascii="PT Astra Serif" w:hAnsi="PT Astra Serif" w:cs="Times New Roman"/>
          <w:sz w:val="23"/>
          <w:szCs w:val="23"/>
        </w:rPr>
      </w:pPr>
      <w:r w:rsidRPr="009D3B58">
        <w:rPr>
          <w:rFonts w:ascii="PT Astra Serif" w:hAnsi="PT Astra Serif" w:cs="Times New Roman"/>
          <w:b/>
          <w:i/>
          <w:sz w:val="23"/>
          <w:szCs w:val="23"/>
          <w:u w:val="single"/>
        </w:rPr>
        <w:t xml:space="preserve">Наименование предмета контракта: </w:t>
      </w:r>
      <w:r w:rsidRPr="009D3B58">
        <w:rPr>
          <w:rFonts w:ascii="PT Astra Serif" w:hAnsi="PT Astra Serif" w:cs="Times New Roman"/>
          <w:sz w:val="23"/>
          <w:szCs w:val="23"/>
        </w:rPr>
        <w:t xml:space="preserve">поставка </w:t>
      </w:r>
      <w:r>
        <w:rPr>
          <w:rFonts w:ascii="PT Astra Serif" w:hAnsi="PT Astra Serif" w:cs="Times New Roman"/>
          <w:sz w:val="23"/>
          <w:szCs w:val="23"/>
        </w:rPr>
        <w:t>оборудования для проведения технического обслуживания</w:t>
      </w:r>
      <w:r w:rsidRPr="009D3B58">
        <w:rPr>
          <w:rFonts w:ascii="PT Astra Serif" w:hAnsi="PT Astra Serif" w:cs="Times New Roman"/>
          <w:sz w:val="23"/>
          <w:szCs w:val="23"/>
        </w:rPr>
        <w:t>.</w:t>
      </w:r>
    </w:p>
    <w:p w:rsidR="007673D9" w:rsidRPr="009D3B58" w:rsidRDefault="007673D9" w:rsidP="007673D9">
      <w:pPr>
        <w:spacing w:after="0" w:line="240" w:lineRule="auto"/>
        <w:ind w:right="-1" w:firstLine="708"/>
        <w:jc w:val="both"/>
        <w:rPr>
          <w:rFonts w:ascii="PT Astra Serif" w:hAnsi="PT Astra Serif" w:cs="Times New Roman"/>
          <w:sz w:val="23"/>
          <w:szCs w:val="23"/>
        </w:rPr>
      </w:pPr>
      <w:r w:rsidRPr="009D3B58">
        <w:rPr>
          <w:rFonts w:ascii="PT Astra Serif" w:hAnsi="PT Astra Serif" w:cs="Times New Roman"/>
          <w:sz w:val="23"/>
          <w:szCs w:val="23"/>
        </w:rPr>
        <w:t xml:space="preserve">В соответствии с требованиями статьи 22 Федерального закона от 05 апреля 2013 г </w:t>
      </w:r>
      <w:r w:rsidRPr="009D3B58">
        <w:rPr>
          <w:rFonts w:ascii="PT Astra Serif" w:hAnsi="PT Astra Serif" w:cs="Times New Roman"/>
          <w:sz w:val="23"/>
          <w:szCs w:val="23"/>
        </w:rPr>
        <w:br/>
        <w:t>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p w:rsidR="007673D9" w:rsidRPr="009D3B58" w:rsidRDefault="007673D9" w:rsidP="007673D9">
      <w:pPr>
        <w:shd w:val="clear" w:color="auto" w:fill="FFFFFF" w:themeFill="background1"/>
        <w:spacing w:after="0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9D3B58">
        <w:rPr>
          <w:rFonts w:ascii="PT Astra Serif" w:hAnsi="PT Astra Serif" w:cs="Times New Roman"/>
          <w:sz w:val="23"/>
          <w:szCs w:val="23"/>
        </w:rPr>
        <w:t xml:space="preserve">В целях получении ценовой информации для определения цены контракта </w:t>
      </w:r>
      <w:r>
        <w:rPr>
          <w:rFonts w:ascii="PT Astra Serif" w:hAnsi="PT Astra Serif" w:cs="Times New Roman"/>
          <w:sz w:val="23"/>
          <w:szCs w:val="23"/>
        </w:rPr>
        <w:t>проведён анализ рынка из открытых источников, скриншоты соответствующих страниц сайтов с указанием даты и времени их формирования прилагаю.</w:t>
      </w:r>
    </w:p>
    <w:tbl>
      <w:tblPr>
        <w:tblpPr w:leftFromText="180" w:rightFromText="180" w:vertAnchor="text" w:tblpX="-663" w:tblpY="1"/>
        <w:tblOverlap w:val="never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656"/>
        <w:gridCol w:w="703"/>
        <w:gridCol w:w="1245"/>
        <w:gridCol w:w="1204"/>
        <w:gridCol w:w="1237"/>
        <w:gridCol w:w="1139"/>
        <w:gridCol w:w="1242"/>
        <w:gridCol w:w="952"/>
      </w:tblGrid>
      <w:tr w:rsidR="007673D9" w:rsidRPr="00B55462" w:rsidTr="00D7246D">
        <w:tc>
          <w:tcPr>
            <w:tcW w:w="2180" w:type="dxa"/>
            <w:vMerge w:val="restart"/>
            <w:vAlign w:val="center"/>
            <w:hideMark/>
          </w:tcPr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№ п/п</w:t>
            </w:r>
          </w:p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Наименование</w:t>
            </w:r>
          </w:p>
        </w:tc>
        <w:tc>
          <w:tcPr>
            <w:tcW w:w="656" w:type="dxa"/>
            <w:vMerge w:val="restart"/>
            <w:vAlign w:val="center"/>
            <w:hideMark/>
          </w:tcPr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Ед. изм.</w:t>
            </w:r>
          </w:p>
        </w:tc>
        <w:tc>
          <w:tcPr>
            <w:tcW w:w="703" w:type="dxa"/>
            <w:vMerge w:val="restart"/>
            <w:vAlign w:val="center"/>
          </w:tcPr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Кол-во</w:t>
            </w:r>
          </w:p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686" w:type="dxa"/>
            <w:gridSpan w:val="3"/>
            <w:vAlign w:val="center"/>
            <w:hideMark/>
          </w:tcPr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 xml:space="preserve">Средняя цена </w:t>
            </w:r>
            <w:r w:rsidRPr="00B55462">
              <w:rPr>
                <w:rFonts w:ascii="PT Astra Serif" w:hAnsi="PT Astra Serif" w:cs="Times New Roman"/>
                <w:b/>
                <w:color w:val="000000" w:themeColor="text1"/>
                <w:sz w:val="23"/>
                <w:szCs w:val="23"/>
              </w:rPr>
              <w:t>(за ед.),</w:t>
            </w: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 xml:space="preserve"> рублей</w:t>
            </w:r>
          </w:p>
        </w:tc>
        <w:tc>
          <w:tcPr>
            <w:tcW w:w="1139" w:type="dxa"/>
            <w:vMerge w:val="restart"/>
            <w:vAlign w:val="center"/>
            <w:hideMark/>
          </w:tcPr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Минимальная цена, руб.</w:t>
            </w:r>
          </w:p>
        </w:tc>
        <w:tc>
          <w:tcPr>
            <w:tcW w:w="1242" w:type="dxa"/>
            <w:vMerge w:val="restart"/>
          </w:tcPr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sz w:val="23"/>
                <w:szCs w:val="23"/>
              </w:rPr>
              <w:t xml:space="preserve">Среднее квадр. </w:t>
            </w:r>
            <w:proofErr w:type="spellStart"/>
            <w:r w:rsidRPr="00B55462">
              <w:rPr>
                <w:rFonts w:ascii="PT Astra Serif" w:hAnsi="PT Astra Serif" w:cs="Times New Roman"/>
                <w:sz w:val="23"/>
                <w:szCs w:val="23"/>
              </w:rPr>
              <w:t>отк</w:t>
            </w:r>
            <w:proofErr w:type="spellEnd"/>
            <w:r w:rsidRPr="00B55462">
              <w:rPr>
                <w:rFonts w:ascii="PT Astra Serif" w:hAnsi="PT Astra Serif" w:cs="Times New Roman"/>
                <w:sz w:val="23"/>
                <w:szCs w:val="23"/>
              </w:rPr>
              <w:t>.</w:t>
            </w:r>
          </w:p>
        </w:tc>
        <w:tc>
          <w:tcPr>
            <w:tcW w:w="952" w:type="dxa"/>
            <w:vMerge w:val="restart"/>
          </w:tcPr>
          <w:p w:rsidR="007673D9" w:rsidRPr="00B55462" w:rsidRDefault="007673D9" w:rsidP="00D7246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3"/>
                <w:szCs w:val="23"/>
                <w:shd w:val="clear" w:color="auto" w:fill="F5F5F5"/>
              </w:rPr>
            </w:pPr>
            <w:proofErr w:type="spellStart"/>
            <w:r w:rsidRPr="00B55462">
              <w:rPr>
                <w:rFonts w:ascii="PT Astra Serif" w:hAnsi="PT Astra Serif" w:cs="Times New Roman"/>
                <w:sz w:val="23"/>
                <w:szCs w:val="23"/>
              </w:rPr>
              <w:t>Коэф</w:t>
            </w:r>
            <w:proofErr w:type="spellEnd"/>
            <w:r w:rsidRPr="00B55462">
              <w:rPr>
                <w:rFonts w:ascii="PT Astra Serif" w:hAnsi="PT Astra Serif" w:cs="Times New Roman"/>
                <w:sz w:val="23"/>
                <w:szCs w:val="23"/>
              </w:rPr>
              <w:t>.</w:t>
            </w:r>
            <w:r w:rsidRPr="00B55462">
              <w:rPr>
                <w:rFonts w:ascii="PT Astra Serif" w:hAnsi="PT Astra Serif" w:cs="Times New Roman"/>
                <w:sz w:val="23"/>
                <w:szCs w:val="23"/>
              </w:rPr>
              <w:br/>
            </w:r>
            <w:r w:rsidRPr="00B55462">
              <w:rPr>
                <w:rFonts w:ascii="PT Astra Serif" w:hAnsi="PT Astra Serif" w:cs="Times New Roman"/>
                <w:sz w:val="23"/>
                <w:szCs w:val="23"/>
                <w:shd w:val="clear" w:color="auto" w:fill="F5F5F5"/>
              </w:rPr>
              <w:t xml:space="preserve"> </w:t>
            </w:r>
            <w:r w:rsidRPr="00B55462">
              <w:rPr>
                <w:rFonts w:ascii="PT Astra Serif" w:hAnsi="PT Astra Serif" w:cs="Times New Roman"/>
                <w:sz w:val="23"/>
                <w:szCs w:val="23"/>
              </w:rPr>
              <w:t>вар.</w:t>
            </w:r>
            <w:r w:rsidRPr="00B55462">
              <w:rPr>
                <w:rFonts w:ascii="PT Astra Serif" w:hAnsi="PT Astra Serif" w:cs="Times New Roman"/>
                <w:sz w:val="23"/>
                <w:szCs w:val="23"/>
                <w:shd w:val="clear" w:color="auto" w:fill="F5F5F5"/>
              </w:rPr>
              <w:t xml:space="preserve"> </w:t>
            </w:r>
            <w:r w:rsidRPr="00B55462">
              <w:rPr>
                <w:rFonts w:ascii="PT Astra Serif" w:hAnsi="PT Astra Serif" w:cs="Times New Roman"/>
                <w:sz w:val="23"/>
                <w:szCs w:val="23"/>
              </w:rPr>
              <w:t xml:space="preserve">цен </w:t>
            </w:r>
          </w:p>
        </w:tc>
      </w:tr>
      <w:tr w:rsidR="007673D9" w:rsidRPr="00B55462" w:rsidTr="00D7246D">
        <w:trPr>
          <w:trHeight w:val="611"/>
        </w:trPr>
        <w:tc>
          <w:tcPr>
            <w:tcW w:w="2180" w:type="dxa"/>
            <w:vMerge/>
            <w:vAlign w:val="center"/>
            <w:hideMark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703" w:type="dxa"/>
            <w:vMerge/>
            <w:vAlign w:val="center"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5" w:type="dxa"/>
            <w:hideMark/>
          </w:tcPr>
          <w:p w:rsidR="007673D9" w:rsidRPr="00B55462" w:rsidRDefault="007673D9" w:rsidP="00D7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Предл.</w:t>
            </w: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br/>
              <w:t>1</w:t>
            </w:r>
          </w:p>
        </w:tc>
        <w:tc>
          <w:tcPr>
            <w:tcW w:w="1204" w:type="dxa"/>
            <w:hideMark/>
          </w:tcPr>
          <w:p w:rsidR="007673D9" w:rsidRPr="00B55462" w:rsidRDefault="007673D9" w:rsidP="00D7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Предл.</w:t>
            </w: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br/>
              <w:t>2</w:t>
            </w:r>
          </w:p>
        </w:tc>
        <w:tc>
          <w:tcPr>
            <w:tcW w:w="1237" w:type="dxa"/>
            <w:hideMark/>
          </w:tcPr>
          <w:p w:rsidR="007673D9" w:rsidRPr="00B55462" w:rsidRDefault="007673D9" w:rsidP="00D7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t>Предл.</w:t>
            </w:r>
            <w:r w:rsidRPr="00B55462"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  <w:br/>
              <w:t>3</w:t>
            </w:r>
          </w:p>
        </w:tc>
        <w:tc>
          <w:tcPr>
            <w:tcW w:w="1139" w:type="dxa"/>
            <w:vMerge/>
            <w:vAlign w:val="center"/>
            <w:hideMark/>
          </w:tcPr>
          <w:p w:rsidR="007673D9" w:rsidRPr="00B55462" w:rsidRDefault="007673D9" w:rsidP="00D7246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vMerge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952" w:type="dxa"/>
            <w:vMerge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3"/>
                <w:szCs w:val="23"/>
              </w:rPr>
            </w:pPr>
          </w:p>
        </w:tc>
      </w:tr>
      <w:tr w:rsidR="007673D9" w:rsidRPr="00B55462" w:rsidTr="00D7246D">
        <w:trPr>
          <w:trHeight w:val="422"/>
        </w:trPr>
        <w:tc>
          <w:tcPr>
            <w:tcW w:w="2180" w:type="dxa"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1C38CA">
              <w:rPr>
                <w:rFonts w:ascii="PT Astra Serif" w:hAnsi="PT Astra Serif"/>
                <w:sz w:val="23"/>
                <w:szCs w:val="23"/>
              </w:rPr>
              <w:t>Сухая адаптивная смазка A-FLON 99811 0099811</w:t>
            </w:r>
          </w:p>
        </w:tc>
        <w:tc>
          <w:tcPr>
            <w:tcW w:w="656" w:type="dxa"/>
            <w:vAlign w:val="center"/>
          </w:tcPr>
          <w:p w:rsidR="007673D9" w:rsidRPr="00B55462" w:rsidRDefault="007673D9" w:rsidP="00D7246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703" w:type="dxa"/>
            <w:vAlign w:val="center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55462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45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1770,00</w:t>
            </w:r>
          </w:p>
        </w:tc>
        <w:tc>
          <w:tcPr>
            <w:tcW w:w="1204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1534,00</w:t>
            </w:r>
          </w:p>
        </w:tc>
        <w:tc>
          <w:tcPr>
            <w:tcW w:w="1237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1379,00</w:t>
            </w:r>
          </w:p>
        </w:tc>
        <w:tc>
          <w:tcPr>
            <w:tcW w:w="1139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1379,00</w:t>
            </w:r>
          </w:p>
        </w:tc>
        <w:tc>
          <w:tcPr>
            <w:tcW w:w="124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297,41</w:t>
            </w:r>
          </w:p>
        </w:tc>
        <w:tc>
          <w:tcPr>
            <w:tcW w:w="95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21,57</w:t>
            </w:r>
          </w:p>
        </w:tc>
      </w:tr>
      <w:tr w:rsidR="007673D9" w:rsidRPr="00B55462" w:rsidTr="00D7246D">
        <w:trPr>
          <w:trHeight w:val="422"/>
        </w:trPr>
        <w:tc>
          <w:tcPr>
            <w:tcW w:w="2180" w:type="dxa"/>
          </w:tcPr>
          <w:p w:rsidR="007673D9" w:rsidRPr="00784C37" w:rsidRDefault="007673D9" w:rsidP="00D7246D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 xml:space="preserve">Смазка 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OILRIGHT</w:t>
            </w:r>
            <w:r w:rsidRPr="00784C37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/>
                <w:sz w:val="23"/>
                <w:szCs w:val="23"/>
              </w:rPr>
              <w:t>Шрус-4 800 г, ведро 2945</w:t>
            </w:r>
          </w:p>
        </w:tc>
        <w:tc>
          <w:tcPr>
            <w:tcW w:w="656" w:type="dxa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703" w:type="dxa"/>
            <w:vAlign w:val="center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</w:t>
            </w:r>
            <w:r w:rsidRPr="00B55462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245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816,00</w:t>
            </w:r>
          </w:p>
        </w:tc>
        <w:tc>
          <w:tcPr>
            <w:tcW w:w="1204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900,00</w:t>
            </w:r>
          </w:p>
        </w:tc>
        <w:tc>
          <w:tcPr>
            <w:tcW w:w="1237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781,00</w:t>
            </w:r>
          </w:p>
        </w:tc>
        <w:tc>
          <w:tcPr>
            <w:tcW w:w="1139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1562,00</w:t>
            </w:r>
          </w:p>
        </w:tc>
        <w:tc>
          <w:tcPr>
            <w:tcW w:w="124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87,71</w:t>
            </w:r>
          </w:p>
        </w:tc>
        <w:tc>
          <w:tcPr>
            <w:tcW w:w="95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11,23</w:t>
            </w:r>
          </w:p>
        </w:tc>
      </w:tr>
      <w:tr w:rsidR="007673D9" w:rsidRPr="00B55462" w:rsidTr="00D7246D">
        <w:trPr>
          <w:trHeight w:val="422"/>
        </w:trPr>
        <w:tc>
          <w:tcPr>
            <w:tcW w:w="2180" w:type="dxa"/>
          </w:tcPr>
          <w:p w:rsidR="007673D9" w:rsidRPr="00784C37" w:rsidRDefault="007673D9" w:rsidP="00D7246D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  <w:lang w:val="en-US"/>
              </w:rPr>
              <w:t>WD-40 100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мл, Смазка универсальная</w:t>
            </w:r>
          </w:p>
        </w:tc>
        <w:tc>
          <w:tcPr>
            <w:tcW w:w="656" w:type="dxa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703" w:type="dxa"/>
            <w:vAlign w:val="center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</w:t>
            </w:r>
            <w:r w:rsidRPr="00B55462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1245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580,00</w:t>
            </w:r>
          </w:p>
        </w:tc>
        <w:tc>
          <w:tcPr>
            <w:tcW w:w="1204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550,00</w:t>
            </w:r>
          </w:p>
        </w:tc>
        <w:tc>
          <w:tcPr>
            <w:tcW w:w="1237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539,00</w:t>
            </w:r>
          </w:p>
        </w:tc>
        <w:tc>
          <w:tcPr>
            <w:tcW w:w="1139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1078,00</w:t>
            </w:r>
          </w:p>
        </w:tc>
        <w:tc>
          <w:tcPr>
            <w:tcW w:w="124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30,02</w:t>
            </w:r>
          </w:p>
        </w:tc>
        <w:tc>
          <w:tcPr>
            <w:tcW w:w="95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5,57</w:t>
            </w:r>
          </w:p>
        </w:tc>
      </w:tr>
      <w:tr w:rsidR="007673D9" w:rsidRPr="00B55462" w:rsidTr="00D7246D">
        <w:trPr>
          <w:trHeight w:val="422"/>
        </w:trPr>
        <w:tc>
          <w:tcPr>
            <w:tcW w:w="2180" w:type="dxa"/>
          </w:tcPr>
          <w:p w:rsidR="007673D9" w:rsidRPr="00784C37" w:rsidRDefault="007673D9" w:rsidP="00D7246D">
            <w:pPr>
              <w:spacing w:after="0" w:line="240" w:lineRule="auto"/>
              <w:rPr>
                <w:rFonts w:ascii="PT Astra Serif" w:hAnsi="PT Astra Serif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3"/>
                <w:szCs w:val="23"/>
              </w:rPr>
              <w:t>Рыжачно</w:t>
            </w:r>
            <w:proofErr w:type="spellEnd"/>
            <w:r>
              <w:rPr>
                <w:rFonts w:ascii="PT Astra Serif" w:hAnsi="PT Astra Serif"/>
                <w:sz w:val="23"/>
                <w:szCs w:val="23"/>
              </w:rPr>
              <w:t xml:space="preserve">-плунжерный шприц 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GG-400</w:t>
            </w:r>
          </w:p>
        </w:tc>
        <w:tc>
          <w:tcPr>
            <w:tcW w:w="656" w:type="dxa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703" w:type="dxa"/>
            <w:vAlign w:val="center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45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860,00</w:t>
            </w:r>
          </w:p>
        </w:tc>
        <w:tc>
          <w:tcPr>
            <w:tcW w:w="1204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662,50</w:t>
            </w:r>
          </w:p>
        </w:tc>
        <w:tc>
          <w:tcPr>
            <w:tcW w:w="1237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649,20</w:t>
            </w:r>
          </w:p>
        </w:tc>
        <w:tc>
          <w:tcPr>
            <w:tcW w:w="1139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649,20</w:t>
            </w:r>
          </w:p>
        </w:tc>
        <w:tc>
          <w:tcPr>
            <w:tcW w:w="124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149,35</w:t>
            </w:r>
          </w:p>
        </w:tc>
        <w:tc>
          <w:tcPr>
            <w:tcW w:w="95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23,01</w:t>
            </w:r>
          </w:p>
        </w:tc>
      </w:tr>
      <w:tr w:rsidR="007673D9" w:rsidRPr="00B55462" w:rsidTr="00D7246D">
        <w:trPr>
          <w:trHeight w:val="422"/>
        </w:trPr>
        <w:tc>
          <w:tcPr>
            <w:tcW w:w="2180" w:type="dxa"/>
          </w:tcPr>
          <w:p w:rsidR="007673D9" w:rsidRPr="00784C37" w:rsidRDefault="007673D9" w:rsidP="00D7246D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  <w:lang w:val="en-US"/>
              </w:rPr>
              <w:t>MS</w:t>
            </w:r>
            <w:r w:rsidRPr="00784C37">
              <w:rPr>
                <w:rFonts w:ascii="PT Astra Serif" w:hAnsi="PT Astra Serif"/>
                <w:sz w:val="23"/>
                <w:szCs w:val="23"/>
              </w:rPr>
              <w:t>6812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A</w:t>
            </w:r>
            <w:r>
              <w:rPr>
                <w:rFonts w:ascii="PT Astra Serif" w:hAnsi="PT Astra Serif"/>
                <w:sz w:val="23"/>
                <w:szCs w:val="23"/>
              </w:rPr>
              <w:t>, Тестер кабельный с генератором сигналов и сетевой пробник</w:t>
            </w:r>
          </w:p>
        </w:tc>
        <w:tc>
          <w:tcPr>
            <w:tcW w:w="656" w:type="dxa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703" w:type="dxa"/>
            <w:vAlign w:val="center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55462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45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1950,00</w:t>
            </w:r>
          </w:p>
        </w:tc>
        <w:tc>
          <w:tcPr>
            <w:tcW w:w="1204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1936,00</w:t>
            </w:r>
          </w:p>
        </w:tc>
        <w:tc>
          <w:tcPr>
            <w:tcW w:w="1237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1799,00</w:t>
            </w:r>
          </w:p>
        </w:tc>
        <w:tc>
          <w:tcPr>
            <w:tcW w:w="1139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1 799,00</w:t>
            </w:r>
          </w:p>
        </w:tc>
        <w:tc>
          <w:tcPr>
            <w:tcW w:w="124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144,17</w:t>
            </w:r>
          </w:p>
        </w:tc>
        <w:tc>
          <w:tcPr>
            <w:tcW w:w="95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8,01</w:t>
            </w:r>
          </w:p>
        </w:tc>
      </w:tr>
      <w:tr w:rsidR="007673D9" w:rsidRPr="00B55462" w:rsidTr="00D7246D">
        <w:trPr>
          <w:trHeight w:val="422"/>
        </w:trPr>
        <w:tc>
          <w:tcPr>
            <w:tcW w:w="2180" w:type="dxa"/>
          </w:tcPr>
          <w:p w:rsidR="007673D9" w:rsidRPr="00784C37" w:rsidRDefault="007673D9" w:rsidP="00D7246D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Батарейка</w:t>
            </w:r>
            <w:r w:rsidRPr="00784C37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GP</w:t>
            </w:r>
            <w:r w:rsidRPr="00784C37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Super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крона</w:t>
            </w:r>
            <w:r w:rsidRPr="00784C37">
              <w:rPr>
                <w:rFonts w:ascii="PT Astra Serif" w:hAnsi="PT Astra Serif"/>
                <w:sz w:val="23"/>
                <w:szCs w:val="23"/>
              </w:rPr>
              <w:t xml:space="preserve"> (6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LR</w:t>
            </w:r>
            <w:r w:rsidRPr="00784C37">
              <w:rPr>
                <w:rFonts w:ascii="PT Astra Serif" w:hAnsi="PT Astra Serif"/>
                <w:sz w:val="23"/>
                <w:szCs w:val="23"/>
              </w:rPr>
              <w:t>61/6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F</w:t>
            </w:r>
            <w:r w:rsidRPr="00784C37">
              <w:rPr>
                <w:rFonts w:ascii="PT Astra Serif" w:hAnsi="PT Astra Serif"/>
                <w:sz w:val="23"/>
                <w:szCs w:val="23"/>
              </w:rPr>
              <w:t>22/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CR</w:t>
            </w:r>
            <w:r w:rsidRPr="00784C37">
              <w:rPr>
                <w:rFonts w:ascii="PT Astra Serif" w:hAnsi="PT Astra Serif"/>
                <w:sz w:val="23"/>
                <w:szCs w:val="23"/>
              </w:rPr>
              <w:t>-9</w:t>
            </w:r>
            <w:r>
              <w:rPr>
                <w:rFonts w:ascii="PT Astra Serif" w:hAnsi="PT Astra Serif"/>
                <w:sz w:val="23"/>
                <w:szCs w:val="23"/>
                <w:lang w:val="en-US"/>
              </w:rPr>
              <w:t>V</w:t>
            </w:r>
            <w:r w:rsidRPr="00784C37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656" w:type="dxa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703" w:type="dxa"/>
            <w:vAlign w:val="center"/>
          </w:tcPr>
          <w:p w:rsidR="007673D9" w:rsidRPr="00B55462" w:rsidRDefault="007673D9" w:rsidP="00D7246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45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399,00</w:t>
            </w:r>
          </w:p>
        </w:tc>
        <w:tc>
          <w:tcPr>
            <w:tcW w:w="1204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310,00</w:t>
            </w:r>
          </w:p>
        </w:tc>
        <w:tc>
          <w:tcPr>
            <w:tcW w:w="1237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279,00</w:t>
            </w:r>
          </w:p>
        </w:tc>
        <w:tc>
          <w:tcPr>
            <w:tcW w:w="1139" w:type="dxa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3348,00</w:t>
            </w:r>
          </w:p>
        </w:tc>
        <w:tc>
          <w:tcPr>
            <w:tcW w:w="124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87,64</w:t>
            </w:r>
          </w:p>
        </w:tc>
        <w:tc>
          <w:tcPr>
            <w:tcW w:w="952" w:type="dxa"/>
            <w:shd w:val="clear" w:color="auto" w:fill="auto"/>
          </w:tcPr>
          <w:p w:rsidR="007673D9" w:rsidRPr="00B55462" w:rsidRDefault="007673D9" w:rsidP="00D7246D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31,41</w:t>
            </w:r>
          </w:p>
        </w:tc>
      </w:tr>
      <w:tr w:rsidR="007673D9" w:rsidRPr="00B55462" w:rsidTr="00D7246D">
        <w:trPr>
          <w:trHeight w:val="454"/>
        </w:trPr>
        <w:tc>
          <w:tcPr>
            <w:tcW w:w="3539" w:type="dxa"/>
            <w:gridSpan w:val="3"/>
          </w:tcPr>
          <w:p w:rsidR="007673D9" w:rsidRPr="00B55462" w:rsidRDefault="007673D9" w:rsidP="00D7246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3"/>
                <w:szCs w:val="23"/>
              </w:rPr>
            </w:pPr>
            <w:r w:rsidRPr="00B55462">
              <w:rPr>
                <w:rFonts w:ascii="PT Astra Serif" w:hAnsi="PT Astra Serif" w:cs="Times New Roman"/>
                <w:b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245" w:type="dxa"/>
            <w:vAlign w:val="center"/>
          </w:tcPr>
          <w:p w:rsidR="007673D9" w:rsidRPr="00B55462" w:rsidRDefault="007673D9" w:rsidP="00D7246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</w:p>
        </w:tc>
        <w:tc>
          <w:tcPr>
            <w:tcW w:w="1204" w:type="dxa"/>
            <w:vAlign w:val="center"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</w:p>
        </w:tc>
        <w:tc>
          <w:tcPr>
            <w:tcW w:w="1237" w:type="dxa"/>
            <w:vAlign w:val="center"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</w:p>
        </w:tc>
        <w:tc>
          <w:tcPr>
            <w:tcW w:w="1139" w:type="dxa"/>
            <w:vAlign w:val="center"/>
          </w:tcPr>
          <w:p w:rsidR="007673D9" w:rsidRPr="00B55462" w:rsidRDefault="007673D9" w:rsidP="00D7246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9815,20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673D9" w:rsidRPr="00B55462" w:rsidRDefault="007673D9" w:rsidP="00D7246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52" w:type="dxa"/>
            <w:shd w:val="clear" w:color="auto" w:fill="auto"/>
          </w:tcPr>
          <w:p w:rsidR="007673D9" w:rsidRPr="00B55462" w:rsidRDefault="007673D9" w:rsidP="00D7246D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:rsidR="007673D9" w:rsidRPr="009D3B58" w:rsidRDefault="007673D9" w:rsidP="007673D9">
      <w:pPr>
        <w:spacing w:after="0" w:line="240" w:lineRule="auto"/>
        <w:ind w:left="-284" w:firstLine="284"/>
        <w:jc w:val="both"/>
        <w:rPr>
          <w:rFonts w:ascii="PT Astra Serif" w:hAnsi="PT Astra Serif" w:cs="Times New Roman"/>
          <w:sz w:val="23"/>
          <w:szCs w:val="23"/>
        </w:rPr>
      </w:pPr>
      <w:r w:rsidRPr="009D3B58">
        <w:rPr>
          <w:rFonts w:ascii="PT Astra Serif" w:hAnsi="PT Astra Serif" w:cs="Times New Roman"/>
          <w:color w:val="000000" w:themeColor="text1"/>
          <w:sz w:val="23"/>
          <w:szCs w:val="23"/>
        </w:rPr>
        <w:t xml:space="preserve">В связи с тем, что коэффициент вариации (V) во всех случаях не превышает 33%, совокупность значений цены в расчетах считается однородной. </w:t>
      </w:r>
      <w:r w:rsidRPr="009D3B58">
        <w:rPr>
          <w:rFonts w:ascii="PT Astra Serif" w:hAnsi="PT Astra Serif" w:cs="Times New Roman"/>
          <w:sz w:val="23"/>
          <w:szCs w:val="23"/>
        </w:rPr>
        <w:t>Руководствуясь имеющими предложениями и экономической целесообразностью, было принято решение об установлении начальной (максимальной) цены по каждой позиции в размере среднерыночной</w:t>
      </w:r>
      <w:r w:rsidRPr="009D3B58">
        <w:rPr>
          <w:rFonts w:ascii="PT Astra Serif" w:hAnsi="PT Astra Serif" w:cs="Times New Roman"/>
          <w:i/>
          <w:sz w:val="23"/>
          <w:szCs w:val="23"/>
        </w:rPr>
        <w:t xml:space="preserve"> </w:t>
      </w:r>
      <w:r w:rsidRPr="009D3B58">
        <w:rPr>
          <w:rFonts w:ascii="PT Astra Serif" w:hAnsi="PT Astra Serif" w:cs="Times New Roman"/>
          <w:sz w:val="23"/>
          <w:szCs w:val="23"/>
        </w:rPr>
        <w:t xml:space="preserve">цены </w:t>
      </w:r>
      <w:r w:rsidRPr="009D3B58">
        <w:rPr>
          <w:rFonts w:ascii="PT Astra Serif" w:hAnsi="PT Astra Serif" w:cs="Times New Roman"/>
          <w:sz w:val="23"/>
          <w:szCs w:val="23"/>
        </w:rPr>
        <w:br/>
        <w:t xml:space="preserve">по анализируемым предложениям. </w:t>
      </w:r>
    </w:p>
    <w:p w:rsidR="007673D9" w:rsidRPr="009D3B58" w:rsidRDefault="007673D9" w:rsidP="007673D9">
      <w:pPr>
        <w:spacing w:after="0" w:line="240" w:lineRule="auto"/>
        <w:ind w:left="-284" w:firstLine="992"/>
        <w:jc w:val="both"/>
        <w:rPr>
          <w:rFonts w:ascii="PT Astra Serif" w:hAnsi="PT Astra Serif" w:cs="Times New Roman"/>
          <w:color w:val="000000" w:themeColor="text1"/>
          <w:sz w:val="23"/>
          <w:szCs w:val="23"/>
        </w:rPr>
      </w:pPr>
    </w:p>
    <w:p w:rsidR="007673D9" w:rsidRPr="009D3B58" w:rsidRDefault="007673D9" w:rsidP="007673D9">
      <w:pPr>
        <w:spacing w:after="0" w:line="240" w:lineRule="auto"/>
        <w:ind w:left="-284" w:firstLine="992"/>
        <w:jc w:val="both"/>
        <w:rPr>
          <w:rFonts w:ascii="PT Astra Serif" w:hAnsi="PT Astra Serif" w:cs="Times New Roman"/>
          <w:b/>
          <w:sz w:val="23"/>
          <w:szCs w:val="23"/>
        </w:rPr>
      </w:pPr>
      <w:r w:rsidRPr="009D3B58">
        <w:rPr>
          <w:rFonts w:ascii="PT Astra Serif" w:hAnsi="PT Astra Serif" w:cs="Times New Roman"/>
          <w:b/>
          <w:sz w:val="23"/>
          <w:szCs w:val="23"/>
        </w:rPr>
        <w:t xml:space="preserve">Минимальная цена контракта: </w:t>
      </w:r>
      <w:r>
        <w:rPr>
          <w:rFonts w:ascii="PT Astra Serif" w:hAnsi="PT Astra Serif" w:cs="Times New Roman"/>
          <w:b/>
          <w:color w:val="000000"/>
          <w:sz w:val="23"/>
          <w:szCs w:val="23"/>
        </w:rPr>
        <w:t>9815,</w:t>
      </w:r>
      <w:proofErr w:type="gramStart"/>
      <w:r>
        <w:rPr>
          <w:rFonts w:ascii="PT Astra Serif" w:hAnsi="PT Astra Serif" w:cs="Times New Roman"/>
          <w:b/>
          <w:color w:val="000000"/>
          <w:sz w:val="23"/>
          <w:szCs w:val="23"/>
        </w:rPr>
        <w:t xml:space="preserve">20 </w:t>
      </w:r>
      <w:r w:rsidRPr="009D3B58">
        <w:rPr>
          <w:rFonts w:ascii="PT Astra Serif" w:hAnsi="PT Astra Serif" w:cs="Times New Roman"/>
          <w:color w:val="000000"/>
          <w:sz w:val="23"/>
          <w:szCs w:val="23"/>
        </w:rPr>
        <w:t xml:space="preserve"> </w:t>
      </w:r>
      <w:r w:rsidRPr="009D3B58">
        <w:rPr>
          <w:rFonts w:ascii="PT Astra Serif" w:hAnsi="PT Astra Serif" w:cs="Times New Roman"/>
          <w:b/>
          <w:sz w:val="23"/>
          <w:szCs w:val="23"/>
        </w:rPr>
        <w:t>руб.</w:t>
      </w:r>
      <w:proofErr w:type="gramEnd"/>
    </w:p>
    <w:p w:rsidR="00E6682F" w:rsidRDefault="00E6682F">
      <w:bookmarkStart w:id="0" w:name="_GoBack"/>
      <w:bookmarkEnd w:id="0"/>
    </w:p>
    <w:sectPr w:rsidR="00E6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D9"/>
    <w:rsid w:val="006F59B9"/>
    <w:rsid w:val="007673D9"/>
    <w:rsid w:val="00C625DD"/>
    <w:rsid w:val="00E52572"/>
    <w:rsid w:val="00E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A07EA-2B0E-4DDC-A11F-BFFD7219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D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5DD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5DD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625DD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5DD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5DD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5DD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625DD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5DD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5DD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25DD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625DD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rsid w:val="00C625DD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C625DD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C625DD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link w:val="6"/>
    <w:uiPriority w:val="9"/>
    <w:semiHidden/>
    <w:rsid w:val="00C625DD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Заголовок 7 Знак"/>
    <w:link w:val="7"/>
    <w:uiPriority w:val="9"/>
    <w:rsid w:val="00C625DD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625DD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25DD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C625DD"/>
    <w:pPr>
      <w:spacing w:line="240" w:lineRule="auto"/>
    </w:pPr>
    <w:rPr>
      <w:rFonts w:eastAsiaTheme="minorHAnsi"/>
      <w:b/>
      <w:bCs/>
      <w:color w:val="5B9BD5"/>
      <w:sz w:val="18"/>
      <w:szCs w:val="18"/>
      <w:lang w:eastAsia="en-US"/>
    </w:rPr>
  </w:style>
  <w:style w:type="paragraph" w:customStyle="1" w:styleId="11">
    <w:name w:val="1"/>
    <w:basedOn w:val="a"/>
    <w:next w:val="a"/>
    <w:uiPriority w:val="10"/>
    <w:qFormat/>
    <w:rsid w:val="00C625D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a4">
    <w:name w:val="Заголовок Знак"/>
    <w:link w:val="a5"/>
    <w:uiPriority w:val="10"/>
    <w:rsid w:val="00C625DD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5">
    <w:name w:val="Title"/>
    <w:basedOn w:val="a"/>
    <w:next w:val="a"/>
    <w:link w:val="a4"/>
    <w:uiPriority w:val="10"/>
    <w:rsid w:val="00C625DD"/>
    <w:pPr>
      <w:spacing w:after="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2">
    <w:name w:val="Заголовок Знак1"/>
    <w:basedOn w:val="a0"/>
    <w:uiPriority w:val="10"/>
    <w:rsid w:val="00C6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625DD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C625DD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8">
    <w:name w:val="Strong"/>
    <w:uiPriority w:val="22"/>
    <w:qFormat/>
    <w:rsid w:val="00C625DD"/>
    <w:rPr>
      <w:b/>
      <w:bCs/>
    </w:rPr>
  </w:style>
  <w:style w:type="character" w:styleId="a9">
    <w:name w:val="Emphasis"/>
    <w:uiPriority w:val="20"/>
    <w:qFormat/>
    <w:rsid w:val="00C625DD"/>
    <w:rPr>
      <w:i/>
      <w:iCs/>
    </w:rPr>
  </w:style>
  <w:style w:type="paragraph" w:styleId="aa">
    <w:name w:val="No Spacing"/>
    <w:uiPriority w:val="1"/>
    <w:qFormat/>
    <w:rsid w:val="00C625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5DD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625DD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link w:val="21"/>
    <w:uiPriority w:val="29"/>
    <w:rsid w:val="00C625D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625DD"/>
    <w:pPr>
      <w:pBdr>
        <w:bottom w:val="single" w:sz="4" w:space="4" w:color="5B9BD5"/>
      </w:pBdr>
      <w:spacing w:before="200" w:after="280"/>
      <w:ind w:left="936" w:right="936"/>
    </w:pPr>
    <w:rPr>
      <w:rFonts w:eastAsiaTheme="minorHAnsi"/>
      <w:b/>
      <w:bCs/>
      <w:i/>
      <w:iCs/>
      <w:color w:val="5B9BD5"/>
      <w:lang w:eastAsia="en-US"/>
    </w:rPr>
  </w:style>
  <w:style w:type="character" w:customStyle="1" w:styleId="ad">
    <w:name w:val="Выделенная цитата Знак"/>
    <w:link w:val="ac"/>
    <w:uiPriority w:val="30"/>
    <w:rsid w:val="00C625DD"/>
    <w:rPr>
      <w:b/>
      <w:bCs/>
      <w:i/>
      <w:iCs/>
      <w:color w:val="5B9BD5"/>
    </w:rPr>
  </w:style>
  <w:style w:type="character" w:styleId="ae">
    <w:name w:val="Subtle Emphasis"/>
    <w:uiPriority w:val="19"/>
    <w:qFormat/>
    <w:rsid w:val="00C625DD"/>
    <w:rPr>
      <w:i/>
      <w:iCs/>
      <w:color w:val="808080"/>
    </w:rPr>
  </w:style>
  <w:style w:type="character" w:styleId="af">
    <w:name w:val="Intense Emphasis"/>
    <w:uiPriority w:val="21"/>
    <w:qFormat/>
    <w:rsid w:val="00C625DD"/>
    <w:rPr>
      <w:b/>
      <w:bCs/>
      <w:i/>
      <w:iCs/>
      <w:color w:val="5B9BD5"/>
    </w:rPr>
  </w:style>
  <w:style w:type="character" w:styleId="af0">
    <w:name w:val="Subtle Reference"/>
    <w:uiPriority w:val="31"/>
    <w:qFormat/>
    <w:rsid w:val="00C625DD"/>
    <w:rPr>
      <w:smallCaps/>
      <w:color w:val="ED7D31"/>
      <w:u w:val="single"/>
    </w:rPr>
  </w:style>
  <w:style w:type="character" w:styleId="af1">
    <w:name w:val="Intense Reference"/>
    <w:uiPriority w:val="32"/>
    <w:qFormat/>
    <w:rsid w:val="00C625DD"/>
    <w:rPr>
      <w:b/>
      <w:bCs/>
      <w:smallCaps/>
      <w:color w:val="ED7D31"/>
      <w:spacing w:val="5"/>
      <w:u w:val="single"/>
    </w:rPr>
  </w:style>
  <w:style w:type="character" w:styleId="af2">
    <w:name w:val="Book Title"/>
    <w:uiPriority w:val="33"/>
    <w:qFormat/>
    <w:rsid w:val="00C625D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5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2026-06-03T13:59:00Z</dcterms:created>
  <dcterms:modified xsi:type="dcterms:W3CDTF">2026-06-03T14:00:00Z</dcterms:modified>
</cp:coreProperties>
</file>