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111" w:leader="none"/>
        </w:tabs>
        <w:spacing w:lineRule="auto" w:line="240" w:before="0" w:after="0"/>
        <w:ind w:hanging="0" w:left="5812"/>
        <w:contextualSpacing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Приложение к Контракту 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 w:before="0" w:after="0"/>
        <w:ind w:hanging="0" w:left="5812"/>
        <w:contextualSpacing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  <w:t xml:space="preserve">№ </w:t>
      </w:r>
      <w:r>
        <w:rPr>
          <w:rFonts w:eastAsia="Calibri" w:cs="Times New Roman" w:ascii="Times New Roman" w:hAnsi="Times New Roman"/>
          <w:bCs/>
        </w:rPr>
        <w:t>________________ «__» мая 2026г.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1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Спецификация</w:t>
      </w:r>
    </w:p>
    <w:p>
      <w:pPr>
        <w:pStyle w:val="1"/>
        <w:shd w:val="clear" w:color="auto" w:fill="auto"/>
        <w:spacing w:before="0" w:after="0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yle19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Наименование объекта закупки: поставка </w:t>
      </w:r>
      <w:r>
        <w:rPr>
          <w:color w:val="000000"/>
          <w:sz w:val="24"/>
          <w:szCs w:val="24"/>
          <w:lang w:eastAsia="ru-RU" w:bidi="ru-RU"/>
        </w:rPr>
        <w:t>мониторов</w:t>
      </w:r>
    </w:p>
    <w:p>
      <w:pPr>
        <w:pStyle w:val="Style19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7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7"/>
        <w:gridCol w:w="1081"/>
        <w:gridCol w:w="3654"/>
        <w:gridCol w:w="625"/>
        <w:gridCol w:w="625"/>
        <w:gridCol w:w="1083"/>
        <w:gridCol w:w="967"/>
        <w:gridCol w:w="1133"/>
      </w:tblGrid>
      <w:tr>
        <w:trPr>
          <w:trHeight w:val="702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eastAsia="Times New Roman"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Технические и функциональные характеристики (потребительские свойства) товара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Ед. изм.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Кол-во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Цена за единицу товара,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ascii="Times New Roman" w:hAnsi="Times New Roman"/>
                <w:sz w:val="16"/>
                <w:szCs w:val="16"/>
              </w:rPr>
              <w:t>в т. ч. НДС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(без НДС)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Общая стоимость товара,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в т. ч. НДС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(без НДС)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Страна происхождения товара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Монитор подключаемый к  компьютеру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26.20.17.110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Блок питания: Встроенный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Возможность поворота экрана по вертикали (портретный режим):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Возможность поворота экрана по горизонтали: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Время отклика, мс: &lt; 6,0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Глубина цвета: 8,0 Бит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Динамическая контрастность: ≥10 000 000:1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Изогнутый экран: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Интерфейс подключения: Display Port, HDMI, USB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Кабель для подключения к источнику изображения в комплекте: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Класс энергетической эффективности: Не ниже A+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встроенных в корпус портов DisplayPort: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встроенных в корпус портов HDMI: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Количество встроенных в корпус портов USB 3.2 Gen 1 (USB 3.1 Gen 1, USB 3.0): ≥ 4,0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Контрастность: ≥1000:1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Максимальная регулировка экрана по высоте: ≥ 130,0 Миллиметр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возможности крепления на стену: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встроенной акустической системы: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встроенных динамиков: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вэб-камеры: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сенсорного экрана: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функции регулировки наклона: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функции регулировки по высоте: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USB-концентратора: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Настенное крепление: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Потребляемая мощность: &lt; 60,0 Ватт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Размер диагонали: ≥ 27,0 Дюйм (25,4 мм)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Разрешение экрана, Пиксель: 2560 x 1440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Разъем: Mini-Jack (3,5 мм) выход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Стандарт крепления: VESA 100 x 100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Технология изготовления матрицы дисплея: IPS (PLS, ADS, AAS, FFS, SFT, New Mode2, Vistarich)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кабеля для подключения к источнику изображения в комплекте: Display Port - Display Port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Угол обзора по вертикали, градус: ≥ 178,0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Угол обзора по горизонтали, градус: ≥ 178,0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Формат изображения: 16:9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Частота обновления экрана: ≥ 100,0 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Яркость, кд/м2: ≥ 350,0 &lt; 400,0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системы охлаждения процессора: 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Наличие установленного дискретного графического контроллера: Нет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Общее количество установленных портов DisplayPort 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Общий объем накопителей SSD форм-фактора M.2: ≥ 960,0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каждого установленного модуля оперативной памяти: ≥ 16,0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кэш памяти третьего уровня процессора (L3): ≥ 20,0 Мегабайт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Объем установленной оперативной памяти: ≥ 32,0 Гигабайт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Сетевой интерфейс 8P8C (RJ-45):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Скорость передачи данных проводного сетевого контроллера: ≥ 1000,0 Мегабит в секунду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2.0: ≥ 4,0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3.2 Gen 1 (USB 3.1 Gen 1, USB 3.0): ≥ 7,0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3.2 Gen 2 (USB 3.1 Gen 2, USB 3.1): ≥ 1,0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Суммарное количество встроенных в корпус портов USB Type-C: ≥ 2,0 Штука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Тактовая частота оперативной памяти: ≥ 3200,0 Мегагерц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аудиоконтроллера: Встроенный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накопителя: SSD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оперативной памяти: DDR4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Тип порта видеовыхода: DisplayPort, HDMI, VGA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Требования к встроенным системным программам (BIOS, UEFI): Мониторинг и информирование об изменениях состава аппаратного обеспечения, Управление доступом к внешним USB устройствам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Частота процессора базовая: ≥ 1,8 Гигагерц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Ширина корпуса: &lt; 200,0 Миллиметр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Roboto" w:hAnsi="Roboto"/>
                <w:color w:val="000000"/>
                <w:kern w:val="0"/>
                <w:sz w:val="17"/>
                <w:szCs w:val="17"/>
                <w:lang w:eastAsia="ru-RU"/>
                <w14:ligatures w14:val="none"/>
              </w:rPr>
              <w:t>Язык интерфейса - русский: Да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</w:tr>
    </w:tbl>
    <w:p>
      <w:pPr>
        <w:pStyle w:val="Normal"/>
        <w:shd w:val="clear" w:color="auto" w:fill="auto"/>
        <w:spacing w:before="0" w:after="0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не восстановленными и не собранными из восстановленных компонентов, работоспособными и обеспечивать предусмотренную производителем функциональность) в случае, если иное не предусмотрено описанием объекта закупки.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 К поставляемому товару Поставщик прилагает следующую документацию:</w:t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- паспорта на товар;</w:t>
      </w:r>
    </w:p>
    <w:p>
      <w:pPr>
        <w:pStyle w:val="1"/>
        <w:shd w:val="clear" w:color="auto" w:fill="auto"/>
        <w:spacing w:before="0" w:after="0"/>
        <w:contextualSpacing/>
        <w:jc w:val="both"/>
        <w:rPr/>
      </w:pPr>
      <w:r>
        <w:rPr>
          <w:color w:val="000000"/>
          <w:sz w:val="24"/>
          <w:szCs w:val="24"/>
        </w:rPr>
        <w:t>- гарантийный талон;</w:t>
      </w:r>
    </w:p>
    <w:p>
      <w:pPr>
        <w:pStyle w:val="1"/>
        <w:shd w:val="clear" w:color="auto" w:fill="auto"/>
        <w:tabs>
          <w:tab w:val="clear" w:pos="708"/>
          <w:tab w:val="left" w:pos="211" w:leader="none"/>
        </w:tabs>
        <w:spacing w:before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Товара, поставляемого Заказчику в соответствии с Контрактом, должно соответствовать установленным законодательством Российской Федерации для данного вида товаров стандартам (ГОСТ), техническим условиям, инструкциям.</w:t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shd w:val="clear" w:color="auto" w:fill="auto"/>
        <w:spacing w:before="0"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на весь поставляемый товар должен составлять не менее 36 месяцев.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426" w:left="-426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</w:p>
    <w:tbl>
      <w:tblPr>
        <w:tblW w:w="10065" w:type="dxa"/>
        <w:jc w:val="left"/>
        <w:tblInd w:w="-2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0"/>
        <w:gridCol w:w="4965"/>
      </w:tblGrid>
      <w:tr>
        <w:trPr/>
        <w:tc>
          <w:tcPr>
            <w:tcW w:w="5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shd w:fill="auto" w:val="clear"/>
                <w:lang w:eastAsia="ru-RU"/>
              </w:rPr>
              <w:t>Поставщик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</w:tr>
      <w:tr>
        <w:trPr>
          <w:trHeight w:val="1605" w:hRule="atLeast"/>
        </w:trPr>
        <w:tc>
          <w:tcPr>
            <w:tcW w:w="510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Заместитель генерального директора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по финансово-организационным вопросам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right="-71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___________________ /В.Н. Верещагина/</w:t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shd w:fill="auto" w:val="clear"/>
                <w:lang w:val="x-none"/>
              </w:rPr>
              <w:t>__________________ /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</w:r>
    </w:p>
    <w:sectPr>
      <w:type w:val="nextPage"/>
      <w:pgSz w:w="11906" w:h="16838"/>
      <w:pgMar w:left="1560" w:right="850" w:gutter="0" w:header="0" w:top="1134" w:footer="0" w:bottom="1134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oboto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uiPriority w:val="99"/>
    <w:semiHidden/>
    <w:qFormat/>
    <w:rsid w:val="00ee22c5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ee22c5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qFormat/>
    <w:rsid w:val="00eb3c19"/>
    <w:rPr>
      <w:color w:themeColor="hyperlink" w:val="0563C1"/>
      <w:u w:val="single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6019d"/>
    <w:rPr>
      <w:color w:val="605E5C"/>
      <w:shd w:fill="E1DFDD" w:val="clear"/>
    </w:rPr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uiPriority w:val="99"/>
    <w:semiHidden/>
    <w:unhideWhenUsed/>
    <w:rsid w:val="00ee22c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a1205"/>
    <w:pPr>
      <w:spacing w:before="0" w:after="160"/>
      <w:ind w:hanging="0" w:left="720"/>
      <w:contextualSpacing/>
    </w:pPr>
    <w:rPr/>
  </w:style>
  <w:style w:type="paragraph" w:styleId="1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19" w:customStyle="1">
    <w:name w:val="Подпись к таблице"/>
    <w:basedOn w:val="Normal"/>
    <w:qFormat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20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jc w:val="center"/>
    </w:pPr>
    <w:rPr>
      <w:rFonts w:ascii="Times New Roman" w:hAnsi="Times New Roman" w:eastAsia="Times New Roman" w:cs="Times New Roman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LibreOffice/25.8.6.2$Windows_X86_64 LibreOffice_project/b4b39682cd9868fa725bc664aff94278d315bd04</Application>
  <AppVersion>15.0000</AppVersion>
  <Pages>3</Pages>
  <Words>617</Words>
  <Characters>3944</Characters>
  <CharactersWithSpaces>4477</CharactersWithSpaces>
  <Paragraphs>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2025-03-20T23:00:00Z</dcterms:created>
  <dc:creator>Тигунцев Алексей Иннокентьевич</dc:creator>
  <dc:description/>
  <dc:language>ru-RU</dc:language>
  <cp:lastModifiedBy/>
  <cp:lastPrinted>2022-12-08T16:31:00Z</cp:lastPrinted>
  <dcterms:modified xsi:type="dcterms:W3CDTF">2026-05-27T11:32:24Z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