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33" w:rsidRPr="009D0203" w:rsidRDefault="005F2ABC" w:rsidP="00105933">
      <w:pPr>
        <w:pStyle w:val="a3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105933" w:rsidRPr="009D0203">
        <w:rPr>
          <w:sz w:val="22"/>
          <w:szCs w:val="22"/>
        </w:rPr>
        <w:t xml:space="preserve"> № </w:t>
      </w:r>
      <w:r w:rsidR="000520B4">
        <w:rPr>
          <w:sz w:val="22"/>
          <w:szCs w:val="22"/>
        </w:rPr>
        <w:t>______</w:t>
      </w:r>
    </w:p>
    <w:p w:rsidR="00105933" w:rsidRPr="009D0203" w:rsidRDefault="00105933" w:rsidP="00105933">
      <w:pPr>
        <w:rPr>
          <w:sz w:val="22"/>
          <w:szCs w:val="22"/>
        </w:rPr>
      </w:pPr>
      <w:r w:rsidRPr="009D0203">
        <w:rPr>
          <w:sz w:val="22"/>
          <w:szCs w:val="22"/>
        </w:rPr>
        <w:t>г. Москва</w:t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Pr="009D0203">
        <w:rPr>
          <w:sz w:val="22"/>
          <w:szCs w:val="22"/>
        </w:rPr>
        <w:tab/>
      </w:r>
      <w:r w:rsidR="005376C9" w:rsidRPr="009D0203">
        <w:rPr>
          <w:sz w:val="22"/>
          <w:szCs w:val="22"/>
        </w:rPr>
        <w:t xml:space="preserve">   «___»  _________ 202</w:t>
      </w:r>
      <w:r w:rsidR="00DD39DD">
        <w:rPr>
          <w:sz w:val="22"/>
          <w:szCs w:val="22"/>
        </w:rPr>
        <w:t>6</w:t>
      </w:r>
      <w:r w:rsidR="005376C9" w:rsidRPr="009D0203">
        <w:rPr>
          <w:sz w:val="22"/>
          <w:szCs w:val="22"/>
        </w:rPr>
        <w:t xml:space="preserve"> г.</w:t>
      </w:r>
    </w:p>
    <w:p w:rsidR="006A080B" w:rsidRPr="009D0203" w:rsidRDefault="006A080B" w:rsidP="00105933">
      <w:pPr>
        <w:rPr>
          <w:sz w:val="22"/>
          <w:szCs w:val="22"/>
        </w:rPr>
      </w:pPr>
    </w:p>
    <w:p w:rsidR="00105933" w:rsidRPr="000B5515" w:rsidRDefault="006A080B" w:rsidP="000B5515">
      <w:pPr>
        <w:shd w:val="clear" w:color="auto" w:fill="FFFFFF"/>
        <w:jc w:val="both"/>
        <w:rPr>
          <w:color w:val="000000"/>
          <w:sz w:val="22"/>
          <w:szCs w:val="22"/>
        </w:rPr>
      </w:pPr>
      <w:proofErr w:type="gramStart"/>
      <w:r w:rsidRPr="00EA78F9">
        <w:rPr>
          <w:b/>
          <w:bCs/>
          <w:sz w:val="22"/>
          <w:szCs w:val="22"/>
          <w:highlight w:val="yellow"/>
        </w:rPr>
        <w:t>___________ (___________)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именуемое в дальнейшем «Поставщик», в </w:t>
      </w:r>
      <w:r w:rsidR="00105933" w:rsidRPr="00EA78F9">
        <w:rPr>
          <w:sz w:val="22"/>
          <w:szCs w:val="22"/>
          <w:highlight w:val="yellow"/>
        </w:rPr>
        <w:t>лице _______,</w:t>
      </w:r>
      <w:r w:rsidR="00105933" w:rsidRPr="009D0203">
        <w:rPr>
          <w:sz w:val="22"/>
          <w:szCs w:val="22"/>
        </w:rPr>
        <w:t xml:space="preserve"> действующего на основании </w:t>
      </w:r>
      <w:r w:rsidR="00705624" w:rsidRPr="00EA78F9">
        <w:rPr>
          <w:sz w:val="22"/>
          <w:szCs w:val="22"/>
          <w:highlight w:val="yellow"/>
        </w:rPr>
        <w:t>___________</w:t>
      </w:r>
      <w:r w:rsidR="00105933" w:rsidRPr="00EA78F9">
        <w:rPr>
          <w:sz w:val="22"/>
          <w:szCs w:val="22"/>
          <w:highlight w:val="yellow"/>
        </w:rPr>
        <w:t>,</w:t>
      </w:r>
      <w:r w:rsidR="00105933" w:rsidRPr="009D0203">
        <w:rPr>
          <w:sz w:val="22"/>
          <w:szCs w:val="22"/>
        </w:rPr>
        <w:t xml:space="preserve"> с одной стороны и </w:t>
      </w:r>
      <w:r w:rsidR="00105933" w:rsidRPr="009D0203">
        <w:rPr>
          <w:b/>
          <w:bCs/>
          <w:sz w:val="22"/>
          <w:szCs w:val="22"/>
        </w:rPr>
        <w:t>федеральное государственное бюджетное учреждение «</w:t>
      </w:r>
      <w:r w:rsidR="005F1BFA" w:rsidRPr="009D0203">
        <w:rPr>
          <w:b/>
          <w:bCs/>
          <w:sz w:val="22"/>
          <w:szCs w:val="22"/>
        </w:rPr>
        <w:t xml:space="preserve">Национальный </w:t>
      </w:r>
      <w:r w:rsidR="00105933" w:rsidRPr="009D0203">
        <w:rPr>
          <w:b/>
          <w:bCs/>
          <w:sz w:val="22"/>
          <w:szCs w:val="22"/>
        </w:rPr>
        <w:t xml:space="preserve">исследовательский </w:t>
      </w:r>
      <w:r w:rsidR="00942D5C" w:rsidRPr="009D0203">
        <w:rPr>
          <w:b/>
          <w:bCs/>
          <w:sz w:val="22"/>
          <w:szCs w:val="22"/>
        </w:rPr>
        <w:t>центр</w:t>
      </w:r>
      <w:r w:rsidR="00105933" w:rsidRPr="009D0203">
        <w:rPr>
          <w:b/>
          <w:bCs/>
          <w:sz w:val="22"/>
          <w:szCs w:val="22"/>
        </w:rPr>
        <w:t xml:space="preserve"> эпидемиологии и микробиологии имени почетного академика Н.Ф. </w:t>
      </w:r>
      <w:proofErr w:type="spellStart"/>
      <w:r w:rsidR="00105933" w:rsidRPr="009D0203">
        <w:rPr>
          <w:b/>
          <w:bCs/>
          <w:sz w:val="22"/>
          <w:szCs w:val="22"/>
        </w:rPr>
        <w:t>Гамалеи</w:t>
      </w:r>
      <w:proofErr w:type="spellEnd"/>
      <w:r w:rsidR="00105933" w:rsidRPr="009D0203">
        <w:rPr>
          <w:b/>
          <w:bCs/>
          <w:sz w:val="22"/>
          <w:szCs w:val="22"/>
        </w:rPr>
        <w:t>» Министерства здравоохранения Российской Федерации (</w:t>
      </w:r>
      <w:r w:rsidR="00105933" w:rsidRPr="009D0203">
        <w:rPr>
          <w:b/>
          <w:sz w:val="22"/>
          <w:szCs w:val="22"/>
        </w:rPr>
        <w:t>ФГБУ «</w:t>
      </w:r>
      <w:r w:rsidR="00740F01" w:rsidRPr="009D0203">
        <w:rPr>
          <w:b/>
          <w:sz w:val="22"/>
          <w:szCs w:val="22"/>
        </w:rPr>
        <w:t>НИЦЭМ</w:t>
      </w:r>
      <w:r w:rsidR="00105933" w:rsidRPr="009D0203">
        <w:rPr>
          <w:b/>
          <w:sz w:val="22"/>
          <w:szCs w:val="22"/>
        </w:rPr>
        <w:t xml:space="preserve"> им.  Н.Ф. </w:t>
      </w:r>
      <w:proofErr w:type="spellStart"/>
      <w:r w:rsidR="00105933" w:rsidRPr="009D0203">
        <w:rPr>
          <w:b/>
          <w:sz w:val="22"/>
          <w:szCs w:val="22"/>
        </w:rPr>
        <w:t>Гамалеи</w:t>
      </w:r>
      <w:proofErr w:type="spellEnd"/>
      <w:r w:rsidR="00105933" w:rsidRPr="009D0203">
        <w:rPr>
          <w:b/>
          <w:sz w:val="22"/>
          <w:szCs w:val="22"/>
        </w:rPr>
        <w:t>» Минздрава России</w:t>
      </w:r>
      <w:r w:rsidR="00105933" w:rsidRPr="009D0203">
        <w:rPr>
          <w:b/>
          <w:bCs/>
          <w:sz w:val="22"/>
          <w:szCs w:val="22"/>
        </w:rPr>
        <w:t>)</w:t>
      </w:r>
      <w:r w:rsidR="00105933" w:rsidRPr="009D0203">
        <w:rPr>
          <w:sz w:val="22"/>
          <w:szCs w:val="22"/>
        </w:rPr>
        <w:t>, именуемое в дальнейшем</w:t>
      </w:r>
      <w:r w:rsidR="00105933" w:rsidRPr="009D0203">
        <w:rPr>
          <w:b/>
          <w:bCs/>
          <w:sz w:val="22"/>
          <w:szCs w:val="22"/>
        </w:rPr>
        <w:t xml:space="preserve"> </w:t>
      </w:r>
      <w:r w:rsidR="00105933" w:rsidRPr="009D0203">
        <w:rPr>
          <w:sz w:val="22"/>
          <w:szCs w:val="22"/>
        </w:rPr>
        <w:t xml:space="preserve">«Заказчик», </w:t>
      </w:r>
      <w:r w:rsidR="00DD39DD" w:rsidRPr="00DD39DD">
        <w:rPr>
          <w:sz w:val="22"/>
          <w:szCs w:val="22"/>
        </w:rPr>
        <w:t xml:space="preserve">в лице </w:t>
      </w:r>
      <w:r w:rsidR="00874379">
        <w:rPr>
          <w:sz w:val="22"/>
          <w:szCs w:val="22"/>
        </w:rPr>
        <w:t>Ди</w:t>
      </w:r>
      <w:r w:rsidR="00DD39DD" w:rsidRPr="00DD39DD">
        <w:rPr>
          <w:sz w:val="22"/>
          <w:szCs w:val="22"/>
        </w:rPr>
        <w:t xml:space="preserve">ректора </w:t>
      </w:r>
      <w:r w:rsidR="00874379">
        <w:rPr>
          <w:sz w:val="22"/>
          <w:szCs w:val="22"/>
        </w:rPr>
        <w:t>Логунова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Дениса</w:t>
      </w:r>
      <w:r w:rsidR="00DD39DD" w:rsidRPr="00DD39DD">
        <w:rPr>
          <w:sz w:val="22"/>
          <w:szCs w:val="22"/>
        </w:rPr>
        <w:t xml:space="preserve"> </w:t>
      </w:r>
      <w:r w:rsidR="00874379">
        <w:rPr>
          <w:sz w:val="22"/>
          <w:szCs w:val="22"/>
        </w:rPr>
        <w:t>Юрьевича</w:t>
      </w:r>
      <w:r w:rsidR="00DD39DD" w:rsidRPr="00DD39DD">
        <w:rPr>
          <w:sz w:val="22"/>
          <w:szCs w:val="22"/>
        </w:rPr>
        <w:t xml:space="preserve">, </w:t>
      </w:r>
      <w:r w:rsidR="00874379">
        <w:rPr>
          <w:sz w:val="22"/>
          <w:szCs w:val="22"/>
        </w:rPr>
        <w:t xml:space="preserve"> </w:t>
      </w:r>
      <w:r w:rsidR="00DD39DD" w:rsidRPr="00DD39DD">
        <w:rPr>
          <w:sz w:val="22"/>
          <w:szCs w:val="22"/>
        </w:rPr>
        <w:t xml:space="preserve">действующего на основании </w:t>
      </w:r>
      <w:r w:rsidR="00874379">
        <w:rPr>
          <w:sz w:val="22"/>
          <w:szCs w:val="22"/>
        </w:rPr>
        <w:t>Устава</w:t>
      </w:r>
      <w:r w:rsidR="00105933" w:rsidRPr="009D0203">
        <w:rPr>
          <w:sz w:val="22"/>
          <w:szCs w:val="22"/>
        </w:rPr>
        <w:t>, с другой стороны, вместе именуемые</w:t>
      </w:r>
      <w:proofErr w:type="gramEnd"/>
      <w:r w:rsidR="00105933" w:rsidRPr="009D0203">
        <w:rPr>
          <w:sz w:val="22"/>
          <w:szCs w:val="22"/>
        </w:rPr>
        <w:t xml:space="preserve"> «Стороны»,</w:t>
      </w:r>
      <w:r w:rsidR="000B5515" w:rsidRPr="000B5515">
        <w:rPr>
          <w:color w:val="000000"/>
          <w:sz w:val="22"/>
          <w:szCs w:val="22"/>
        </w:rPr>
        <w:t xml:space="preserve"> </w:t>
      </w:r>
      <w:r w:rsidR="000B5515" w:rsidRPr="00766793">
        <w:rPr>
          <w:color w:val="000000"/>
          <w:sz w:val="22"/>
          <w:szCs w:val="22"/>
        </w:rPr>
        <w:t>на основании</w:t>
      </w:r>
      <w:r w:rsidR="000B5515">
        <w:rPr>
          <w:color w:val="000000"/>
          <w:sz w:val="22"/>
          <w:szCs w:val="22"/>
        </w:rPr>
        <w:t xml:space="preserve"> </w:t>
      </w:r>
      <w:r w:rsidR="000B5515" w:rsidRPr="00B53F20">
        <w:rPr>
          <w:color w:val="000000"/>
          <w:sz w:val="22"/>
          <w:szCs w:val="22"/>
        </w:rPr>
        <w:t>п. </w:t>
      </w:r>
      <w:r w:rsidR="000B5515" w:rsidRPr="00B53F20">
        <w:rPr>
          <w:bCs/>
          <w:color w:val="000000"/>
          <w:sz w:val="22"/>
          <w:szCs w:val="22"/>
        </w:rPr>
        <w:t>4</w:t>
      </w:r>
      <w:r w:rsidR="000B5515" w:rsidRPr="00B53F20">
        <w:rPr>
          <w:color w:val="000000"/>
          <w:sz w:val="22"/>
          <w:szCs w:val="22"/>
        </w:rPr>
        <w:t> ч. </w:t>
      </w:r>
      <w:r w:rsidR="000B5515" w:rsidRPr="00B53F20">
        <w:rPr>
          <w:bCs/>
          <w:color w:val="000000"/>
          <w:sz w:val="22"/>
          <w:szCs w:val="22"/>
        </w:rPr>
        <w:t>1</w:t>
      </w:r>
      <w:r w:rsidR="000B5515" w:rsidRPr="00B53F20">
        <w:rPr>
          <w:color w:val="000000"/>
          <w:sz w:val="22"/>
          <w:szCs w:val="22"/>
        </w:rPr>
        <w:t> ст. </w:t>
      </w:r>
      <w:r w:rsidR="000B5515" w:rsidRPr="00B53F20">
        <w:rPr>
          <w:bCs/>
          <w:color w:val="000000"/>
          <w:sz w:val="22"/>
          <w:szCs w:val="22"/>
        </w:rPr>
        <w:t>93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Федерального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закона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от</w:t>
      </w:r>
      <w:r w:rsidR="000B5515" w:rsidRPr="00B53F20">
        <w:rPr>
          <w:color w:val="000000"/>
          <w:sz w:val="22"/>
          <w:szCs w:val="22"/>
        </w:rPr>
        <w:t> </w:t>
      </w:r>
      <w:r w:rsidR="000B5515" w:rsidRPr="00B53F20">
        <w:rPr>
          <w:bCs/>
          <w:color w:val="000000"/>
          <w:sz w:val="22"/>
          <w:szCs w:val="22"/>
        </w:rPr>
        <w:t>05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04</w:t>
      </w:r>
      <w:r w:rsidR="000B5515" w:rsidRPr="00B53F20">
        <w:rPr>
          <w:color w:val="000000"/>
          <w:sz w:val="22"/>
          <w:szCs w:val="22"/>
        </w:rPr>
        <w:t>.</w:t>
      </w:r>
      <w:r w:rsidR="000B5515" w:rsidRPr="00B53F20">
        <w:rPr>
          <w:bCs/>
          <w:color w:val="000000"/>
          <w:sz w:val="22"/>
          <w:szCs w:val="22"/>
        </w:rPr>
        <w:t>2013</w:t>
      </w:r>
      <w:r w:rsidR="000B5515" w:rsidRPr="00B53F20">
        <w:rPr>
          <w:color w:val="000000"/>
          <w:sz w:val="22"/>
          <w:szCs w:val="22"/>
        </w:rPr>
        <w:t> № </w:t>
      </w:r>
      <w:r w:rsidR="000B5515" w:rsidRPr="00B53F20">
        <w:rPr>
          <w:bCs/>
          <w:color w:val="000000"/>
          <w:sz w:val="22"/>
          <w:szCs w:val="22"/>
        </w:rPr>
        <w:t>44</w:t>
      </w:r>
      <w:r w:rsidR="000B5515" w:rsidRPr="00B53F20">
        <w:rPr>
          <w:color w:val="000000"/>
          <w:sz w:val="22"/>
          <w:szCs w:val="22"/>
        </w:rPr>
        <w:t>-</w:t>
      </w:r>
      <w:r w:rsidR="000B5515" w:rsidRPr="00B53F20">
        <w:rPr>
          <w:bCs/>
          <w:color w:val="000000"/>
          <w:sz w:val="22"/>
          <w:szCs w:val="22"/>
        </w:rPr>
        <w:t>ФЗ</w:t>
      </w:r>
      <w:r w:rsidR="000B5515" w:rsidRPr="00A17DBB">
        <w:rPr>
          <w:color w:val="000000"/>
          <w:sz w:val="22"/>
          <w:szCs w:val="22"/>
        </w:rPr>
        <w:t> «О контрактной системе в сфере закупок товаров, работ, услуг для обеспечения государственных и муниципальных нужд»</w:t>
      </w:r>
      <w:r w:rsidR="000B5515">
        <w:rPr>
          <w:color w:val="000000"/>
          <w:sz w:val="22"/>
          <w:szCs w:val="22"/>
        </w:rPr>
        <w:t xml:space="preserve">, заключили настоящий </w:t>
      </w:r>
      <w:r w:rsidR="005F2ABC">
        <w:rPr>
          <w:color w:val="000000"/>
          <w:sz w:val="22"/>
          <w:szCs w:val="22"/>
        </w:rPr>
        <w:t>Контракт</w:t>
      </w:r>
      <w:r w:rsidR="000B5515">
        <w:rPr>
          <w:color w:val="000000"/>
          <w:sz w:val="22"/>
          <w:szCs w:val="22"/>
        </w:rPr>
        <w:t xml:space="preserve"> о нижеследующем:</w:t>
      </w:r>
    </w:p>
    <w:p w:rsidR="00105933" w:rsidRPr="009D0203" w:rsidRDefault="00105933" w:rsidP="00105933">
      <w:pPr>
        <w:jc w:val="center"/>
        <w:rPr>
          <w:b/>
          <w:bCs/>
          <w:sz w:val="22"/>
          <w:szCs w:val="22"/>
        </w:rPr>
      </w:pPr>
    </w:p>
    <w:p w:rsidR="00105933" w:rsidRPr="009D0203" w:rsidRDefault="00105933" w:rsidP="009C1595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 xml:space="preserve">1. ПРЕДМЕТ </w:t>
      </w:r>
      <w:r w:rsidR="005F2ABC">
        <w:rPr>
          <w:b/>
          <w:bCs/>
          <w:sz w:val="22"/>
          <w:szCs w:val="22"/>
        </w:rPr>
        <w:t>КОНТРАКТ</w:t>
      </w:r>
      <w:r w:rsidRPr="009D0203">
        <w:rPr>
          <w:b/>
          <w:bCs/>
          <w:sz w:val="22"/>
          <w:szCs w:val="22"/>
        </w:rPr>
        <w:t>А</w:t>
      </w:r>
    </w:p>
    <w:p w:rsidR="00105933" w:rsidRPr="009D0203" w:rsidRDefault="00105933" w:rsidP="00105933">
      <w:pPr>
        <w:jc w:val="both"/>
        <w:rPr>
          <w:b/>
          <w:bCs/>
          <w:sz w:val="22"/>
          <w:szCs w:val="22"/>
        </w:rPr>
      </w:pPr>
      <w:r w:rsidRPr="009D0203">
        <w:rPr>
          <w:sz w:val="22"/>
          <w:szCs w:val="22"/>
        </w:rPr>
        <w:t>1.1. Поставщик обязуется передать в собственность, а Заказчик принять и оплатить</w:t>
      </w:r>
      <w:r w:rsidRPr="008C7ABA">
        <w:rPr>
          <w:sz w:val="22"/>
          <w:szCs w:val="22"/>
        </w:rPr>
        <w:t xml:space="preserve"> </w:t>
      </w:r>
      <w:r w:rsidR="0060583B">
        <w:rPr>
          <w:sz w:val="22"/>
          <w:szCs w:val="22"/>
        </w:rPr>
        <w:t>п</w:t>
      </w:r>
      <w:r w:rsidR="0060583B" w:rsidRPr="0060583B">
        <w:rPr>
          <w:sz w:val="22"/>
          <w:szCs w:val="22"/>
        </w:rPr>
        <w:t xml:space="preserve">олноценный гранулированный корм для разведения мышей и крыс, с добавлением витаминов, </w:t>
      </w:r>
      <w:proofErr w:type="spellStart"/>
      <w:r w:rsidR="0060583B" w:rsidRPr="0060583B">
        <w:rPr>
          <w:sz w:val="22"/>
          <w:szCs w:val="22"/>
        </w:rPr>
        <w:t>автоклавируемый</w:t>
      </w:r>
      <w:proofErr w:type="spellEnd"/>
      <w:r w:rsidRPr="00AD6FA2">
        <w:rPr>
          <w:sz w:val="22"/>
          <w:szCs w:val="22"/>
        </w:rPr>
        <w:t>,</w:t>
      </w:r>
      <w:r w:rsidRPr="001A3B32">
        <w:rPr>
          <w:sz w:val="22"/>
          <w:szCs w:val="22"/>
        </w:rPr>
        <w:t xml:space="preserve"> далее</w:t>
      </w:r>
      <w:r w:rsidRPr="009D0203">
        <w:rPr>
          <w:sz w:val="22"/>
          <w:szCs w:val="22"/>
        </w:rPr>
        <w:t xml:space="preserve"> именуемый Товар по цене, в количестве, ассортименте, указанном в спецификации (приложение №1), которая является неотъемлемой частью настоящего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 Товар предоставляется Заказчику свободным от прав третьих лиц.</w:t>
      </w:r>
    </w:p>
    <w:p w:rsidR="00EA78F9" w:rsidRDefault="00EA78F9" w:rsidP="0068042D">
      <w:pPr>
        <w:jc w:val="both"/>
        <w:rPr>
          <w:sz w:val="22"/>
          <w:szCs w:val="22"/>
        </w:rPr>
      </w:pPr>
      <w:r w:rsidRPr="00EA78F9">
        <w:rPr>
          <w:sz w:val="22"/>
          <w:szCs w:val="22"/>
        </w:rPr>
        <w:t>1.</w:t>
      </w:r>
      <w:r w:rsidRPr="00EA78F9">
        <w:rPr>
          <w:sz w:val="22"/>
          <w:szCs w:val="22"/>
          <w:highlight w:val="yellow"/>
        </w:rPr>
        <w:t xml:space="preserve">2. Цена Товара составляет 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___: ___________ (__________ рублей __ копеек).</w:t>
      </w:r>
    </w:p>
    <w:p w:rsidR="0068042D" w:rsidRPr="009D0203" w:rsidRDefault="00B92E6B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1.3. В цену Товара включены: </w:t>
      </w:r>
      <w:r w:rsidR="0068042D" w:rsidRPr="009D0203">
        <w:rPr>
          <w:sz w:val="22"/>
          <w:szCs w:val="22"/>
        </w:rPr>
        <w:t xml:space="preserve">стоимость Товара, расходы на доставку Товара до склада по адресу Заказчика, разгрузку Товара, страхование, уплату таможенных пошлин, налогов, сборов и других обязательных платежей, а так же все иные расходы Поставщика, связанные  с исполнением  </w:t>
      </w:r>
      <w:r w:rsidR="005F2ABC">
        <w:rPr>
          <w:color w:val="000000"/>
          <w:sz w:val="22"/>
          <w:szCs w:val="22"/>
        </w:rPr>
        <w:t>Контракт</w:t>
      </w:r>
      <w:r w:rsidR="0068042D" w:rsidRPr="009D0203">
        <w:rPr>
          <w:color w:val="000000"/>
          <w:sz w:val="22"/>
          <w:szCs w:val="22"/>
        </w:rPr>
        <w:t>а</w:t>
      </w:r>
      <w:r w:rsidR="0068042D" w:rsidRPr="009D0203">
        <w:rPr>
          <w:sz w:val="22"/>
          <w:szCs w:val="22"/>
        </w:rPr>
        <w:t xml:space="preserve">.   </w:t>
      </w:r>
    </w:p>
    <w:p w:rsidR="00B92E6B" w:rsidRPr="009D0203" w:rsidRDefault="0068042D" w:rsidP="0068042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1.4. Цена </w:t>
      </w:r>
      <w:r w:rsidR="005F2ABC">
        <w:rPr>
          <w:sz w:val="22"/>
          <w:szCs w:val="22"/>
        </w:rPr>
        <w:t>Контракт</w:t>
      </w:r>
      <w:r w:rsidR="004425EE" w:rsidRPr="009D0203">
        <w:rPr>
          <w:sz w:val="22"/>
          <w:szCs w:val="22"/>
        </w:rPr>
        <w:t>а</w:t>
      </w:r>
      <w:r w:rsidRPr="009D0203">
        <w:rPr>
          <w:sz w:val="22"/>
          <w:szCs w:val="22"/>
        </w:rPr>
        <w:t xml:space="preserve"> является твердой и определяется на весь срок исполнения </w:t>
      </w:r>
      <w:r w:rsidR="005F2ABC">
        <w:rPr>
          <w:color w:val="000000"/>
          <w:sz w:val="22"/>
          <w:szCs w:val="22"/>
        </w:rPr>
        <w:t>Контракт</w:t>
      </w:r>
      <w:r w:rsidRPr="009D0203">
        <w:rPr>
          <w:color w:val="000000"/>
          <w:sz w:val="22"/>
          <w:szCs w:val="22"/>
        </w:rPr>
        <w:t>а</w:t>
      </w:r>
      <w:r w:rsidRPr="009D0203">
        <w:rPr>
          <w:sz w:val="22"/>
          <w:szCs w:val="22"/>
        </w:rPr>
        <w:t>.</w:t>
      </w:r>
      <w:r w:rsidR="00B92E6B" w:rsidRPr="009D0203">
        <w:rPr>
          <w:sz w:val="22"/>
          <w:szCs w:val="22"/>
        </w:rPr>
        <w:t xml:space="preserve"> </w:t>
      </w:r>
    </w:p>
    <w:p w:rsidR="00B92E6B" w:rsidRPr="009D0203" w:rsidRDefault="00B92E6B" w:rsidP="00B92E6B">
      <w:pPr>
        <w:ind w:firstLine="600"/>
        <w:jc w:val="center"/>
        <w:rPr>
          <w:color w:val="000000"/>
          <w:sz w:val="22"/>
          <w:szCs w:val="22"/>
        </w:rPr>
      </w:pPr>
    </w:p>
    <w:p w:rsidR="00B92E6B" w:rsidRPr="009D0203" w:rsidRDefault="00B92E6B" w:rsidP="00B92E6B">
      <w:pPr>
        <w:ind w:firstLine="600"/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2. КАЧЕСТВО ПРОДУКЦИИ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2.1. Качество поставляемого Товара должно соответствовать действующей нормативно-технической документации ГОСТам (ТУ) (при наличии) в момент исполнения и удостоверятся соответствующими документами, которые передаются Заказчику вместе с Товаром.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sz w:val="22"/>
          <w:szCs w:val="22"/>
        </w:rPr>
        <w:t>числе</w:t>
      </w:r>
      <w:proofErr w:type="gramEnd"/>
      <w:r>
        <w:rPr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Поставляемый Товар должен быть с надлежащим образом нанесенной маркировкой, позволяющей идентифицировать его и проверить на соответствие заключенному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отсутствии на Товаре маркировки на русском языке Поставщик обязан вместе с Товаром </w:t>
      </w:r>
      <w:r w:rsidR="00880543">
        <w:rPr>
          <w:sz w:val="22"/>
          <w:szCs w:val="22"/>
        </w:rPr>
        <w:t>предоставить Заказчику надлежащи</w:t>
      </w:r>
      <w:r>
        <w:rPr>
          <w:sz w:val="22"/>
          <w:szCs w:val="22"/>
        </w:rPr>
        <w:t xml:space="preserve">м образом заверенный документ, позволяющий идентифицировать и сопоставить наименование, указанное на этикетке Товара с наименованием товара, указанным в спецификации </w:t>
      </w:r>
      <w:r w:rsidR="005F2ABC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и товаросопроводительных документах. </w:t>
      </w:r>
    </w:p>
    <w:p w:rsidR="00B6631E" w:rsidRDefault="00B6631E" w:rsidP="00B6631E">
      <w:pPr>
        <w:jc w:val="both"/>
        <w:rPr>
          <w:sz w:val="22"/>
          <w:szCs w:val="22"/>
        </w:rPr>
      </w:pPr>
      <w:r>
        <w:rPr>
          <w:sz w:val="22"/>
          <w:szCs w:val="22"/>
        </w:rPr>
        <w:t>Маркировка на товаре должна иметь информацию о сроке годности и номере партии/производственной серии/лоте и т.д. (если применимо). При отсутствии срока годности на Товар поставка должна сопровождаться надлежащем образом заверенными подтверждающими документами.</w:t>
      </w:r>
    </w:p>
    <w:p w:rsidR="00E6752A" w:rsidRDefault="00E6752A" w:rsidP="00B92E6B">
      <w:pPr>
        <w:jc w:val="center"/>
        <w:rPr>
          <w:b/>
          <w:bCs/>
          <w:sz w:val="22"/>
          <w:szCs w:val="22"/>
        </w:rPr>
      </w:pPr>
    </w:p>
    <w:p w:rsidR="00B92E6B" w:rsidRPr="009D0203" w:rsidRDefault="00B92E6B" w:rsidP="00B92E6B">
      <w:pPr>
        <w:jc w:val="center"/>
        <w:rPr>
          <w:b/>
          <w:bCs/>
          <w:sz w:val="22"/>
          <w:szCs w:val="22"/>
        </w:rPr>
      </w:pPr>
      <w:r w:rsidRPr="009D0203">
        <w:rPr>
          <w:b/>
          <w:bCs/>
          <w:sz w:val="22"/>
          <w:szCs w:val="22"/>
        </w:rPr>
        <w:t>3. ПОРЯДОК ИСПОЛНЕНИЯ СТОРОНАМИ ОБЯЗАТЕЛЬСТВ</w:t>
      </w:r>
    </w:p>
    <w:p w:rsidR="000B5515" w:rsidRDefault="000B5515" w:rsidP="000B5515">
      <w:pPr>
        <w:jc w:val="both"/>
        <w:rPr>
          <w:sz w:val="22"/>
          <w:szCs w:val="22"/>
        </w:rPr>
      </w:pPr>
      <w:r w:rsidRPr="00CC271E">
        <w:rPr>
          <w:sz w:val="22"/>
          <w:szCs w:val="22"/>
        </w:rPr>
        <w:t xml:space="preserve">3.1. </w:t>
      </w:r>
      <w:r w:rsidR="00942B10" w:rsidRPr="00942B10">
        <w:rPr>
          <w:sz w:val="22"/>
          <w:szCs w:val="22"/>
        </w:rPr>
        <w:t xml:space="preserve">Поставщик обязуется передать Товар в </w:t>
      </w:r>
      <w:r w:rsidR="00942B10" w:rsidRPr="009318C6">
        <w:rPr>
          <w:sz w:val="22"/>
          <w:szCs w:val="22"/>
        </w:rPr>
        <w:t xml:space="preserve">течение </w:t>
      </w:r>
      <w:r w:rsidR="0060583B">
        <w:rPr>
          <w:sz w:val="22"/>
          <w:szCs w:val="22"/>
        </w:rPr>
        <w:t>3 календарных</w:t>
      </w:r>
      <w:r w:rsidR="00D1316B" w:rsidRPr="009318C6">
        <w:rPr>
          <w:sz w:val="22"/>
          <w:szCs w:val="22"/>
        </w:rPr>
        <w:t xml:space="preserve"> </w:t>
      </w:r>
      <w:r w:rsidR="009318C6" w:rsidRPr="009318C6">
        <w:rPr>
          <w:sz w:val="22"/>
          <w:szCs w:val="22"/>
        </w:rPr>
        <w:t>дн</w:t>
      </w:r>
      <w:r w:rsidR="0060583B">
        <w:rPr>
          <w:sz w:val="22"/>
          <w:szCs w:val="22"/>
        </w:rPr>
        <w:t>ей</w:t>
      </w:r>
      <w:r w:rsidR="00942B10" w:rsidRPr="009318C6">
        <w:rPr>
          <w:sz w:val="22"/>
          <w:szCs w:val="22"/>
        </w:rPr>
        <w:t xml:space="preserve"> </w:t>
      </w:r>
      <w:r w:rsidR="003350FA" w:rsidRPr="009318C6">
        <w:rPr>
          <w:sz w:val="22"/>
          <w:szCs w:val="22"/>
        </w:rPr>
        <w:t>с</w:t>
      </w:r>
      <w:r w:rsidR="003350FA" w:rsidRPr="003350FA">
        <w:rPr>
          <w:sz w:val="22"/>
          <w:szCs w:val="22"/>
        </w:rPr>
        <w:t xml:space="preserve"> момента заключения настоящего </w:t>
      </w:r>
      <w:r w:rsidR="00874379">
        <w:rPr>
          <w:sz w:val="22"/>
          <w:szCs w:val="22"/>
        </w:rPr>
        <w:t>Контракта</w:t>
      </w:r>
      <w:r w:rsidRPr="00CC271E">
        <w:rPr>
          <w:sz w:val="22"/>
          <w:szCs w:val="22"/>
        </w:rPr>
        <w:t>. О готовности товара к отгрузке Поставщик уведомляет Покупателя не менее чем за 3 (три) рабочих дня в письменной форме по электронной почте sklad@medgamal.ru; a.hrisanfova@medgamal.ru. kurganskiy@medg</w:t>
      </w:r>
      <w:r w:rsidR="00DA7001">
        <w:rPr>
          <w:sz w:val="22"/>
          <w:szCs w:val="22"/>
        </w:rPr>
        <w:t xml:space="preserve">amal.ru, </w:t>
      </w:r>
      <w:hyperlink r:id="rId8" w:history="1">
        <w:r w:rsidR="00DA7001" w:rsidRPr="00717C71">
          <w:rPr>
            <w:rStyle w:val="aa"/>
            <w:sz w:val="22"/>
            <w:szCs w:val="22"/>
          </w:rPr>
          <w:t>kosonogova@medgamal.ru</w:t>
        </w:r>
      </w:hyperlink>
      <w:r w:rsidRPr="00CC271E">
        <w:rPr>
          <w:sz w:val="22"/>
          <w:szCs w:val="22"/>
        </w:rPr>
        <w:t>;</w:t>
      </w:r>
      <w:r w:rsidR="00DA7001">
        <w:rPr>
          <w:sz w:val="22"/>
          <w:szCs w:val="22"/>
        </w:rPr>
        <w:t xml:space="preserve"> </w:t>
      </w:r>
      <w:r w:rsidRPr="00CC271E">
        <w:rPr>
          <w:sz w:val="22"/>
          <w:szCs w:val="22"/>
        </w:rPr>
        <w:t>и по номерам телефонов склада: 8 (499) 190-44-60; 8 (499) 190-57-11.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3.2. </w:t>
      </w:r>
      <w:r w:rsidR="005F52D0" w:rsidRPr="009D0203">
        <w:rPr>
          <w:sz w:val="22"/>
          <w:szCs w:val="22"/>
        </w:rPr>
        <w:t xml:space="preserve">Поставка Товара производится Поставщиком </w:t>
      </w:r>
      <w:bookmarkStart w:id="0" w:name="OLE_LINK111"/>
      <w:bookmarkStart w:id="1" w:name="OLE_LINK112"/>
      <w:bookmarkStart w:id="2" w:name="OLE_LINK113"/>
      <w:r w:rsidR="005F52D0" w:rsidRPr="009D0203">
        <w:rPr>
          <w:sz w:val="22"/>
          <w:szCs w:val="22"/>
        </w:rPr>
        <w:t xml:space="preserve">на склад Заказчика по адресу: </w:t>
      </w:r>
      <w:smartTag w:uri="urn:schemas-microsoft-com:office:smarttags" w:element="metricconverter">
        <w:smartTagPr>
          <w:attr w:name="ProductID" w:val="123098, г"/>
        </w:smartTagPr>
        <w:r w:rsidR="005F52D0" w:rsidRPr="009D0203">
          <w:rPr>
            <w:sz w:val="22"/>
            <w:szCs w:val="22"/>
          </w:rPr>
          <w:t>123098, г</w:t>
        </w:r>
      </w:smartTag>
      <w:r w:rsidR="005F52D0" w:rsidRPr="009D0203">
        <w:rPr>
          <w:sz w:val="22"/>
          <w:szCs w:val="22"/>
        </w:rPr>
        <w:t xml:space="preserve">. Москва, ул. </w:t>
      </w:r>
      <w:proofErr w:type="spellStart"/>
      <w:r w:rsidR="005F52D0" w:rsidRPr="009D0203">
        <w:rPr>
          <w:sz w:val="22"/>
          <w:szCs w:val="22"/>
        </w:rPr>
        <w:t>Гамалеи</w:t>
      </w:r>
      <w:proofErr w:type="spellEnd"/>
      <w:r w:rsidR="005F52D0" w:rsidRPr="009D0203">
        <w:rPr>
          <w:sz w:val="22"/>
          <w:szCs w:val="22"/>
        </w:rPr>
        <w:t>, д. 18</w:t>
      </w:r>
      <w:bookmarkEnd w:id="0"/>
      <w:bookmarkEnd w:id="1"/>
      <w:bookmarkEnd w:id="2"/>
      <w:r w:rsidR="005F52D0" w:rsidRPr="009D0203">
        <w:rPr>
          <w:sz w:val="22"/>
          <w:szCs w:val="22"/>
        </w:rPr>
        <w:t>, в рабочий день Заказчика, с 10 часов 00 минут до 16 часов 00 минут.</w:t>
      </w:r>
      <w:r w:rsidRPr="009D0203">
        <w:rPr>
          <w:sz w:val="22"/>
          <w:szCs w:val="22"/>
        </w:rPr>
        <w:t xml:space="preserve">  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3.3. </w:t>
      </w:r>
      <w:r w:rsidRPr="009D0203">
        <w:rPr>
          <w:sz w:val="22"/>
          <w:szCs w:val="22"/>
        </w:rPr>
        <w:t xml:space="preserve">Приемка поставляемого Товара, на соответствие его количества, комплектности и качества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 xml:space="preserve">е, осуществляется комиссией Заказчика. Для проверки соответствия качества поставляемого Товара требованиям, установленным настоящим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ом Заказчик вправе привлекать независимых экспертов.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3.4. </w:t>
      </w:r>
      <w:r w:rsidRPr="009D0203">
        <w:rPr>
          <w:sz w:val="22"/>
          <w:szCs w:val="22"/>
        </w:rPr>
        <w:t xml:space="preserve">При обнаружении несоответствия количества, комплектности и качества поставляемого Товара требованиям, установленным в настоящем </w:t>
      </w:r>
      <w:r w:rsidR="005F2ABC">
        <w:rPr>
          <w:sz w:val="22"/>
          <w:szCs w:val="22"/>
        </w:rPr>
        <w:t>Контракт</w:t>
      </w:r>
      <w:r w:rsidRPr="009D0203">
        <w:rPr>
          <w:sz w:val="22"/>
          <w:szCs w:val="22"/>
        </w:rPr>
        <w:t>е, Товар возвращается Поставщику, а так же это  служит основанием для отказа в приемке Товара.</w:t>
      </w:r>
    </w:p>
    <w:p w:rsidR="00B92E6B" w:rsidRPr="009D0203" w:rsidRDefault="00B92E6B" w:rsidP="00B92E6B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lastRenderedPageBreak/>
        <w:t xml:space="preserve">3.5. Отгрузка Товара производится транспортом Поставщика. </w:t>
      </w:r>
    </w:p>
    <w:p w:rsidR="00B92E6B" w:rsidRPr="009D0203" w:rsidRDefault="00B92E6B" w:rsidP="00B92E6B">
      <w:pPr>
        <w:jc w:val="both"/>
        <w:rPr>
          <w:color w:val="000000"/>
          <w:sz w:val="22"/>
          <w:szCs w:val="22"/>
        </w:rPr>
      </w:pPr>
      <w:r w:rsidRPr="009D0203">
        <w:rPr>
          <w:sz w:val="22"/>
          <w:szCs w:val="22"/>
        </w:rPr>
        <w:t xml:space="preserve">3.6. </w:t>
      </w:r>
      <w:r w:rsidRPr="009D0203">
        <w:rPr>
          <w:color w:val="000000"/>
          <w:sz w:val="22"/>
          <w:szCs w:val="22"/>
        </w:rPr>
        <w:t xml:space="preserve">Разгрузочно-погрузочные работы обеспечивает </w:t>
      </w:r>
      <w:r w:rsidRPr="009D0203">
        <w:rPr>
          <w:sz w:val="22"/>
          <w:szCs w:val="22"/>
        </w:rPr>
        <w:t>Поставщик</w:t>
      </w:r>
      <w:r w:rsidRPr="009D0203">
        <w:rPr>
          <w:color w:val="000000"/>
          <w:sz w:val="22"/>
          <w:szCs w:val="22"/>
        </w:rPr>
        <w:t xml:space="preserve"> за свой счет.</w:t>
      </w:r>
    </w:p>
    <w:p w:rsidR="005773B6" w:rsidRPr="009D0203" w:rsidRDefault="005773B6" w:rsidP="005773B6">
      <w:pPr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3.7.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предоставить Заказчику  для согласования и для определения правильности оформления скан-копии в электронном виде следующих документов:  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. 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3.8.  </w:t>
      </w:r>
      <w:r w:rsidRPr="009D0203">
        <w:rPr>
          <w:sz w:val="22"/>
          <w:szCs w:val="22"/>
        </w:rPr>
        <w:t>Поставщик обязуется</w:t>
      </w:r>
      <w:r w:rsidRPr="009D0203">
        <w:rPr>
          <w:color w:val="000000"/>
          <w:sz w:val="22"/>
          <w:szCs w:val="22"/>
        </w:rPr>
        <w:t xml:space="preserve"> во время поставки Товара передать Заказчику оригиналы следующих правильно оформленных  документов: счета, счета-фактуры, товарной накладной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>.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3.9. В случае предоставления неправильно составленных документов указанных в пункте 3.8 </w:t>
      </w:r>
      <w:r w:rsidRPr="009D0203">
        <w:rPr>
          <w:spacing w:val="-6"/>
          <w:sz w:val="22"/>
          <w:szCs w:val="22"/>
        </w:rPr>
        <w:t xml:space="preserve">настоящего </w:t>
      </w:r>
      <w:r w:rsidR="005F2ABC">
        <w:rPr>
          <w:spacing w:val="-6"/>
          <w:sz w:val="22"/>
          <w:szCs w:val="22"/>
        </w:rPr>
        <w:t>Контракт</w:t>
      </w:r>
      <w:r w:rsidRPr="009D0203">
        <w:rPr>
          <w:spacing w:val="-6"/>
          <w:sz w:val="22"/>
          <w:szCs w:val="22"/>
        </w:rPr>
        <w:t>а</w:t>
      </w:r>
      <w:r w:rsidRPr="009D0203">
        <w:rPr>
          <w:color w:val="000000"/>
          <w:sz w:val="22"/>
          <w:szCs w:val="22"/>
        </w:rPr>
        <w:t>: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>- Заказчик имеет право не подписывать  товарную накладную</w:t>
      </w:r>
      <w:r w:rsidR="00BA65A9">
        <w:rPr>
          <w:color w:val="000000"/>
          <w:sz w:val="22"/>
          <w:szCs w:val="22"/>
        </w:rPr>
        <w:t>/УПД</w:t>
      </w:r>
      <w:r w:rsidRPr="009D0203">
        <w:rPr>
          <w:color w:val="000000"/>
          <w:sz w:val="22"/>
          <w:szCs w:val="22"/>
        </w:rPr>
        <w:t xml:space="preserve"> Поставщика;</w:t>
      </w:r>
    </w:p>
    <w:p w:rsidR="005773B6" w:rsidRPr="009D0203" w:rsidRDefault="005773B6" w:rsidP="005773B6">
      <w:pPr>
        <w:shd w:val="clear" w:color="auto" w:fill="FFFFFF"/>
        <w:jc w:val="both"/>
        <w:rPr>
          <w:color w:val="000000"/>
          <w:sz w:val="22"/>
          <w:szCs w:val="22"/>
        </w:rPr>
      </w:pPr>
      <w:r w:rsidRPr="009D0203">
        <w:rPr>
          <w:color w:val="000000"/>
          <w:sz w:val="22"/>
          <w:szCs w:val="22"/>
        </w:rPr>
        <w:t xml:space="preserve">- Поставщик обязуется исправить и передать исправленные оригиналы Заказчику в течение 5 (пяти) рабочих дней с момента заявления такого требования Заказчиком.  </w:t>
      </w:r>
    </w:p>
    <w:p w:rsidR="00B92E6B" w:rsidRPr="009D0203" w:rsidRDefault="005773B6" w:rsidP="003C4BAD">
      <w:pPr>
        <w:jc w:val="both"/>
        <w:rPr>
          <w:sz w:val="22"/>
          <w:szCs w:val="22"/>
        </w:rPr>
      </w:pPr>
      <w:r w:rsidRPr="009D0203">
        <w:rPr>
          <w:sz w:val="22"/>
          <w:szCs w:val="22"/>
        </w:rPr>
        <w:t xml:space="preserve">3.10. </w:t>
      </w:r>
      <w:r w:rsidR="003C4BAD" w:rsidRPr="009D0203">
        <w:rPr>
          <w:color w:val="000000"/>
          <w:sz w:val="22"/>
          <w:szCs w:val="22"/>
        </w:rPr>
        <w:t xml:space="preserve">Оплата Товара осуществляется Заказчиком по безналичному расчету платежным поручением путем перечисления денежных средств на расчетный счет Поставщика, указанный в настоящем </w:t>
      </w:r>
      <w:r w:rsidR="005F2ABC">
        <w:rPr>
          <w:color w:val="000000"/>
          <w:sz w:val="22"/>
          <w:szCs w:val="22"/>
        </w:rPr>
        <w:t>Контракт</w:t>
      </w:r>
      <w:r w:rsidR="003C4BAD" w:rsidRPr="009D0203">
        <w:rPr>
          <w:color w:val="000000"/>
          <w:sz w:val="22"/>
          <w:szCs w:val="22"/>
        </w:rPr>
        <w:t xml:space="preserve">е, в течение </w:t>
      </w:r>
      <w:r w:rsidR="00525D85">
        <w:rPr>
          <w:color w:val="000000"/>
          <w:sz w:val="22"/>
          <w:szCs w:val="22"/>
        </w:rPr>
        <w:t>7</w:t>
      </w:r>
      <w:r w:rsidR="003C4BAD" w:rsidRPr="009D0203">
        <w:rPr>
          <w:color w:val="000000"/>
          <w:sz w:val="22"/>
          <w:szCs w:val="22"/>
        </w:rPr>
        <w:t xml:space="preserve"> (</w:t>
      </w:r>
      <w:r w:rsidR="00525D85">
        <w:rPr>
          <w:color w:val="000000"/>
          <w:sz w:val="22"/>
          <w:szCs w:val="22"/>
        </w:rPr>
        <w:t>семи</w:t>
      </w:r>
      <w:r w:rsidR="003C4BAD" w:rsidRPr="009D0203">
        <w:rPr>
          <w:color w:val="000000"/>
          <w:sz w:val="22"/>
          <w:szCs w:val="22"/>
        </w:rPr>
        <w:t xml:space="preserve">) </w:t>
      </w:r>
      <w:r w:rsidR="00BA65A9">
        <w:rPr>
          <w:color w:val="000000"/>
          <w:sz w:val="22"/>
          <w:szCs w:val="22"/>
        </w:rPr>
        <w:t xml:space="preserve">банковских </w:t>
      </w:r>
      <w:r w:rsidR="003C4BAD" w:rsidRPr="009D0203">
        <w:rPr>
          <w:color w:val="000000"/>
          <w:sz w:val="22"/>
          <w:szCs w:val="22"/>
        </w:rPr>
        <w:t>дней после передачи Товара Поставщиком при условии получения Заказчиком  оригиналов правильно оформленных  документов: - счета;- счета-фактуры;  товарной накладной</w:t>
      </w:r>
      <w:r w:rsidR="00BA65A9">
        <w:rPr>
          <w:color w:val="000000"/>
          <w:sz w:val="22"/>
          <w:szCs w:val="22"/>
        </w:rPr>
        <w:t>/УПД</w:t>
      </w:r>
      <w:r w:rsidR="003C4BAD" w:rsidRPr="009D0203">
        <w:rPr>
          <w:color w:val="000000"/>
          <w:sz w:val="22"/>
          <w:szCs w:val="22"/>
        </w:rPr>
        <w:t>,  и подписания Заказчиком документа о приемке Товара.</w:t>
      </w:r>
    </w:p>
    <w:p w:rsidR="00B92E6B" w:rsidRPr="00A97225" w:rsidRDefault="00B92E6B" w:rsidP="00B92E6B">
      <w:pPr>
        <w:pStyle w:val="a5"/>
      </w:pPr>
      <w:r w:rsidRPr="009D0203">
        <w:t>3.</w:t>
      </w:r>
      <w:r w:rsidR="003C4BAD" w:rsidRPr="009D0203">
        <w:t>11</w:t>
      </w:r>
      <w:r w:rsidRPr="009D0203">
        <w:t>. В случае изменения расчетного счета Поставщик обязан в однодневный срок  в письменной форме сообщить об этом Заказчику</w:t>
      </w:r>
      <w:r w:rsidRPr="00A97225">
        <w:t xml:space="preserve">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5F2ABC">
        <w:t>Контракт</w:t>
      </w:r>
      <w:r w:rsidRPr="00A97225">
        <w:t>е счет Поставщика, несет Поставщик.</w:t>
      </w:r>
    </w:p>
    <w:p w:rsidR="00DA7001" w:rsidRPr="00DA7001" w:rsidRDefault="00DA7001" w:rsidP="00DA7001">
      <w:pPr>
        <w:rPr>
          <w:bCs/>
          <w:sz w:val="22"/>
          <w:szCs w:val="22"/>
        </w:rPr>
      </w:pPr>
      <w:r w:rsidRPr="00DA7001">
        <w:rPr>
          <w:bCs/>
          <w:sz w:val="22"/>
          <w:szCs w:val="22"/>
        </w:rPr>
        <w:t xml:space="preserve">3.12. Заказчик не позднее 20 (двадцати) рабочих дней со дня получения Товара и документов, указанных в п. 3.10., обязан осуществить приемку согласно условиям </w:t>
      </w:r>
      <w:r>
        <w:rPr>
          <w:bCs/>
          <w:sz w:val="22"/>
          <w:szCs w:val="22"/>
        </w:rPr>
        <w:t>Контракта</w:t>
      </w:r>
      <w:r w:rsidRPr="00DA700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DA7001">
        <w:rPr>
          <w:bCs/>
          <w:sz w:val="22"/>
          <w:szCs w:val="22"/>
        </w:rPr>
        <w:t xml:space="preserve"> после чего направить Поставщику подписанный экземпляр товарной накладной/УПД или мотивированный отказ от их подписания.</w:t>
      </w:r>
    </w:p>
    <w:p w:rsidR="00DD259E" w:rsidRPr="00A97225" w:rsidRDefault="00DD259E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>4. ОТВЕТСТВЕННОСТЬ СТОРОН</w:t>
      </w:r>
    </w:p>
    <w:p w:rsidR="00DE79DB" w:rsidRPr="00A97225" w:rsidRDefault="00DE79DB" w:rsidP="00DE79DB">
      <w:pPr>
        <w:pStyle w:val="2"/>
        <w:ind w:left="0" w:firstLine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4.1. Стороны несут ответственность за неисполнение или ненадлежащее исполнение обязательств по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у в соответствии с настоящим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действующим законодательством Российской Федерации.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4.2. В случае просрочки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4.3. Общая сумма начисленной неустойки (штрафов, пени) за ненадлежащее исполнение Заказчиком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4.4. В случае просрочки исполнения Поставщиком обязательств (в том числе гарантийного обязательства),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4.5. Пеня начисляется за каждый день просрочки исполнения Поставщиком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срока исполнения обязательства, и устанавливается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  в размере одной трехсотой действующей на дату уплаты пени ключевой ставки Центрального банка Российской Федерации от цены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 и фактически исполненных поставщиком.</w:t>
      </w:r>
    </w:p>
    <w:p w:rsidR="00DE79DB" w:rsidRPr="00A97225" w:rsidRDefault="00DE79DB" w:rsidP="00DE79DB">
      <w:pPr>
        <w:rPr>
          <w:sz w:val="22"/>
          <w:szCs w:val="22"/>
        </w:rPr>
      </w:pPr>
      <w:r w:rsidRPr="00A97225">
        <w:rPr>
          <w:sz w:val="22"/>
          <w:szCs w:val="22"/>
        </w:rPr>
        <w:t xml:space="preserve">4.6.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ом, не может превышать цену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а.</w:t>
      </w:r>
    </w:p>
    <w:p w:rsidR="00DE79DB" w:rsidRPr="00A97225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4.7.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ом, произошло вследствие непреодолимой силы или по вине другой стороны.</w:t>
      </w:r>
    </w:p>
    <w:p w:rsidR="00DE79DB" w:rsidRDefault="00DE79D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468B" w:rsidRDefault="00C6468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468B" w:rsidRDefault="00C6468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6468B" w:rsidRPr="00A97225" w:rsidRDefault="00C6468B" w:rsidP="00DE79D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lastRenderedPageBreak/>
        <w:t>5. ДРУГИЕ УСЛОВИЯ</w:t>
      </w:r>
    </w:p>
    <w:p w:rsidR="00B92E6B" w:rsidRPr="00A97225" w:rsidRDefault="00B92E6B" w:rsidP="00B92E6B">
      <w:pPr>
        <w:spacing w:line="21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5.1. Претензии сторон, возникающие в связи с исполнением настоящего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включая споры и разногласия по техническим и финансовым вопросам (условиям), рассматриваются сторонами путем переговоров. Неурегулированные споры передаются на разрешение в Арбитражный суд г. Москвы.</w:t>
      </w:r>
    </w:p>
    <w:p w:rsidR="00B92E6B" w:rsidRPr="00A97225" w:rsidRDefault="00B92E6B" w:rsidP="00B92E6B">
      <w:pPr>
        <w:pStyle w:val="a5"/>
      </w:pPr>
      <w:r w:rsidRPr="00A97225">
        <w:t xml:space="preserve">5.2. Во всем остальном, что не предусмотрено настоящим </w:t>
      </w:r>
      <w:r w:rsidR="005F2ABC">
        <w:t>Контракт</w:t>
      </w:r>
      <w:r w:rsidRPr="00A97225">
        <w:t>ом, стороны руководствуются действующим законодательством РФ.</w:t>
      </w:r>
    </w:p>
    <w:p w:rsidR="00B92E6B" w:rsidRPr="00A97225" w:rsidRDefault="00B92E6B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5.3. Документы, подписанные сторонами после заключения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а, составляют его неотъемлемую часть только в том случае, если в них это прямо предусмотрено.</w:t>
      </w:r>
    </w:p>
    <w:p w:rsidR="00E03C94" w:rsidRPr="00A97225" w:rsidRDefault="00E03C94" w:rsidP="00B92E6B">
      <w:pPr>
        <w:jc w:val="center"/>
        <w:rPr>
          <w:b/>
          <w:bCs/>
          <w:sz w:val="22"/>
          <w:szCs w:val="22"/>
        </w:rPr>
      </w:pPr>
    </w:p>
    <w:p w:rsidR="00B92E6B" w:rsidRPr="00A97225" w:rsidRDefault="00B92E6B" w:rsidP="00B92E6B">
      <w:pPr>
        <w:jc w:val="center"/>
        <w:rPr>
          <w:b/>
          <w:bCs/>
          <w:sz w:val="22"/>
          <w:szCs w:val="22"/>
        </w:rPr>
      </w:pPr>
      <w:r w:rsidRPr="00A97225">
        <w:rPr>
          <w:b/>
          <w:bCs/>
          <w:sz w:val="22"/>
          <w:szCs w:val="22"/>
        </w:rPr>
        <w:t xml:space="preserve">6. СРОК ДЕЙСТВИЯ </w:t>
      </w:r>
      <w:r w:rsidR="005F2ABC">
        <w:rPr>
          <w:b/>
          <w:bCs/>
          <w:sz w:val="22"/>
          <w:szCs w:val="22"/>
        </w:rPr>
        <w:t>КОНТРАКТ</w:t>
      </w:r>
      <w:r w:rsidRPr="00A97225">
        <w:rPr>
          <w:b/>
          <w:bCs/>
          <w:sz w:val="22"/>
          <w:szCs w:val="22"/>
        </w:rPr>
        <w:t>А</w:t>
      </w:r>
    </w:p>
    <w:p w:rsidR="00B92E6B" w:rsidRPr="00A97225" w:rsidRDefault="004425EE" w:rsidP="00B92E6B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6.1. </w:t>
      </w:r>
      <w:r w:rsidR="00A97225">
        <w:rPr>
          <w:sz w:val="22"/>
          <w:szCs w:val="22"/>
        </w:rPr>
        <w:t xml:space="preserve">Срок действия настоящего </w:t>
      </w:r>
      <w:r w:rsidR="005F2ABC">
        <w:rPr>
          <w:sz w:val="22"/>
          <w:szCs w:val="22"/>
        </w:rPr>
        <w:t>Контракт</w:t>
      </w:r>
      <w:r w:rsidR="00A97225">
        <w:rPr>
          <w:sz w:val="22"/>
          <w:szCs w:val="22"/>
        </w:rPr>
        <w:t>а устанавливается с момента его подписания обеими Сторонами и до 3</w:t>
      </w:r>
      <w:r w:rsidR="00BA65A9">
        <w:rPr>
          <w:sz w:val="22"/>
          <w:szCs w:val="22"/>
        </w:rPr>
        <w:t>0</w:t>
      </w:r>
      <w:r w:rsidR="00A97225">
        <w:rPr>
          <w:sz w:val="22"/>
          <w:szCs w:val="22"/>
        </w:rPr>
        <w:t xml:space="preserve"> декабря 202</w:t>
      </w:r>
      <w:r w:rsidR="00DD39DD">
        <w:rPr>
          <w:sz w:val="22"/>
          <w:szCs w:val="22"/>
        </w:rPr>
        <w:t>6</w:t>
      </w:r>
      <w:r w:rsidR="000B5515">
        <w:rPr>
          <w:sz w:val="22"/>
          <w:szCs w:val="22"/>
        </w:rPr>
        <w:t xml:space="preserve"> </w:t>
      </w:r>
      <w:r w:rsidR="00A97225">
        <w:rPr>
          <w:sz w:val="22"/>
          <w:szCs w:val="22"/>
        </w:rPr>
        <w:t>года.</w:t>
      </w:r>
    </w:p>
    <w:p w:rsidR="00B92E6B" w:rsidRPr="00A97225" w:rsidRDefault="00B92E6B" w:rsidP="00B92E6B">
      <w:pPr>
        <w:pStyle w:val="a5"/>
      </w:pPr>
      <w:r w:rsidRPr="00A97225">
        <w:t xml:space="preserve">6.2. С момента заключения </w:t>
      </w:r>
      <w:r w:rsidR="005F2ABC">
        <w:t>Контракт</w:t>
      </w:r>
      <w:r w:rsidRPr="00A97225">
        <w:t xml:space="preserve">а вся предшествующая переписка и переговоры по </w:t>
      </w:r>
      <w:r w:rsidR="005F2ABC">
        <w:t>Контракт</w:t>
      </w:r>
      <w:r w:rsidRPr="00A97225">
        <w:t>у теряют силу.</w:t>
      </w:r>
    </w:p>
    <w:p w:rsidR="00CF4FE4" w:rsidRDefault="00CF4FE4" w:rsidP="00CF4FE4">
      <w:pPr>
        <w:spacing w:line="276" w:lineRule="auto"/>
        <w:jc w:val="both"/>
        <w:rPr>
          <w:sz w:val="22"/>
          <w:szCs w:val="22"/>
        </w:rPr>
      </w:pPr>
      <w:r w:rsidRPr="00A97225">
        <w:rPr>
          <w:sz w:val="22"/>
          <w:szCs w:val="22"/>
        </w:rPr>
        <w:t xml:space="preserve">6.3. Расторжение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 xml:space="preserve">а от исполнения </w:t>
      </w:r>
      <w:r w:rsidR="005F2ABC">
        <w:rPr>
          <w:sz w:val="22"/>
          <w:szCs w:val="22"/>
        </w:rPr>
        <w:t>Контракт</w:t>
      </w:r>
      <w:r w:rsidRPr="00A97225">
        <w:rPr>
          <w:sz w:val="22"/>
          <w:szCs w:val="22"/>
        </w:rPr>
        <w:t>а в соответствии с гражданским законодательством.</w:t>
      </w:r>
    </w:p>
    <w:p w:rsidR="00B92E6B" w:rsidRPr="00A97225" w:rsidRDefault="00B92E6B" w:rsidP="00B92E6B">
      <w:pPr>
        <w:pStyle w:val="a5"/>
      </w:pPr>
    </w:p>
    <w:p w:rsidR="00B92E6B" w:rsidRPr="00A97225" w:rsidRDefault="00B92E6B" w:rsidP="00B92E6B">
      <w:pPr>
        <w:pStyle w:val="Style5"/>
        <w:widowControl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7225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A97225">
        <w:rPr>
          <w:rStyle w:val="FontStyle13"/>
          <w:rFonts w:ascii="Times New Roman" w:hAnsi="Times New Roman" w:cs="Times New Roman"/>
          <w:b/>
          <w:bCs/>
        </w:rPr>
        <w:t>ЮРИДИЧЕСКИЕ АДРЕСА И РЕКВИЗИТЫ СТОРОН</w:t>
      </w:r>
    </w:p>
    <w:tbl>
      <w:tblPr>
        <w:tblW w:w="100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08"/>
        <w:gridCol w:w="5040"/>
      </w:tblGrid>
      <w:tr w:rsidR="00B92E6B" w:rsidRPr="009D0203">
        <w:trPr>
          <w:trHeight w:val="889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2E6B" w:rsidRPr="00A97225" w:rsidRDefault="00B92E6B" w:rsidP="00B92E6B">
            <w:pPr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Поставщик</w:t>
            </w:r>
            <w:r w:rsidR="00DD760A" w:rsidRPr="00A97225">
              <w:rPr>
                <w:sz w:val="22"/>
                <w:szCs w:val="22"/>
              </w:rPr>
              <w:t xml:space="preserve">: </w:t>
            </w:r>
            <w:r w:rsidR="00DD760A" w:rsidRPr="000B5515">
              <w:rPr>
                <w:sz w:val="22"/>
                <w:szCs w:val="22"/>
                <w:highlight w:val="yellow"/>
              </w:rPr>
              <w:t>_______</w:t>
            </w:r>
          </w:p>
          <w:p w:rsidR="00B92E6B" w:rsidRPr="00A97225" w:rsidRDefault="00B92E6B" w:rsidP="00B92E6B">
            <w:pPr>
              <w:pStyle w:val="a5"/>
              <w:snapToGrid w:val="0"/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Заказчик: 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 xml:space="preserve">» Минздрава России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ИНН 7734013214, КПП 773401001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Банковские реквизиты: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ФГБУ «НИЦЭМ им.  Н.Ф.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» Минздрава России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20736У42280 в УФК по </w:t>
            </w:r>
            <w:proofErr w:type="spellStart"/>
            <w:r w:rsidRPr="00A97225">
              <w:rPr>
                <w:sz w:val="22"/>
                <w:szCs w:val="22"/>
              </w:rPr>
              <w:t>г.Москве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л/с 21736У42280 в УФК по </w:t>
            </w:r>
            <w:proofErr w:type="spellStart"/>
            <w:r w:rsidRPr="00A97225">
              <w:rPr>
                <w:sz w:val="22"/>
                <w:szCs w:val="22"/>
              </w:rPr>
              <w:t>г.Москве</w:t>
            </w:r>
            <w:proofErr w:type="spellEnd"/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Р/</w:t>
            </w:r>
            <w:proofErr w:type="spellStart"/>
            <w:r w:rsidRPr="00A97225">
              <w:rPr>
                <w:sz w:val="22"/>
                <w:szCs w:val="22"/>
              </w:rPr>
              <w:t>сч</w:t>
            </w:r>
            <w:proofErr w:type="spellEnd"/>
            <w:r w:rsidRPr="00A97225">
              <w:rPr>
                <w:sz w:val="22"/>
                <w:szCs w:val="22"/>
              </w:rPr>
              <w:t xml:space="preserve"> 03214643000000017300 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к/с 40102810545370000003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>БИК 004525988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Банк: </w:t>
            </w:r>
            <w:r w:rsidR="0033030C" w:rsidRPr="0033030C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:rsidR="0068042D" w:rsidRPr="00A97225" w:rsidRDefault="0068042D" w:rsidP="0068042D">
            <w:pPr>
              <w:autoSpaceDE w:val="0"/>
              <w:rPr>
                <w:sz w:val="22"/>
                <w:szCs w:val="22"/>
              </w:rPr>
            </w:pPr>
            <w:r w:rsidRPr="00A97225">
              <w:rPr>
                <w:sz w:val="22"/>
                <w:szCs w:val="22"/>
              </w:rPr>
              <w:t xml:space="preserve">Адрес: 123098, </w:t>
            </w:r>
            <w:proofErr w:type="spellStart"/>
            <w:r w:rsidRPr="00A97225">
              <w:rPr>
                <w:sz w:val="22"/>
                <w:szCs w:val="22"/>
              </w:rPr>
              <w:t>г.Москва</w:t>
            </w:r>
            <w:proofErr w:type="spellEnd"/>
            <w:r w:rsidRPr="00A97225">
              <w:rPr>
                <w:sz w:val="22"/>
                <w:szCs w:val="22"/>
              </w:rPr>
              <w:t xml:space="preserve">, ул. </w:t>
            </w:r>
            <w:proofErr w:type="spellStart"/>
            <w:r w:rsidRPr="00A97225">
              <w:rPr>
                <w:sz w:val="22"/>
                <w:szCs w:val="22"/>
              </w:rPr>
              <w:t>Гамалеи</w:t>
            </w:r>
            <w:proofErr w:type="spellEnd"/>
            <w:r w:rsidRPr="00A97225">
              <w:rPr>
                <w:sz w:val="22"/>
                <w:szCs w:val="22"/>
              </w:rPr>
              <w:t>, дом 18</w:t>
            </w:r>
          </w:p>
          <w:p w:rsidR="00B92E6B" w:rsidRPr="009D0203" w:rsidRDefault="0068042D" w:rsidP="0068042D">
            <w:pPr>
              <w:pStyle w:val="a5"/>
              <w:snapToGrid w:val="0"/>
              <w:jc w:val="left"/>
            </w:pPr>
            <w:r w:rsidRPr="00A97225">
              <w:t>тел. 8 (499) 1933001, http://www.gamaleya.org/</w:t>
            </w:r>
            <w:hyperlink r:id="rId9" w:tgtFrame="_blank" w:history="1"/>
          </w:p>
        </w:tc>
      </w:tr>
    </w:tbl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>ОТ ИМЕНИ ПОСТАВЩИКА</w:t>
      </w:r>
      <w:r w:rsidRPr="009D0203">
        <w:tab/>
      </w:r>
      <w:r w:rsidRPr="009D0203">
        <w:tab/>
      </w:r>
      <w:r w:rsidRPr="009D0203">
        <w:tab/>
      </w:r>
      <w:r w:rsidRPr="009D0203">
        <w:tab/>
        <w:t>ОТ ИМЕНИ ЗАКАЗЧИКА</w:t>
      </w:r>
    </w:p>
    <w:p w:rsidR="00B92E6B" w:rsidRPr="009D0203" w:rsidRDefault="00B92E6B" w:rsidP="00B92E6B">
      <w:pPr>
        <w:pStyle w:val="a5"/>
      </w:pPr>
    </w:p>
    <w:p w:rsidR="00B92E6B" w:rsidRPr="009D0203" w:rsidRDefault="00B92E6B" w:rsidP="00B92E6B">
      <w:pPr>
        <w:pStyle w:val="a5"/>
      </w:pPr>
      <w:r w:rsidRPr="009D0203">
        <w:t xml:space="preserve">__________________ </w:t>
      </w:r>
      <w:r w:rsidR="00DD760A" w:rsidRPr="000B5515">
        <w:rPr>
          <w:highlight w:val="yellow"/>
        </w:rPr>
        <w:t>_______</w:t>
      </w:r>
      <w:r w:rsidRPr="009D0203">
        <w:tab/>
      </w:r>
      <w:r w:rsidRPr="009D0203">
        <w:tab/>
      </w:r>
      <w:r w:rsidRPr="009D0203">
        <w:tab/>
      </w:r>
      <w:r w:rsidR="009D0203">
        <w:tab/>
      </w:r>
      <w:r w:rsidR="00DD760A" w:rsidRPr="009D0203">
        <w:t xml:space="preserve"> </w:t>
      </w:r>
      <w:r w:rsidRPr="009D0203">
        <w:t>__________________</w:t>
      </w:r>
      <w:r w:rsidR="00874379">
        <w:t>Д</w:t>
      </w:r>
      <w:r w:rsidRPr="009D0203">
        <w:t>.</w:t>
      </w:r>
      <w:r w:rsidR="00874379">
        <w:t>Ю</w:t>
      </w:r>
      <w:r w:rsidRPr="009D0203">
        <w:t xml:space="preserve">. </w:t>
      </w:r>
      <w:r w:rsidR="00874379">
        <w:t>Логунов</w:t>
      </w:r>
    </w:p>
    <w:p w:rsidR="00B92E6B" w:rsidRPr="009D0203" w:rsidRDefault="00B92E6B" w:rsidP="00B92E6B">
      <w:pPr>
        <w:pStyle w:val="a5"/>
      </w:pPr>
      <w:r w:rsidRPr="009D0203">
        <w:tab/>
      </w:r>
      <w:r w:rsidRPr="009D0203">
        <w:tab/>
        <w:t>МП</w:t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r w:rsidRPr="009D0203">
        <w:tab/>
      </w:r>
      <w:proofErr w:type="spellStart"/>
      <w:r w:rsidRPr="009D0203">
        <w:t>МП</w:t>
      </w:r>
      <w:proofErr w:type="spellEnd"/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B92E6B" w:rsidRPr="009D0203" w:rsidRDefault="00B92E6B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F64BB3" w:rsidRPr="009D0203" w:rsidRDefault="00F64BB3" w:rsidP="00B92E6B">
      <w:pPr>
        <w:jc w:val="right"/>
        <w:rPr>
          <w:sz w:val="22"/>
          <w:szCs w:val="22"/>
        </w:rPr>
      </w:pP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lastRenderedPageBreak/>
        <w:t>Приложение №1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 xml:space="preserve">к </w:t>
      </w:r>
      <w:r w:rsidR="005F2ABC">
        <w:rPr>
          <w:sz w:val="22"/>
          <w:szCs w:val="22"/>
        </w:rPr>
        <w:t>Контракт</w:t>
      </w:r>
      <w:r w:rsidRPr="00BA65A9">
        <w:rPr>
          <w:sz w:val="22"/>
          <w:szCs w:val="22"/>
        </w:rPr>
        <w:t xml:space="preserve">у №  </w:t>
      </w:r>
      <w:r w:rsidR="005D693A">
        <w:rPr>
          <w:sz w:val="22"/>
          <w:szCs w:val="22"/>
        </w:rPr>
        <w:t>______</w:t>
      </w:r>
    </w:p>
    <w:p w:rsidR="00BA65A9" w:rsidRPr="00BA65A9" w:rsidRDefault="00BA65A9" w:rsidP="00BA65A9">
      <w:pPr>
        <w:jc w:val="right"/>
        <w:rPr>
          <w:sz w:val="22"/>
          <w:szCs w:val="22"/>
        </w:rPr>
      </w:pPr>
      <w:r w:rsidRPr="00BA65A9">
        <w:rPr>
          <w:sz w:val="22"/>
          <w:szCs w:val="22"/>
        </w:rPr>
        <w:t>от  «___»  __________ 202</w:t>
      </w:r>
      <w:r w:rsidR="00DD39DD">
        <w:rPr>
          <w:sz w:val="22"/>
          <w:szCs w:val="22"/>
        </w:rPr>
        <w:t>6</w:t>
      </w:r>
      <w:r w:rsidRPr="00BA65A9">
        <w:rPr>
          <w:sz w:val="22"/>
          <w:szCs w:val="22"/>
        </w:rPr>
        <w:t>г.</w:t>
      </w:r>
    </w:p>
    <w:p w:rsidR="00F05724" w:rsidRDefault="00F05724" w:rsidP="00F05724">
      <w:pPr>
        <w:jc w:val="center"/>
        <w:rPr>
          <w:sz w:val="22"/>
          <w:szCs w:val="22"/>
        </w:rPr>
      </w:pPr>
    </w:p>
    <w:p w:rsidR="00F05724" w:rsidRPr="00BA65A9" w:rsidRDefault="00F05724" w:rsidP="00F05724">
      <w:pPr>
        <w:jc w:val="center"/>
        <w:rPr>
          <w:sz w:val="22"/>
          <w:szCs w:val="22"/>
        </w:rPr>
      </w:pPr>
      <w:r w:rsidRPr="00BA65A9">
        <w:rPr>
          <w:sz w:val="22"/>
          <w:szCs w:val="22"/>
        </w:rPr>
        <w:t xml:space="preserve">СПЕЦИФИКАЦИЯ </w:t>
      </w:r>
    </w:p>
    <w:p w:rsidR="00BA65A9" w:rsidRPr="00BA65A9" w:rsidRDefault="00BA65A9" w:rsidP="00BA65A9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804"/>
        <w:gridCol w:w="992"/>
        <w:gridCol w:w="850"/>
        <w:gridCol w:w="1843"/>
        <w:gridCol w:w="1559"/>
        <w:gridCol w:w="1560"/>
      </w:tblGrid>
      <w:tr w:rsidR="00F05724" w:rsidRPr="00C1766A" w:rsidTr="0008352C">
        <w:trPr>
          <w:trHeight w:val="2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№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Наименование</w:t>
            </w: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Кол-во</w:t>
            </w: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Ед.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Цена за ед.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Сумма</w:t>
            </w:r>
          </w:p>
        </w:tc>
      </w:tr>
      <w:tr w:rsidR="00F05724" w:rsidRPr="00C1766A" w:rsidTr="0008352C">
        <w:trPr>
          <w:trHeight w:val="455"/>
        </w:trPr>
        <w:tc>
          <w:tcPr>
            <w:tcW w:w="565" w:type="dxa"/>
            <w:noWrap/>
          </w:tcPr>
          <w:p w:rsidR="00F05724" w:rsidRPr="00C1766A" w:rsidRDefault="00F05724" w:rsidP="0008352C">
            <w:pPr>
              <w:jc w:val="center"/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804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noWrap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01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>Итого: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C1766A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  <w:r w:rsidRPr="00C1766A">
              <w:rPr>
                <w:sz w:val="22"/>
                <w:szCs w:val="22"/>
                <w:highlight w:val="yellow"/>
              </w:rPr>
              <w:t xml:space="preserve">В том числе НДС:                                  </w:t>
            </w:r>
          </w:p>
        </w:tc>
        <w:tc>
          <w:tcPr>
            <w:tcW w:w="1560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</w:tr>
      <w:tr w:rsidR="00F05724" w:rsidRPr="00EC6EFC" w:rsidTr="0008352C">
        <w:trPr>
          <w:trHeight w:val="225"/>
        </w:trPr>
        <w:tc>
          <w:tcPr>
            <w:tcW w:w="565" w:type="dxa"/>
          </w:tcPr>
          <w:p w:rsidR="00F05724" w:rsidRPr="00C1766A" w:rsidRDefault="00F05724" w:rsidP="000835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048" w:type="dxa"/>
            <w:gridSpan w:val="5"/>
            <w:noWrap/>
            <w:vAlign w:val="center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  <w:r w:rsidRPr="00C1766A">
              <w:rPr>
                <w:sz w:val="22"/>
                <w:szCs w:val="22"/>
                <w:highlight w:val="yellow"/>
              </w:rPr>
              <w:t>Всего к оплате:</w:t>
            </w:r>
          </w:p>
        </w:tc>
        <w:tc>
          <w:tcPr>
            <w:tcW w:w="1560" w:type="dxa"/>
          </w:tcPr>
          <w:p w:rsidR="00F05724" w:rsidRPr="00EC6EFC" w:rsidRDefault="00F05724" w:rsidP="0008352C">
            <w:pPr>
              <w:rPr>
                <w:sz w:val="22"/>
                <w:szCs w:val="22"/>
              </w:rPr>
            </w:pPr>
          </w:p>
        </w:tc>
      </w:tr>
    </w:tbl>
    <w:p w:rsidR="00BA65A9" w:rsidRPr="00BA65A9" w:rsidRDefault="00BA65A9" w:rsidP="00BA65A9">
      <w:pPr>
        <w:jc w:val="center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  <w:u w:val="single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  <w:u w:val="single"/>
        </w:rPr>
        <w:t xml:space="preserve">Всего </w:t>
      </w:r>
      <w:r w:rsidRPr="00EA78F9">
        <w:rPr>
          <w:sz w:val="22"/>
          <w:szCs w:val="22"/>
          <w:highlight w:val="yellow"/>
          <w:u w:val="single"/>
        </w:rPr>
        <w:t>наименований         ,</w:t>
      </w:r>
      <w:r w:rsidRPr="00BA65A9">
        <w:rPr>
          <w:sz w:val="22"/>
          <w:szCs w:val="22"/>
          <w:u w:val="single"/>
        </w:rPr>
        <w:t xml:space="preserve"> на сумму: </w:t>
      </w:r>
      <w:r w:rsidRPr="00EA78F9">
        <w:rPr>
          <w:sz w:val="22"/>
          <w:szCs w:val="22"/>
          <w:highlight w:val="yellow"/>
        </w:rPr>
        <w:t xml:space="preserve">___________ (__________ рублей __ копеек), в </w:t>
      </w:r>
      <w:proofErr w:type="spellStart"/>
      <w:r w:rsidRPr="00EA78F9">
        <w:rPr>
          <w:sz w:val="22"/>
          <w:szCs w:val="22"/>
          <w:highlight w:val="yellow"/>
        </w:rPr>
        <w:t>т.ч</w:t>
      </w:r>
      <w:proofErr w:type="spellEnd"/>
      <w:r w:rsidRPr="00EA78F9">
        <w:rPr>
          <w:sz w:val="22"/>
          <w:szCs w:val="22"/>
          <w:highlight w:val="yellow"/>
        </w:rPr>
        <w:t>. НДС _____%: ___________ (__________ рублей __ копеек).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Default="00D1316B" w:rsidP="00482547">
      <w:pPr>
        <w:jc w:val="center"/>
        <w:rPr>
          <w:b/>
          <w:bCs/>
        </w:rPr>
      </w:pPr>
      <w:r w:rsidRPr="00DC76D6">
        <w:rPr>
          <w:b/>
          <w:bCs/>
        </w:rPr>
        <w:t>Техническое здание</w:t>
      </w:r>
    </w:p>
    <w:p w:rsidR="00482547" w:rsidRDefault="00482547" w:rsidP="00482547">
      <w:pPr>
        <w:jc w:val="center"/>
        <w:rPr>
          <w:b/>
          <w:bCs/>
        </w:rPr>
      </w:pPr>
    </w:p>
    <w:p w:rsidR="0060583B" w:rsidRPr="004C07AB" w:rsidRDefault="0060583B" w:rsidP="0060583B">
      <w:pPr>
        <w:pStyle w:val="af0"/>
        <w:numPr>
          <w:ilvl w:val="0"/>
          <w:numId w:val="3"/>
        </w:numPr>
        <w:spacing w:after="200" w:line="360" w:lineRule="auto"/>
        <w:contextualSpacing w:val="0"/>
        <w:rPr>
          <w:b/>
          <w:sz w:val="24"/>
          <w:szCs w:val="24"/>
        </w:rPr>
      </w:pPr>
      <w:r w:rsidRPr="004C07AB">
        <w:rPr>
          <w:rFonts w:ascii="Times New Roman" w:hAnsi="Times New Roman" w:cs="Times New Roman"/>
          <w:b/>
        </w:rPr>
        <w:t>Адрес поставки товара</w:t>
      </w:r>
      <w:r w:rsidRPr="004C07AB">
        <w:rPr>
          <w:rFonts w:ascii="Times New Roman" w:hAnsi="Times New Roman" w:cs="Times New Roman"/>
        </w:rPr>
        <w:t xml:space="preserve">: г. Москва, ул. </w:t>
      </w:r>
      <w:proofErr w:type="spellStart"/>
      <w:r w:rsidRPr="004C07AB">
        <w:rPr>
          <w:rFonts w:ascii="Times New Roman" w:hAnsi="Times New Roman" w:cs="Times New Roman"/>
        </w:rPr>
        <w:t>Гамалеи</w:t>
      </w:r>
      <w:proofErr w:type="spellEnd"/>
      <w:r w:rsidRPr="004C07AB">
        <w:rPr>
          <w:rFonts w:ascii="Times New Roman" w:hAnsi="Times New Roman" w:cs="Times New Roman"/>
        </w:rPr>
        <w:t>, 18</w:t>
      </w:r>
    </w:p>
    <w:p w:rsidR="0060583B" w:rsidRPr="004C07AB" w:rsidRDefault="0060583B" w:rsidP="0060583B">
      <w:pPr>
        <w:jc w:val="both"/>
        <w:rPr>
          <w:b/>
        </w:rPr>
      </w:pPr>
      <w:r w:rsidRPr="004C07AB">
        <w:rPr>
          <w:b/>
        </w:rPr>
        <w:t>2. Количество поставляемого товара</w:t>
      </w:r>
      <w:r w:rsidRPr="004C07AB">
        <w:t xml:space="preserve">: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095"/>
        <w:gridCol w:w="1532"/>
        <w:gridCol w:w="1553"/>
      </w:tblGrid>
      <w:tr w:rsidR="0060583B" w:rsidRPr="004C07AB" w:rsidTr="000A256F">
        <w:trPr>
          <w:trHeight w:val="652"/>
        </w:trPr>
        <w:tc>
          <w:tcPr>
            <w:tcW w:w="567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AB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4C07AB">
              <w:rPr>
                <w:rFonts w:ascii="Times New Roman" w:hAnsi="Times New Roman"/>
                <w:b/>
              </w:rPr>
              <w:t>п</w:t>
            </w:r>
            <w:proofErr w:type="gramEnd"/>
            <w:r w:rsidRPr="004C07AB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237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AB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560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AB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C07AB">
              <w:rPr>
                <w:rFonts w:ascii="Times New Roman" w:hAnsi="Times New Roman"/>
                <w:b/>
              </w:rPr>
              <w:t>Единица измерения</w:t>
            </w:r>
          </w:p>
        </w:tc>
      </w:tr>
      <w:tr w:rsidR="0060583B" w:rsidRPr="004C07AB" w:rsidTr="000A256F">
        <w:trPr>
          <w:trHeight w:val="277"/>
        </w:trPr>
        <w:tc>
          <w:tcPr>
            <w:tcW w:w="567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C07A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237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Полноценный гранулированный корм для разведения мышей и крыс, с добавлением витаминов, </w:t>
            </w:r>
            <w:proofErr w:type="spellStart"/>
            <w:r w:rsidRPr="004C07AB">
              <w:rPr>
                <w:rFonts w:ascii="Times New Roman" w:hAnsi="Times New Roman"/>
              </w:rPr>
              <w:t>автоклавируемый</w:t>
            </w:r>
            <w:proofErr w:type="spellEnd"/>
          </w:p>
        </w:tc>
        <w:tc>
          <w:tcPr>
            <w:tcW w:w="1560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250</w:t>
            </w:r>
          </w:p>
        </w:tc>
        <w:tc>
          <w:tcPr>
            <w:tcW w:w="1559" w:type="dxa"/>
          </w:tcPr>
          <w:p w:rsidR="0060583B" w:rsidRPr="004C07AB" w:rsidRDefault="0060583B" w:rsidP="000A25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кг</w:t>
            </w:r>
          </w:p>
        </w:tc>
      </w:tr>
    </w:tbl>
    <w:p w:rsidR="0060583B" w:rsidRPr="004C07AB" w:rsidRDefault="0060583B" w:rsidP="0060583B">
      <w:pPr>
        <w:pStyle w:val="af1"/>
        <w:spacing w:line="360" w:lineRule="auto"/>
        <w:rPr>
          <w:rFonts w:ascii="Times New Roman" w:hAnsi="Times New Roman" w:cs="Times New Roman"/>
          <w:b/>
        </w:rPr>
      </w:pPr>
    </w:p>
    <w:p w:rsidR="0060583B" w:rsidRPr="004C07AB" w:rsidRDefault="0060583B" w:rsidP="0060583B">
      <w:pPr>
        <w:pStyle w:val="af1"/>
        <w:spacing w:line="360" w:lineRule="auto"/>
        <w:rPr>
          <w:rFonts w:ascii="Times New Roman" w:hAnsi="Times New Roman" w:cs="Times New Roman"/>
        </w:rPr>
      </w:pPr>
      <w:r w:rsidRPr="004C07AB">
        <w:rPr>
          <w:rFonts w:ascii="Times New Roman" w:hAnsi="Times New Roman" w:cs="Times New Roman"/>
          <w:b/>
        </w:rPr>
        <w:t>3. Поставка товара</w:t>
      </w:r>
      <w:r w:rsidRPr="004C07AB">
        <w:rPr>
          <w:rFonts w:ascii="Times New Roman" w:hAnsi="Times New Roman" w:cs="Times New Roman"/>
        </w:rPr>
        <w:t>: товар поставляется одной партией</w:t>
      </w:r>
    </w:p>
    <w:p w:rsidR="0060583B" w:rsidRPr="004C07AB" w:rsidRDefault="0060583B" w:rsidP="0060583B">
      <w:pPr>
        <w:pStyle w:val="af1"/>
        <w:spacing w:line="276" w:lineRule="auto"/>
        <w:rPr>
          <w:rFonts w:ascii="Times New Roman" w:hAnsi="Times New Roman" w:cs="Times New Roman"/>
        </w:rPr>
      </w:pPr>
      <w:r w:rsidRPr="004C07AB">
        <w:rPr>
          <w:rFonts w:ascii="Times New Roman" w:hAnsi="Times New Roman" w:cs="Times New Roman"/>
          <w:b/>
        </w:rPr>
        <w:t>4. Описание товара</w:t>
      </w:r>
      <w:r w:rsidRPr="004C07AB">
        <w:rPr>
          <w:rFonts w:ascii="Times New Roman" w:hAnsi="Times New Roman" w:cs="Times New Roman"/>
        </w:rPr>
        <w:t xml:space="preserve">: </w:t>
      </w:r>
    </w:p>
    <w:p w:rsidR="0060583B" w:rsidRPr="004C07AB" w:rsidRDefault="0060583B" w:rsidP="0060583B">
      <w:pPr>
        <w:pStyle w:val="af1"/>
        <w:spacing w:line="276" w:lineRule="auto"/>
        <w:jc w:val="both"/>
        <w:rPr>
          <w:rFonts w:ascii="Times New Roman" w:hAnsi="Times New Roman" w:cs="Times New Roman"/>
        </w:rPr>
      </w:pPr>
      <w:r w:rsidRPr="004C07AB">
        <w:rPr>
          <w:rFonts w:ascii="Times New Roman" w:hAnsi="Times New Roman" w:cs="Times New Roman"/>
        </w:rPr>
        <w:t xml:space="preserve">Корм для разведения мышей и крыс в </w:t>
      </w:r>
      <w:r w:rsidRPr="004C07AB">
        <w:rPr>
          <w:rFonts w:ascii="Times New Roman" w:hAnsi="Times New Roman" w:cs="Times New Roman"/>
          <w:lang w:val="en-US"/>
        </w:rPr>
        <w:t>SPF</w:t>
      </w:r>
      <w:r w:rsidRPr="004C07AB">
        <w:rPr>
          <w:rFonts w:ascii="Times New Roman" w:hAnsi="Times New Roman" w:cs="Times New Roman"/>
        </w:rPr>
        <w:t xml:space="preserve"> вивариях. Корма </w:t>
      </w:r>
      <w:proofErr w:type="gramStart"/>
      <w:r w:rsidRPr="004C07AB">
        <w:rPr>
          <w:rFonts w:ascii="Times New Roman" w:hAnsi="Times New Roman" w:cs="Times New Roman"/>
        </w:rPr>
        <w:t>подходят для длительного содержания животных начиная</w:t>
      </w:r>
      <w:proofErr w:type="gramEnd"/>
      <w:r w:rsidRPr="004C07AB">
        <w:rPr>
          <w:rFonts w:ascii="Times New Roman" w:hAnsi="Times New Roman" w:cs="Times New Roman"/>
        </w:rPr>
        <w:t xml:space="preserve"> с рождения и представляют собой фиксированную формулу на основе злаков (соя, пшеница, кукуруза), продуктов масличных семян, минералов, витаминов, которая не содержит люцерны, рыбной и животной муки и характеризуется низким количеством </w:t>
      </w:r>
      <w:proofErr w:type="spellStart"/>
      <w:r w:rsidRPr="004C07AB">
        <w:rPr>
          <w:rFonts w:ascii="Times New Roman" w:hAnsi="Times New Roman" w:cs="Times New Roman"/>
        </w:rPr>
        <w:t>нитрозаминов</w:t>
      </w:r>
      <w:proofErr w:type="spellEnd"/>
      <w:r w:rsidRPr="004C07AB">
        <w:rPr>
          <w:rFonts w:ascii="Times New Roman" w:hAnsi="Times New Roman" w:cs="Times New Roman"/>
        </w:rPr>
        <w:t>. Компонентный состав обоих типов кормов, должен быть однороден для обеспечения отсутствия стресса для животных при переходе с диеты для разведения на диету для содержания.</w:t>
      </w:r>
    </w:p>
    <w:p w:rsidR="0060583B" w:rsidRPr="004C07AB" w:rsidRDefault="0060583B" w:rsidP="0060583B">
      <w:pPr>
        <w:pStyle w:val="af1"/>
        <w:spacing w:line="276" w:lineRule="auto"/>
        <w:jc w:val="both"/>
        <w:rPr>
          <w:rFonts w:ascii="Times New Roman" w:hAnsi="Times New Roman" w:cs="Times New Roman"/>
        </w:rPr>
      </w:pPr>
    </w:p>
    <w:p w:rsidR="0060583B" w:rsidRPr="004C07AB" w:rsidRDefault="0060583B" w:rsidP="0060583B">
      <w:pPr>
        <w:pStyle w:val="af1"/>
        <w:spacing w:line="276" w:lineRule="auto"/>
        <w:jc w:val="both"/>
        <w:rPr>
          <w:rFonts w:ascii="Times New Roman" w:hAnsi="Times New Roman" w:cs="Times New Roman"/>
        </w:rPr>
      </w:pPr>
      <w:r w:rsidRPr="004C07AB">
        <w:rPr>
          <w:rFonts w:ascii="Times New Roman" w:hAnsi="Times New Roman" w:cs="Times New Roman"/>
        </w:rPr>
        <w:t>Корм должен быть произведен из одной партии исходного сырья, не допускается поставка корма разного срока годности и партии производства.</w:t>
      </w:r>
    </w:p>
    <w:p w:rsidR="0060583B" w:rsidRPr="004C07AB" w:rsidRDefault="0060583B" w:rsidP="0060583B">
      <w:pPr>
        <w:pStyle w:val="af1"/>
        <w:spacing w:line="276" w:lineRule="auto"/>
        <w:jc w:val="both"/>
        <w:rPr>
          <w:rFonts w:ascii="Times New Roman" w:hAnsi="Times New Roman" w:cs="Times New Roman"/>
        </w:rPr>
      </w:pPr>
    </w:p>
    <w:p w:rsidR="0060583B" w:rsidRPr="004C07AB" w:rsidRDefault="0060583B" w:rsidP="0060583B">
      <w:pPr>
        <w:pStyle w:val="af1"/>
        <w:jc w:val="both"/>
        <w:rPr>
          <w:rFonts w:ascii="Times New Roman" w:hAnsi="Times New Roman" w:cs="Times New Roman"/>
        </w:rPr>
      </w:pPr>
      <w:r w:rsidRPr="004C07AB">
        <w:rPr>
          <w:rFonts w:ascii="Times New Roman" w:hAnsi="Times New Roman" w:cs="Times New Roman"/>
        </w:rPr>
        <w:t xml:space="preserve">Товар должен быть упакован в трехслойные </w:t>
      </w:r>
      <w:proofErr w:type="spellStart"/>
      <w:r w:rsidRPr="004C07AB">
        <w:rPr>
          <w:rFonts w:ascii="Times New Roman" w:hAnsi="Times New Roman" w:cs="Times New Roman"/>
        </w:rPr>
        <w:t>крафтовые</w:t>
      </w:r>
      <w:proofErr w:type="spellEnd"/>
      <w:r w:rsidRPr="004C07AB">
        <w:rPr>
          <w:rFonts w:ascii="Times New Roman" w:hAnsi="Times New Roman" w:cs="Times New Roman"/>
        </w:rPr>
        <w:t xml:space="preserve"> бумажные мешки с этикеткой содержащей информацию о номере партии, дате производства и сроке годности, основных компонентах корма, условиях хранения. Каждый мешок с кормом должен быть упакован в плотный и герметичный полиэтиленовый чехол устойчивый к моющим и дезинфицирующим средствам.</w:t>
      </w:r>
    </w:p>
    <w:p w:rsidR="0060583B" w:rsidRPr="004C07AB" w:rsidRDefault="0060583B" w:rsidP="0060583B">
      <w:pPr>
        <w:pStyle w:val="af1"/>
        <w:jc w:val="both"/>
        <w:rPr>
          <w:rFonts w:ascii="Times New Roman" w:hAnsi="Times New Roman" w:cs="Times New Roman"/>
        </w:rPr>
      </w:pPr>
    </w:p>
    <w:p w:rsidR="0060583B" w:rsidRPr="004C07AB" w:rsidRDefault="0060583B" w:rsidP="0060583B">
      <w:pPr>
        <w:pStyle w:val="af1"/>
        <w:jc w:val="both"/>
        <w:rPr>
          <w:rFonts w:ascii="Times New Roman" w:hAnsi="Times New Roman" w:cs="Times New Roman"/>
        </w:rPr>
      </w:pPr>
      <w:r w:rsidRPr="004C07AB">
        <w:rPr>
          <w:rFonts w:ascii="Times New Roman" w:hAnsi="Times New Roman" w:cs="Times New Roman"/>
        </w:rPr>
        <w:t xml:space="preserve">Площадка, на которой </w:t>
      </w:r>
      <w:proofErr w:type="gramStart"/>
      <w:r w:rsidRPr="004C07AB">
        <w:rPr>
          <w:rFonts w:ascii="Times New Roman" w:hAnsi="Times New Roman" w:cs="Times New Roman"/>
        </w:rPr>
        <w:t>производятся корма должна</w:t>
      </w:r>
      <w:proofErr w:type="gramEnd"/>
      <w:r w:rsidRPr="004C07AB">
        <w:rPr>
          <w:rFonts w:ascii="Times New Roman" w:hAnsi="Times New Roman" w:cs="Times New Roman"/>
        </w:rPr>
        <w:t xml:space="preserve"> быть сертифицирована по ИСО 9001/2015.</w:t>
      </w:r>
    </w:p>
    <w:p w:rsidR="0060583B" w:rsidRPr="004C07AB" w:rsidRDefault="0060583B" w:rsidP="0060583B">
      <w:pPr>
        <w:pStyle w:val="af1"/>
        <w:spacing w:line="276" w:lineRule="auto"/>
        <w:rPr>
          <w:rFonts w:ascii="Times New Roman" w:hAnsi="Times New Roman" w:cs="Times New Roman"/>
          <w:b/>
        </w:rPr>
      </w:pPr>
    </w:p>
    <w:p w:rsidR="0060583B" w:rsidRPr="004C07AB" w:rsidRDefault="0060583B" w:rsidP="0060583B">
      <w:pPr>
        <w:pStyle w:val="af1"/>
        <w:spacing w:line="276" w:lineRule="auto"/>
        <w:rPr>
          <w:rFonts w:ascii="Times New Roman" w:hAnsi="Times New Roman" w:cs="Times New Roman"/>
          <w:b/>
        </w:rPr>
      </w:pPr>
      <w:r w:rsidRPr="004C07AB">
        <w:rPr>
          <w:rFonts w:ascii="Times New Roman" w:hAnsi="Times New Roman" w:cs="Times New Roman"/>
          <w:b/>
        </w:rPr>
        <w:t>5. Требования к качеству товаров</w:t>
      </w:r>
    </w:p>
    <w:p w:rsidR="0060583B" w:rsidRPr="004C07AB" w:rsidRDefault="0060583B" w:rsidP="0060583B">
      <w:pPr>
        <w:pStyle w:val="af1"/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2885"/>
        <w:gridCol w:w="6577"/>
      </w:tblGrid>
      <w:tr w:rsidR="0060583B" w:rsidRPr="004C07AB" w:rsidTr="000A256F">
        <w:trPr>
          <w:trHeight w:val="457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Назначение: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Предназначен для разведения мышей и крыс в </w:t>
            </w:r>
            <w:r w:rsidRPr="004C07AB">
              <w:rPr>
                <w:rFonts w:ascii="Times New Roman" w:hAnsi="Times New Roman"/>
                <w:lang w:val="en-US"/>
              </w:rPr>
              <w:t>SPF</w:t>
            </w:r>
            <w:r w:rsidRPr="004C07AB">
              <w:rPr>
                <w:rFonts w:ascii="Times New Roman" w:hAnsi="Times New Roman"/>
              </w:rPr>
              <w:t xml:space="preserve"> вивариях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Форма и размер корма: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Гранулы не менее 10 мм и не более 15 мм в диаметре</w:t>
            </w:r>
          </w:p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C07AB">
              <w:rPr>
                <w:rFonts w:ascii="Times New Roman" w:hAnsi="Times New Roman"/>
              </w:rPr>
              <w:t>Длинна</w:t>
            </w:r>
            <w:proofErr w:type="gramEnd"/>
            <w:r w:rsidRPr="004C07AB">
              <w:rPr>
                <w:rFonts w:ascii="Times New Roman" w:hAnsi="Times New Roman"/>
              </w:rPr>
              <w:t xml:space="preserve"> гранул не менее 20 и не более 30 мм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lastRenderedPageBreak/>
              <w:t>Тип корма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Гранулированный</w:t>
            </w:r>
          </w:p>
        </w:tc>
      </w:tr>
      <w:tr w:rsidR="0060583B" w:rsidRPr="004C07AB" w:rsidTr="000A256F">
        <w:trPr>
          <w:trHeight w:val="539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Крошимость</w:t>
            </w:r>
            <w:proofErr w:type="spellEnd"/>
          </w:p>
          <w:p w:rsidR="0060583B" w:rsidRPr="004C07AB" w:rsidRDefault="0060583B" w:rsidP="000A256F">
            <w:pPr>
              <w:rPr>
                <w:rFonts w:ascii="Times New Roman" w:hAnsi="Times New Roman"/>
                <w:lang w:val="en-US"/>
              </w:rPr>
            </w:pPr>
            <w:r w:rsidRPr="004C07AB">
              <w:rPr>
                <w:rFonts w:ascii="Times New Roman" w:hAnsi="Times New Roman"/>
              </w:rPr>
              <w:t>Твердость</w:t>
            </w:r>
          </w:p>
          <w:p w:rsidR="0060583B" w:rsidRPr="004C07AB" w:rsidRDefault="0060583B" w:rsidP="000A256F">
            <w:pPr>
              <w:rPr>
                <w:rFonts w:ascii="Times New Roman" w:hAnsi="Times New Roman"/>
              </w:rPr>
            </w:pPr>
          </w:p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Однородность гранул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Крошимость</w:t>
            </w:r>
            <w:proofErr w:type="spellEnd"/>
            <w:r w:rsidRPr="004C07AB">
              <w:rPr>
                <w:rFonts w:ascii="Times New Roman" w:hAnsi="Times New Roman"/>
              </w:rPr>
              <w:t xml:space="preserve"> не более 2,5%</w:t>
            </w:r>
          </w:p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C07AB">
              <w:rPr>
                <w:rFonts w:ascii="Times New Roman" w:hAnsi="Times New Roman"/>
              </w:rPr>
              <w:t>Твердость не менее 21,5 кг/см</w:t>
            </w:r>
            <w:proofErr w:type="gramStart"/>
            <w:r w:rsidRPr="004C07AB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4C07AB">
              <w:rPr>
                <w:rFonts w:ascii="Times New Roman" w:hAnsi="Times New Roman"/>
                <w:vertAlign w:val="superscript"/>
              </w:rPr>
              <w:t xml:space="preserve"> </w:t>
            </w:r>
            <w:r w:rsidRPr="004C07AB">
              <w:rPr>
                <w:rFonts w:ascii="Times New Roman" w:hAnsi="Times New Roman"/>
                <w:vertAlign w:val="superscript"/>
              </w:rPr>
              <w:br/>
            </w:r>
            <w:r w:rsidRPr="004C07AB">
              <w:rPr>
                <w:rFonts w:ascii="Times New Roman" w:hAnsi="Times New Roman"/>
              </w:rPr>
              <w:t>Корм должен обеспечивать стачивание зубов у грызунов</w:t>
            </w:r>
          </w:p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Однородный цвет и гомогенность гранулированной массы гранул, отсутствие видимых включений неизмельченных компонентов при разломе гранулы</w:t>
            </w:r>
          </w:p>
        </w:tc>
      </w:tr>
      <w:tr w:rsidR="0060583B" w:rsidRPr="004C07AB" w:rsidTr="000A256F">
        <w:trPr>
          <w:trHeight w:val="539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Состав: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Соя, пшеница, кукуруза, продукты масличных семян, с добавлением минералов и  витаминов</w:t>
            </w:r>
          </w:p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Без содержания компонентов животного происхождения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Форма упаковки: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Бумажные мешки массой не более 10 кг с дополнительной внешней упаковкой в герметичный (запаянный) полиэтиленовый пакет без внешних повреждений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Устойчивость к </w:t>
            </w:r>
            <w:proofErr w:type="spellStart"/>
            <w:r w:rsidRPr="004C07AB">
              <w:rPr>
                <w:rFonts w:ascii="Times New Roman" w:hAnsi="Times New Roman"/>
              </w:rPr>
              <w:t>автоклавированию</w:t>
            </w:r>
            <w:bookmarkStart w:id="3" w:name="_GoBack"/>
            <w:bookmarkEnd w:id="3"/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Корм должен сохранять свои питательные свойства и физические параметры (твердость, </w:t>
            </w:r>
            <w:proofErr w:type="spellStart"/>
            <w:r w:rsidRPr="004C07AB">
              <w:rPr>
                <w:rFonts w:ascii="Times New Roman" w:hAnsi="Times New Roman"/>
              </w:rPr>
              <w:t>крощимость</w:t>
            </w:r>
            <w:proofErr w:type="spellEnd"/>
            <w:r w:rsidRPr="004C07AB">
              <w:rPr>
                <w:rFonts w:ascii="Times New Roman" w:hAnsi="Times New Roman"/>
              </w:rPr>
              <w:t>, размер) в неизменном виде после обработки паром при температуре 134</w:t>
            </w:r>
            <w:proofErr w:type="gramStart"/>
            <w:r w:rsidRPr="004C07AB">
              <w:rPr>
                <w:rFonts w:ascii="Times New Roman" w:hAnsi="Times New Roman"/>
              </w:rPr>
              <w:t>ºС</w:t>
            </w:r>
            <w:proofErr w:type="gramEnd"/>
            <w:r w:rsidRPr="004C07AB">
              <w:rPr>
                <w:rFonts w:ascii="Times New Roman" w:hAnsi="Times New Roman"/>
              </w:rPr>
              <w:t xml:space="preserve"> в течении 20 минут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Срок годности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Не менее 9 месяцев </w:t>
            </w:r>
            <w:proofErr w:type="gramStart"/>
            <w:r w:rsidRPr="004C07AB">
              <w:rPr>
                <w:rFonts w:ascii="Times New Roman" w:hAnsi="Times New Roman"/>
              </w:rPr>
              <w:t>с даты производства</w:t>
            </w:r>
            <w:proofErr w:type="gramEnd"/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Показатели безопасности, токсичности и микробиологической загрязненности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Содержание </w:t>
            </w:r>
            <w:proofErr w:type="spellStart"/>
            <w:r w:rsidRPr="004C07AB">
              <w:rPr>
                <w:rFonts w:ascii="Times New Roman" w:hAnsi="Times New Roman"/>
              </w:rPr>
              <w:t>микотоксинов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1 микрограмма/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Свинец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0,1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Кадмий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0,1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Ртуть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0,02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Мышьяк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0,1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Общее содержание </w:t>
            </w:r>
            <w:proofErr w:type="spellStart"/>
            <w:r w:rsidRPr="004C07AB">
              <w:rPr>
                <w:rFonts w:ascii="Times New Roman" w:hAnsi="Times New Roman"/>
              </w:rPr>
              <w:t>полихлорированных</w:t>
            </w:r>
            <w:proofErr w:type="spellEnd"/>
            <w:r w:rsidRPr="004C07AB">
              <w:rPr>
                <w:rFonts w:ascii="Times New Roman" w:hAnsi="Times New Roman"/>
              </w:rPr>
              <w:t xml:space="preserve"> </w:t>
            </w:r>
            <w:proofErr w:type="spellStart"/>
            <w:r w:rsidRPr="004C07AB">
              <w:rPr>
                <w:rFonts w:ascii="Times New Roman" w:hAnsi="Times New Roman"/>
              </w:rPr>
              <w:t>дифинелов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0,002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Пиперонилбутоксид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0,32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Тринексапак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0,028 миллиграмма</w:t>
            </w:r>
            <w:r w:rsidRPr="004C07AB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4C07AB">
              <w:rPr>
                <w:rFonts w:ascii="Times New Roman" w:hAnsi="Times New Roman"/>
              </w:rPr>
              <w:t>кг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Общее кол-во аэробных микроорганизмов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3,2*10</w:t>
            </w:r>
            <w:r w:rsidRPr="004C07AB">
              <w:rPr>
                <w:rFonts w:ascii="Times New Roman" w:hAnsi="Times New Roman"/>
                <w:vertAlign w:val="superscript"/>
              </w:rPr>
              <w:t xml:space="preserve">3 </w:t>
            </w:r>
            <w:r w:rsidRPr="004C07AB">
              <w:rPr>
                <w:rFonts w:ascii="Times New Roman" w:hAnsi="Times New Roman"/>
              </w:rPr>
              <w:t>КОЕ/</w:t>
            </w:r>
            <w:proofErr w:type="gramStart"/>
            <w:r w:rsidRPr="004C07AB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Дрожжевые грибки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1,0*10</w:t>
            </w:r>
            <w:r w:rsidRPr="004C07AB">
              <w:rPr>
                <w:rFonts w:ascii="Times New Roman" w:hAnsi="Times New Roman"/>
                <w:vertAlign w:val="superscript"/>
              </w:rPr>
              <w:t xml:space="preserve">2 </w:t>
            </w:r>
            <w:r w:rsidRPr="004C07AB">
              <w:rPr>
                <w:rFonts w:ascii="Times New Roman" w:hAnsi="Times New Roman"/>
              </w:rPr>
              <w:t>КОЕ/</w:t>
            </w:r>
            <w:proofErr w:type="gramStart"/>
            <w:r w:rsidRPr="004C07AB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Плесневые грибы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1,0*10</w:t>
            </w:r>
            <w:r w:rsidRPr="004C07AB">
              <w:rPr>
                <w:rFonts w:ascii="Times New Roman" w:hAnsi="Times New Roman"/>
                <w:vertAlign w:val="superscript"/>
              </w:rPr>
              <w:t xml:space="preserve">3 </w:t>
            </w:r>
            <w:r w:rsidRPr="004C07AB">
              <w:rPr>
                <w:rFonts w:ascii="Times New Roman" w:hAnsi="Times New Roman"/>
              </w:rPr>
              <w:t>КОЕ/</w:t>
            </w:r>
            <w:proofErr w:type="gramStart"/>
            <w:r w:rsidRPr="004C07AB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4C07AB">
              <w:rPr>
                <w:rFonts w:ascii="Times New Roman" w:hAnsi="Times New Roman"/>
                <w:lang w:val="en-US"/>
              </w:rPr>
              <w:t>E .</w:t>
            </w:r>
            <w:proofErr w:type="gramEnd"/>
            <w:r w:rsidRPr="004C07AB">
              <w:rPr>
                <w:rFonts w:ascii="Times New Roman" w:hAnsi="Times New Roman"/>
                <w:lang w:val="en-US"/>
              </w:rPr>
              <w:t xml:space="preserve"> Coli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1,0*10</w:t>
            </w:r>
            <w:r w:rsidRPr="004C07AB">
              <w:rPr>
                <w:rFonts w:ascii="Times New Roman" w:hAnsi="Times New Roman"/>
                <w:vertAlign w:val="superscript"/>
              </w:rPr>
              <w:t xml:space="preserve">0 </w:t>
            </w:r>
            <w:r w:rsidRPr="004C07AB">
              <w:rPr>
                <w:rFonts w:ascii="Times New Roman" w:hAnsi="Times New Roman"/>
              </w:rPr>
              <w:t>КОЕ/</w:t>
            </w:r>
            <w:proofErr w:type="gramStart"/>
            <w:r w:rsidRPr="004C07AB">
              <w:rPr>
                <w:rFonts w:ascii="Times New Roman" w:hAnsi="Times New Roman"/>
              </w:rPr>
              <w:t>г</w:t>
            </w:r>
            <w:proofErr w:type="gramEnd"/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Сальмонелла (в 25 граммах)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допускается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Технический анализ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Влагосодержание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11,</w:t>
            </w:r>
            <w:r w:rsidRPr="004C07AB">
              <w:rPr>
                <w:rFonts w:ascii="Times New Roman" w:hAnsi="Times New Roman"/>
                <w:lang w:val="en-US"/>
              </w:rPr>
              <w:t>2</w:t>
            </w:r>
            <w:r w:rsidRPr="004C07AB">
              <w:rPr>
                <w:rFonts w:ascii="Times New Roman" w:hAnsi="Times New Roman"/>
              </w:rPr>
              <w:t>%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Сырой белок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22,5%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Сырой жир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5,1%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Сырая клетчатка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4,5%</w:t>
            </w:r>
          </w:p>
        </w:tc>
      </w:tr>
      <w:tr w:rsidR="0060583B" w:rsidRPr="004C07AB" w:rsidTr="000A256F">
        <w:trPr>
          <w:trHeight w:val="254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Зола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6,1%</w:t>
            </w:r>
          </w:p>
        </w:tc>
      </w:tr>
      <w:tr w:rsidR="0060583B" w:rsidRPr="004C07AB" w:rsidTr="000A256F">
        <w:trPr>
          <w:trHeight w:val="615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Безазотистые</w:t>
            </w:r>
            <w:proofErr w:type="spellEnd"/>
            <w:r w:rsidRPr="004C07AB">
              <w:rPr>
                <w:rFonts w:ascii="Times New Roman" w:hAnsi="Times New Roman"/>
              </w:rPr>
              <w:t xml:space="preserve"> экстрактивные вещества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50,7%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Углеводы (мг</w:t>
            </w:r>
            <w:r w:rsidRPr="004C07AB">
              <w:rPr>
                <w:rFonts w:ascii="Times New Roman" w:hAnsi="Times New Roman"/>
                <w:b/>
                <w:bCs/>
                <w:lang w:val="en-US"/>
              </w:rPr>
              <w:t>/</w:t>
            </w:r>
            <w:r w:rsidRPr="004C07AB">
              <w:rPr>
                <w:rFonts w:ascii="Times New Roman" w:hAnsi="Times New Roman"/>
                <w:b/>
                <w:bCs/>
              </w:rPr>
              <w:t>кг)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Моносахара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0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Дисахариды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54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Полисахариды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350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Энергетические показатели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Энергия из жиров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Не более 463 </w:t>
            </w:r>
            <w:proofErr w:type="spellStart"/>
            <w:r w:rsidRPr="004C07AB">
              <w:rPr>
                <w:rFonts w:ascii="Times New Roman" w:hAnsi="Times New Roman"/>
              </w:rPr>
              <w:t>кк</w:t>
            </w:r>
            <w:proofErr w:type="spellEnd"/>
            <w:proofErr w:type="gramStart"/>
            <w:r w:rsidRPr="004C07AB">
              <w:rPr>
                <w:rFonts w:ascii="Times New Roman" w:hAnsi="Times New Roman"/>
                <w:lang w:val="en-US"/>
              </w:rPr>
              <w:t>a</w:t>
            </w:r>
            <w:proofErr w:type="gramEnd"/>
            <w:r w:rsidRPr="004C07AB">
              <w:rPr>
                <w:rFonts w:ascii="Times New Roman" w:hAnsi="Times New Roman"/>
              </w:rPr>
              <w:t>л/кг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Энергия из белков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Не менее 901 </w:t>
            </w:r>
            <w:proofErr w:type="spellStart"/>
            <w:r w:rsidRPr="004C07AB">
              <w:rPr>
                <w:rFonts w:ascii="Times New Roman" w:hAnsi="Times New Roman"/>
              </w:rPr>
              <w:t>кк</w:t>
            </w:r>
            <w:proofErr w:type="spellEnd"/>
            <w:proofErr w:type="gramStart"/>
            <w:r w:rsidRPr="004C07AB">
              <w:rPr>
                <w:rFonts w:ascii="Times New Roman" w:hAnsi="Times New Roman"/>
                <w:lang w:val="en-US"/>
              </w:rPr>
              <w:t>a</w:t>
            </w:r>
            <w:proofErr w:type="gramEnd"/>
            <w:r w:rsidRPr="004C07AB">
              <w:rPr>
                <w:rFonts w:ascii="Times New Roman" w:hAnsi="Times New Roman"/>
              </w:rPr>
              <w:t>л/кг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Энергия из углеводов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Не менее 1 976 </w:t>
            </w:r>
            <w:proofErr w:type="spellStart"/>
            <w:r w:rsidRPr="004C07AB">
              <w:rPr>
                <w:rFonts w:ascii="Times New Roman" w:hAnsi="Times New Roman"/>
              </w:rPr>
              <w:t>кк</w:t>
            </w:r>
            <w:proofErr w:type="spellEnd"/>
            <w:proofErr w:type="gramStart"/>
            <w:r w:rsidRPr="004C07AB">
              <w:rPr>
                <w:rFonts w:ascii="Times New Roman" w:hAnsi="Times New Roman"/>
                <w:lang w:val="en-US"/>
              </w:rPr>
              <w:t>a</w:t>
            </w:r>
            <w:proofErr w:type="gramEnd"/>
            <w:r w:rsidRPr="004C07AB">
              <w:rPr>
                <w:rFonts w:ascii="Times New Roman" w:hAnsi="Times New Roman"/>
              </w:rPr>
              <w:t>л/кг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lastRenderedPageBreak/>
              <w:t>Общая энергия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более 3 339 ккал/кг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Аминокислоты (мг/кг)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Аланин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10 284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Аргинин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14 822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Аспартамовая</w:t>
            </w:r>
            <w:proofErr w:type="spellEnd"/>
            <w:r w:rsidRPr="004C07AB">
              <w:rPr>
                <w:rFonts w:ascii="Times New Roman" w:hAnsi="Times New Roman"/>
              </w:rPr>
              <w:t xml:space="preserve"> кислота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21 735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Цистеин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3 244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Глютаминовая кислота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43 649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Глицин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9 565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Гистидин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5 508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Изолейцин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9 668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Лейцин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17 123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Лизин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11 326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Метионин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3 171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4C07AB">
              <w:rPr>
                <w:rFonts w:ascii="Times New Roman" w:hAnsi="Times New Roman"/>
              </w:rPr>
              <w:t>Фенилаланин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10 549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Пролин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13 955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Серин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11 300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Треонин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8 249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Триптофан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2 929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Тирозин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7 561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Валин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10 738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Жирные кислоты (мг/кг)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spellStart"/>
            <w:r w:rsidRPr="004C07AB">
              <w:rPr>
                <w:rFonts w:ascii="Times New Roman" w:hAnsi="Times New Roman"/>
              </w:rPr>
              <w:t>Арахидоновая</w:t>
            </w:r>
            <w:proofErr w:type="spell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148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Стеариновая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11 615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Пальмитолеиновая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5 342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Олеиновая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9 287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proofErr w:type="gramStart"/>
            <w:r w:rsidRPr="004C07AB">
              <w:rPr>
                <w:rFonts w:ascii="Times New Roman" w:hAnsi="Times New Roman"/>
              </w:rPr>
              <w:t>Альфа-Линоленовая</w:t>
            </w:r>
            <w:proofErr w:type="gram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3 018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Линоленовая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21 996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Минералы (мг/кг)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Кальций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7 000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Фосфор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5 000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Натрий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2 100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Калий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10 144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Магний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Не менее 2 055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>Микроэлементы (</w:t>
            </w:r>
            <w:r w:rsidRPr="004C07AB">
              <w:rPr>
                <w:rFonts w:ascii="Times New Roman" w:hAnsi="Times New Roman"/>
              </w:rPr>
              <w:t>мг/кг)</w:t>
            </w:r>
          </w:p>
        </w:tc>
      </w:tr>
      <w:tr w:rsidR="0060583B" w:rsidRPr="004C07AB" w:rsidTr="000A256F">
        <w:trPr>
          <w:trHeight w:val="401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Железо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191,02</w:t>
            </w:r>
          </w:p>
        </w:tc>
      </w:tr>
      <w:tr w:rsidR="0060583B" w:rsidRPr="004C07AB" w:rsidTr="000A256F">
        <w:trPr>
          <w:trHeight w:val="401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81,86</w:t>
            </w:r>
          </w:p>
        </w:tc>
      </w:tr>
      <w:tr w:rsidR="0060583B" w:rsidRPr="004C07AB" w:rsidTr="000A256F">
        <w:trPr>
          <w:trHeight w:val="401"/>
        </w:trPr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Хлорин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3 382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Медь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13,89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Марганец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77,69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Цинк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84,99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  <w:lang w:val="en-US"/>
              </w:rPr>
            </w:pPr>
            <w:r w:rsidRPr="004C07AB">
              <w:rPr>
                <w:rFonts w:ascii="Times New Roman" w:hAnsi="Times New Roman"/>
              </w:rPr>
              <w:t>Йод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1,53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Селен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0,26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Фтор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3,05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Кобальт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0,37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Молибден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1,54</w:t>
            </w:r>
          </w:p>
        </w:tc>
      </w:tr>
      <w:tr w:rsidR="0060583B" w:rsidRPr="004C07AB" w:rsidTr="000A256F">
        <w:tc>
          <w:tcPr>
            <w:tcW w:w="9519" w:type="dxa"/>
            <w:gridSpan w:val="2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C07AB">
              <w:rPr>
                <w:rFonts w:ascii="Times New Roman" w:hAnsi="Times New Roman"/>
                <w:b/>
                <w:bCs/>
              </w:rPr>
              <w:t xml:space="preserve">Витамины </w:t>
            </w:r>
            <w:r w:rsidRPr="004C07AB">
              <w:rPr>
                <w:rFonts w:ascii="Times New Roman" w:hAnsi="Times New Roman"/>
                <w:b/>
                <w:bCs/>
                <w:lang w:val="en-US"/>
              </w:rPr>
              <w:t>(</w:t>
            </w:r>
            <w:r w:rsidRPr="004C07AB">
              <w:rPr>
                <w:rFonts w:ascii="Times New Roman" w:hAnsi="Times New Roman"/>
                <w:b/>
                <w:bCs/>
              </w:rPr>
              <w:t xml:space="preserve">в </w:t>
            </w:r>
            <w:proofErr w:type="gramStart"/>
            <w:r w:rsidRPr="004C07AB">
              <w:rPr>
                <w:rFonts w:ascii="Times New Roman" w:hAnsi="Times New Roman"/>
                <w:b/>
                <w:bCs/>
              </w:rPr>
              <w:t>кг</w:t>
            </w:r>
            <w:proofErr w:type="gramEnd"/>
            <w:r w:rsidRPr="004C07AB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Витамин</w:t>
            </w:r>
            <w:proofErr w:type="gramStart"/>
            <w:r w:rsidRPr="004C07AB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26 250 IU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  <w:lang w:val="en-US"/>
              </w:rPr>
            </w:pPr>
            <w:r w:rsidRPr="004C07AB">
              <w:rPr>
                <w:rFonts w:ascii="Times New Roman" w:hAnsi="Times New Roman"/>
              </w:rPr>
              <w:t xml:space="preserve">Витамин </w:t>
            </w:r>
            <w:r w:rsidRPr="004C07AB">
              <w:rPr>
                <w:rFonts w:ascii="Times New Roman" w:hAnsi="Times New Roman"/>
                <w:lang w:val="en-US"/>
              </w:rPr>
              <w:t>D3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1 050 IU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Витамин</w:t>
            </w:r>
            <w:r w:rsidRPr="004C07AB">
              <w:rPr>
                <w:rFonts w:ascii="Times New Roman" w:hAnsi="Times New Roman"/>
                <w:lang w:val="en-US"/>
              </w:rPr>
              <w:t xml:space="preserve"> E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132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Витамин</w:t>
            </w:r>
            <w:r w:rsidRPr="004C07AB">
              <w:rPr>
                <w:rFonts w:ascii="Times New Roman" w:hAnsi="Times New Roman"/>
                <w:lang w:val="en-US"/>
              </w:rPr>
              <w:t xml:space="preserve"> B1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32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Витамин</w:t>
            </w:r>
            <w:r w:rsidRPr="004C07AB">
              <w:rPr>
                <w:rFonts w:ascii="Times New Roman" w:hAnsi="Times New Roman"/>
                <w:lang w:val="en-US"/>
              </w:rPr>
              <w:t xml:space="preserve"> B2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21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Витамин</w:t>
            </w:r>
            <w:r w:rsidRPr="004C07AB">
              <w:rPr>
                <w:rFonts w:ascii="Times New Roman" w:hAnsi="Times New Roman"/>
                <w:lang w:val="en-US"/>
              </w:rPr>
              <w:t xml:space="preserve"> B6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16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lastRenderedPageBreak/>
              <w:t>Витамин</w:t>
            </w:r>
            <w:r w:rsidRPr="004C07AB">
              <w:rPr>
                <w:rFonts w:ascii="Times New Roman" w:hAnsi="Times New Roman"/>
                <w:lang w:val="en-US"/>
              </w:rPr>
              <w:t xml:space="preserve"> B12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42 мкг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Витамин</w:t>
            </w:r>
            <w:r w:rsidRPr="004C07AB">
              <w:rPr>
                <w:rFonts w:ascii="Times New Roman" w:hAnsi="Times New Roman"/>
                <w:lang w:val="en-US"/>
              </w:rPr>
              <w:t xml:space="preserve"> K</w:t>
            </w:r>
            <w:r w:rsidRPr="004C07AB">
              <w:rPr>
                <w:rFonts w:ascii="Times New Roman" w:hAnsi="Times New Roman"/>
              </w:rPr>
              <w:t>3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5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Фолиевая кислота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4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Никотиновая кислота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63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 xml:space="preserve">Пантотеновая кислота 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37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Холин хлорид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1 050 мг</w:t>
            </w:r>
          </w:p>
        </w:tc>
      </w:tr>
      <w:tr w:rsidR="0060583B" w:rsidRPr="004C07AB" w:rsidTr="000A256F">
        <w:tc>
          <w:tcPr>
            <w:tcW w:w="2891" w:type="dxa"/>
          </w:tcPr>
          <w:p w:rsidR="0060583B" w:rsidRPr="004C07AB" w:rsidRDefault="0060583B" w:rsidP="000A256F">
            <w:pPr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Биотин</w:t>
            </w:r>
          </w:p>
        </w:tc>
        <w:tc>
          <w:tcPr>
            <w:tcW w:w="6628" w:type="dxa"/>
          </w:tcPr>
          <w:p w:rsidR="0060583B" w:rsidRPr="004C07AB" w:rsidRDefault="0060583B" w:rsidP="000A256F">
            <w:pPr>
              <w:jc w:val="center"/>
              <w:rPr>
                <w:rFonts w:ascii="Times New Roman" w:hAnsi="Times New Roman"/>
              </w:rPr>
            </w:pPr>
            <w:r w:rsidRPr="004C07AB">
              <w:rPr>
                <w:rFonts w:ascii="Times New Roman" w:hAnsi="Times New Roman"/>
              </w:rPr>
              <w:t>295 мкг</w:t>
            </w:r>
          </w:p>
        </w:tc>
      </w:tr>
    </w:tbl>
    <w:p w:rsidR="0060583B" w:rsidRPr="004C07AB" w:rsidRDefault="0060583B" w:rsidP="0060583B">
      <w:pPr>
        <w:pStyle w:val="af1"/>
        <w:spacing w:line="276" w:lineRule="auto"/>
        <w:rPr>
          <w:rFonts w:ascii="Times New Roman" w:hAnsi="Times New Roman" w:cs="Times New Roman"/>
          <w:b/>
        </w:rPr>
      </w:pPr>
    </w:p>
    <w:p w:rsidR="0060583B" w:rsidRPr="004C07AB" w:rsidRDefault="0060583B" w:rsidP="0060583B">
      <w:pPr>
        <w:pStyle w:val="af1"/>
        <w:spacing w:line="276" w:lineRule="auto"/>
        <w:rPr>
          <w:rFonts w:ascii="Times New Roman" w:hAnsi="Times New Roman" w:cs="Times New Roman"/>
          <w:b/>
        </w:rPr>
      </w:pPr>
      <w:r w:rsidRPr="004C07AB">
        <w:rPr>
          <w:rFonts w:ascii="Times New Roman" w:hAnsi="Times New Roman" w:cs="Times New Roman"/>
          <w:b/>
        </w:rPr>
        <w:t>Сопроводительная документация:</w:t>
      </w:r>
    </w:p>
    <w:p w:rsidR="0060583B" w:rsidRPr="004C07AB" w:rsidRDefault="0060583B" w:rsidP="0060583B">
      <w:pPr>
        <w:pStyle w:val="af1"/>
        <w:spacing w:line="276" w:lineRule="auto"/>
        <w:jc w:val="both"/>
        <w:rPr>
          <w:rFonts w:ascii="Times New Roman" w:hAnsi="Times New Roman" w:cs="Times New Roman"/>
          <w:bCs/>
        </w:rPr>
      </w:pPr>
      <w:r w:rsidRPr="004C07AB">
        <w:rPr>
          <w:rFonts w:ascii="Times New Roman" w:hAnsi="Times New Roman" w:cs="Times New Roman"/>
          <w:bCs/>
        </w:rPr>
        <w:t xml:space="preserve">До поставки товара Поставщик обязан предоставить: официальный протокол производителя, содержащий результаты анализа пищевой ценности и физико-механических свойств гранул поставляемой партии корма и официальный протокол </w:t>
      </w:r>
      <w:proofErr w:type="gramStart"/>
      <w:r w:rsidRPr="004C07AB">
        <w:rPr>
          <w:rFonts w:ascii="Times New Roman" w:hAnsi="Times New Roman" w:cs="Times New Roman"/>
          <w:bCs/>
        </w:rPr>
        <w:t>производителя</w:t>
      </w:r>
      <w:proofErr w:type="gramEnd"/>
      <w:r w:rsidRPr="004C07AB">
        <w:rPr>
          <w:rFonts w:ascii="Times New Roman" w:hAnsi="Times New Roman" w:cs="Times New Roman"/>
          <w:bCs/>
        </w:rPr>
        <w:t xml:space="preserve"> содержащий отчет по оценке безопасности, токсичности и микробиологическое загрязненности поставляемой партии корма. </w:t>
      </w:r>
    </w:p>
    <w:p w:rsidR="0060583B" w:rsidRDefault="0060583B" w:rsidP="0060583B">
      <w:pPr>
        <w:pStyle w:val="af1"/>
        <w:spacing w:line="276" w:lineRule="auto"/>
        <w:jc w:val="both"/>
        <w:rPr>
          <w:rFonts w:ascii="Times New Roman" w:hAnsi="Times New Roman" w:cs="Times New Roman"/>
          <w:bCs/>
        </w:rPr>
      </w:pPr>
      <w:r w:rsidRPr="004C07AB">
        <w:rPr>
          <w:rFonts w:ascii="Times New Roman" w:hAnsi="Times New Roman" w:cs="Times New Roman"/>
          <w:bCs/>
        </w:rPr>
        <w:t>Сертификацию производства по ИСО 9001/2015</w:t>
      </w:r>
      <w:r>
        <w:rPr>
          <w:rFonts w:ascii="Times New Roman" w:hAnsi="Times New Roman" w:cs="Times New Roman"/>
          <w:bCs/>
        </w:rPr>
        <w:t>.</w:t>
      </w:r>
    </w:p>
    <w:p w:rsidR="00BA65A9" w:rsidRPr="00BA65A9" w:rsidRDefault="00BA65A9" w:rsidP="00BA65A9">
      <w:pPr>
        <w:jc w:val="both"/>
        <w:rPr>
          <w:b/>
          <w:bCs/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ОТ ИМЕНИ ПОСТАВЩИКА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ОТ ИМЕНИ ЗАКАЗЧИКА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>__________________ __________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__________________</w:t>
      </w:r>
      <w:r w:rsidR="00DD39DD" w:rsidRPr="00DD39DD">
        <w:t xml:space="preserve"> </w:t>
      </w:r>
      <w:r w:rsidR="00874379" w:rsidRPr="00874379">
        <w:rPr>
          <w:sz w:val="22"/>
          <w:szCs w:val="22"/>
        </w:rPr>
        <w:t>Д.Ю. Логунов</w:t>
      </w:r>
    </w:p>
    <w:p w:rsidR="00BA65A9" w:rsidRPr="00BA65A9" w:rsidRDefault="00BA65A9" w:rsidP="00BA65A9">
      <w:pPr>
        <w:jc w:val="both"/>
        <w:rPr>
          <w:sz w:val="22"/>
          <w:szCs w:val="22"/>
        </w:rPr>
      </w:pP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  <w:t>МП</w:t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r w:rsidRPr="00BA65A9">
        <w:rPr>
          <w:sz w:val="22"/>
          <w:szCs w:val="22"/>
        </w:rPr>
        <w:tab/>
      </w:r>
      <w:proofErr w:type="spellStart"/>
      <w:r w:rsidRPr="00BA65A9">
        <w:rPr>
          <w:sz w:val="22"/>
          <w:szCs w:val="22"/>
        </w:rPr>
        <w:t>МП</w:t>
      </w:r>
      <w:proofErr w:type="spellEnd"/>
    </w:p>
    <w:p w:rsidR="00BA65A9" w:rsidRPr="00BA65A9" w:rsidRDefault="00BA65A9" w:rsidP="00BA65A9">
      <w:pPr>
        <w:rPr>
          <w:sz w:val="22"/>
          <w:szCs w:val="22"/>
        </w:rPr>
      </w:pPr>
    </w:p>
    <w:p w:rsidR="00B92E6B" w:rsidRPr="009D0203" w:rsidRDefault="00B92E6B" w:rsidP="00B92E6B">
      <w:pPr>
        <w:pStyle w:val="a5"/>
      </w:pPr>
    </w:p>
    <w:p w:rsidR="00204C75" w:rsidRPr="009D0203" w:rsidRDefault="00204C75">
      <w:pPr>
        <w:rPr>
          <w:sz w:val="22"/>
          <w:szCs w:val="22"/>
        </w:rPr>
      </w:pPr>
    </w:p>
    <w:sectPr w:rsidR="00204C75" w:rsidRPr="009D0203" w:rsidSect="009D0203">
      <w:footerReference w:type="default" r:id="rId10"/>
      <w:pgSz w:w="11906" w:h="16838"/>
      <w:pgMar w:top="851" w:right="850" w:bottom="360" w:left="1418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16" w:rsidRDefault="00BC4816" w:rsidP="00E20271">
      <w:r>
        <w:separator/>
      </w:r>
    </w:p>
  </w:endnote>
  <w:endnote w:type="continuationSeparator" w:id="0">
    <w:p w:rsidR="00BC4816" w:rsidRDefault="00BC4816" w:rsidP="00E2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1" w:rsidRDefault="00E2027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6468B">
      <w:rPr>
        <w:noProof/>
      </w:rPr>
      <w:t>5</w:t>
    </w:r>
    <w:r>
      <w:fldChar w:fldCharType="end"/>
    </w:r>
  </w:p>
  <w:p w:rsidR="00E20271" w:rsidRDefault="00E202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16" w:rsidRDefault="00BC4816" w:rsidP="00E20271">
      <w:r>
        <w:separator/>
      </w:r>
    </w:p>
  </w:footnote>
  <w:footnote w:type="continuationSeparator" w:id="0">
    <w:p w:rsidR="00BC4816" w:rsidRDefault="00BC4816" w:rsidP="00E2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5D1"/>
    <w:multiLevelType w:val="hybridMultilevel"/>
    <w:tmpl w:val="A0CADB42"/>
    <w:lvl w:ilvl="0" w:tplc="C50A8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D1275"/>
    <w:multiLevelType w:val="hybridMultilevel"/>
    <w:tmpl w:val="717072CE"/>
    <w:lvl w:ilvl="0" w:tplc="BDE237C2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6B"/>
    <w:rsid w:val="00000400"/>
    <w:rsid w:val="00000720"/>
    <w:rsid w:val="00012138"/>
    <w:rsid w:val="00020FBC"/>
    <w:rsid w:val="00022C89"/>
    <w:rsid w:val="00022D45"/>
    <w:rsid w:val="00027AD0"/>
    <w:rsid w:val="000353F9"/>
    <w:rsid w:val="000520B4"/>
    <w:rsid w:val="0007022C"/>
    <w:rsid w:val="000807AF"/>
    <w:rsid w:val="0008352C"/>
    <w:rsid w:val="0009315A"/>
    <w:rsid w:val="000B0F23"/>
    <w:rsid w:val="000B5515"/>
    <w:rsid w:val="000B5CA0"/>
    <w:rsid w:val="000C7B3E"/>
    <w:rsid w:val="000F7231"/>
    <w:rsid w:val="00102047"/>
    <w:rsid w:val="00105933"/>
    <w:rsid w:val="00106639"/>
    <w:rsid w:val="00120D2B"/>
    <w:rsid w:val="00130ABD"/>
    <w:rsid w:val="00144645"/>
    <w:rsid w:val="00146F5F"/>
    <w:rsid w:val="00156F3A"/>
    <w:rsid w:val="00162218"/>
    <w:rsid w:val="00173437"/>
    <w:rsid w:val="00177EE4"/>
    <w:rsid w:val="001A3B32"/>
    <w:rsid w:val="001A3DBF"/>
    <w:rsid w:val="001B386B"/>
    <w:rsid w:val="001D5D6C"/>
    <w:rsid w:val="001E14A5"/>
    <w:rsid w:val="00201752"/>
    <w:rsid w:val="00204C75"/>
    <w:rsid w:val="002438AC"/>
    <w:rsid w:val="002444D8"/>
    <w:rsid w:val="0027234D"/>
    <w:rsid w:val="00291EF4"/>
    <w:rsid w:val="002D01F0"/>
    <w:rsid w:val="002D0A4E"/>
    <w:rsid w:val="002F02D9"/>
    <w:rsid w:val="00325E40"/>
    <w:rsid w:val="0033030C"/>
    <w:rsid w:val="003350FA"/>
    <w:rsid w:val="00346702"/>
    <w:rsid w:val="00350260"/>
    <w:rsid w:val="00392A17"/>
    <w:rsid w:val="00395152"/>
    <w:rsid w:val="003A25E0"/>
    <w:rsid w:val="003A4715"/>
    <w:rsid w:val="003B055D"/>
    <w:rsid w:val="003B3D7B"/>
    <w:rsid w:val="003C4BAD"/>
    <w:rsid w:val="003E164D"/>
    <w:rsid w:val="004425EE"/>
    <w:rsid w:val="00456A9A"/>
    <w:rsid w:val="0048066E"/>
    <w:rsid w:val="00482547"/>
    <w:rsid w:val="0048324E"/>
    <w:rsid w:val="00483A35"/>
    <w:rsid w:val="00491169"/>
    <w:rsid w:val="004B20BF"/>
    <w:rsid w:val="004C2BDB"/>
    <w:rsid w:val="004D4852"/>
    <w:rsid w:val="004D5ED1"/>
    <w:rsid w:val="004F57CB"/>
    <w:rsid w:val="00515CDE"/>
    <w:rsid w:val="00525D85"/>
    <w:rsid w:val="005376C9"/>
    <w:rsid w:val="005440BF"/>
    <w:rsid w:val="00574278"/>
    <w:rsid w:val="005773B6"/>
    <w:rsid w:val="0058322F"/>
    <w:rsid w:val="00586C97"/>
    <w:rsid w:val="00590332"/>
    <w:rsid w:val="005A221A"/>
    <w:rsid w:val="005A6FC6"/>
    <w:rsid w:val="005B7E76"/>
    <w:rsid w:val="005C1E1E"/>
    <w:rsid w:val="005C5569"/>
    <w:rsid w:val="005D1E7C"/>
    <w:rsid w:val="005D3C88"/>
    <w:rsid w:val="005D693A"/>
    <w:rsid w:val="005E363B"/>
    <w:rsid w:val="005F1BFA"/>
    <w:rsid w:val="005F2ABC"/>
    <w:rsid w:val="005F2E3C"/>
    <w:rsid w:val="005F52D0"/>
    <w:rsid w:val="0060583B"/>
    <w:rsid w:val="00611DF2"/>
    <w:rsid w:val="00625043"/>
    <w:rsid w:val="00643BAC"/>
    <w:rsid w:val="00661898"/>
    <w:rsid w:val="006624DA"/>
    <w:rsid w:val="0067023E"/>
    <w:rsid w:val="0067768F"/>
    <w:rsid w:val="0068042D"/>
    <w:rsid w:val="00696D3E"/>
    <w:rsid w:val="006A080B"/>
    <w:rsid w:val="006E34E8"/>
    <w:rsid w:val="00705624"/>
    <w:rsid w:val="00730DFA"/>
    <w:rsid w:val="00740F01"/>
    <w:rsid w:val="00753BBE"/>
    <w:rsid w:val="007679EF"/>
    <w:rsid w:val="00776813"/>
    <w:rsid w:val="007853D8"/>
    <w:rsid w:val="007B7EAF"/>
    <w:rsid w:val="007C33F6"/>
    <w:rsid w:val="007D1BA8"/>
    <w:rsid w:val="007F6063"/>
    <w:rsid w:val="00805646"/>
    <w:rsid w:val="00874379"/>
    <w:rsid w:val="00880543"/>
    <w:rsid w:val="00884CA9"/>
    <w:rsid w:val="008A086A"/>
    <w:rsid w:val="008B16D9"/>
    <w:rsid w:val="008C26C2"/>
    <w:rsid w:val="008C725E"/>
    <w:rsid w:val="008C7ABA"/>
    <w:rsid w:val="008D3697"/>
    <w:rsid w:val="008E2593"/>
    <w:rsid w:val="009056F8"/>
    <w:rsid w:val="00922133"/>
    <w:rsid w:val="0092222F"/>
    <w:rsid w:val="00925FA5"/>
    <w:rsid w:val="009318C6"/>
    <w:rsid w:val="00942B10"/>
    <w:rsid w:val="00942D5C"/>
    <w:rsid w:val="009531DB"/>
    <w:rsid w:val="00961970"/>
    <w:rsid w:val="00965392"/>
    <w:rsid w:val="00995D83"/>
    <w:rsid w:val="009C1595"/>
    <w:rsid w:val="009C7035"/>
    <w:rsid w:val="009D0203"/>
    <w:rsid w:val="00A13C34"/>
    <w:rsid w:val="00A23B55"/>
    <w:rsid w:val="00A40929"/>
    <w:rsid w:val="00A92C4A"/>
    <w:rsid w:val="00A97225"/>
    <w:rsid w:val="00AD1C11"/>
    <w:rsid w:val="00AD6FA2"/>
    <w:rsid w:val="00AE7168"/>
    <w:rsid w:val="00AF19D3"/>
    <w:rsid w:val="00B20524"/>
    <w:rsid w:val="00B512B2"/>
    <w:rsid w:val="00B53F20"/>
    <w:rsid w:val="00B6177C"/>
    <w:rsid w:val="00B647F2"/>
    <w:rsid w:val="00B6631E"/>
    <w:rsid w:val="00B90650"/>
    <w:rsid w:val="00B92E6B"/>
    <w:rsid w:val="00B96C32"/>
    <w:rsid w:val="00BA65A9"/>
    <w:rsid w:val="00BB176A"/>
    <w:rsid w:val="00BC4816"/>
    <w:rsid w:val="00BF7091"/>
    <w:rsid w:val="00C06A3E"/>
    <w:rsid w:val="00C1706B"/>
    <w:rsid w:val="00C6468B"/>
    <w:rsid w:val="00C9333A"/>
    <w:rsid w:val="00CA4AFD"/>
    <w:rsid w:val="00CC6C7B"/>
    <w:rsid w:val="00CD60E3"/>
    <w:rsid w:val="00CF141B"/>
    <w:rsid w:val="00CF4FE4"/>
    <w:rsid w:val="00D1316B"/>
    <w:rsid w:val="00D15695"/>
    <w:rsid w:val="00D16C7B"/>
    <w:rsid w:val="00D33A85"/>
    <w:rsid w:val="00D36A4F"/>
    <w:rsid w:val="00D45592"/>
    <w:rsid w:val="00D5659B"/>
    <w:rsid w:val="00D629F9"/>
    <w:rsid w:val="00D74434"/>
    <w:rsid w:val="00D75D86"/>
    <w:rsid w:val="00D93206"/>
    <w:rsid w:val="00DA1864"/>
    <w:rsid w:val="00DA7001"/>
    <w:rsid w:val="00DD04DA"/>
    <w:rsid w:val="00DD259E"/>
    <w:rsid w:val="00DD39DD"/>
    <w:rsid w:val="00DD760A"/>
    <w:rsid w:val="00DE79DB"/>
    <w:rsid w:val="00DF0985"/>
    <w:rsid w:val="00DF2A03"/>
    <w:rsid w:val="00DF3CF4"/>
    <w:rsid w:val="00E00325"/>
    <w:rsid w:val="00E03C94"/>
    <w:rsid w:val="00E10882"/>
    <w:rsid w:val="00E1495F"/>
    <w:rsid w:val="00E20271"/>
    <w:rsid w:val="00E500F4"/>
    <w:rsid w:val="00E6752A"/>
    <w:rsid w:val="00E70287"/>
    <w:rsid w:val="00E81781"/>
    <w:rsid w:val="00EA3058"/>
    <w:rsid w:val="00EA78F9"/>
    <w:rsid w:val="00EB07FE"/>
    <w:rsid w:val="00EC130F"/>
    <w:rsid w:val="00ED553C"/>
    <w:rsid w:val="00EE5059"/>
    <w:rsid w:val="00EF1361"/>
    <w:rsid w:val="00F05724"/>
    <w:rsid w:val="00F0598F"/>
    <w:rsid w:val="00F121CE"/>
    <w:rsid w:val="00F13436"/>
    <w:rsid w:val="00F47D0F"/>
    <w:rsid w:val="00F64BB3"/>
    <w:rsid w:val="00F77FD7"/>
    <w:rsid w:val="00FA1AC1"/>
    <w:rsid w:val="00FB1CBC"/>
    <w:rsid w:val="00FD1A9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565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f1">
    <w:name w:val="No Spacing"/>
    <w:uiPriority w:val="99"/>
    <w:qFormat/>
    <w:rsid w:val="0060583B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2E6B"/>
    <w:pPr>
      <w:widowControl w:val="0"/>
      <w:snapToGrid w:val="0"/>
      <w:spacing w:line="320" w:lineRule="exact"/>
      <w:ind w:right="-46"/>
      <w:jc w:val="center"/>
    </w:pPr>
    <w:rPr>
      <w:b/>
      <w:bCs/>
      <w:noProof/>
      <w:sz w:val="24"/>
      <w:szCs w:val="24"/>
    </w:rPr>
  </w:style>
  <w:style w:type="character" w:customStyle="1" w:styleId="a4">
    <w:name w:val="Название Знак"/>
    <w:link w:val="a3"/>
    <w:locked/>
    <w:rsid w:val="00B92E6B"/>
    <w:rPr>
      <w:b/>
      <w:bCs/>
      <w:noProof/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B92E6B"/>
    <w:pPr>
      <w:jc w:val="both"/>
    </w:pPr>
    <w:rPr>
      <w:sz w:val="22"/>
      <w:szCs w:val="22"/>
    </w:rPr>
  </w:style>
  <w:style w:type="character" w:customStyle="1" w:styleId="a6">
    <w:name w:val="Основной текст Знак"/>
    <w:link w:val="a5"/>
    <w:locked/>
    <w:rsid w:val="00B92E6B"/>
    <w:rPr>
      <w:sz w:val="22"/>
      <w:szCs w:val="22"/>
      <w:lang w:val="ru-RU" w:eastAsia="ru-RU" w:bidi="ar-SA"/>
    </w:rPr>
  </w:style>
  <w:style w:type="character" w:customStyle="1" w:styleId="FontStyle14">
    <w:name w:val="Font Style14"/>
    <w:rsid w:val="00B92E6B"/>
    <w:rPr>
      <w:rFonts w:ascii="Cambria" w:hAnsi="Cambria" w:cs="Cambria"/>
      <w:sz w:val="20"/>
      <w:szCs w:val="20"/>
    </w:rPr>
  </w:style>
  <w:style w:type="paragraph" w:customStyle="1" w:styleId="Style5">
    <w:name w:val="Style5"/>
    <w:basedOn w:val="a"/>
    <w:rsid w:val="00B92E6B"/>
    <w:pPr>
      <w:widowControl w:val="0"/>
      <w:autoSpaceDE w:val="0"/>
      <w:autoSpaceDN w:val="0"/>
      <w:adjustRightInd w:val="0"/>
      <w:spacing w:line="254" w:lineRule="exact"/>
    </w:pPr>
    <w:rPr>
      <w:rFonts w:ascii="Cambria" w:hAnsi="Cambria" w:cs="Cambria"/>
      <w:sz w:val="24"/>
      <w:szCs w:val="24"/>
    </w:rPr>
  </w:style>
  <w:style w:type="character" w:customStyle="1" w:styleId="FontStyle12">
    <w:name w:val="Font Style12"/>
    <w:rsid w:val="00B92E6B"/>
    <w:rPr>
      <w:rFonts w:ascii="Cambria" w:hAnsi="Cambria" w:cs="Cambria"/>
      <w:b/>
      <w:bCs/>
      <w:sz w:val="20"/>
      <w:szCs w:val="20"/>
    </w:rPr>
  </w:style>
  <w:style w:type="character" w:customStyle="1" w:styleId="FontStyle13">
    <w:name w:val="Font Style13"/>
    <w:rsid w:val="00B92E6B"/>
    <w:rPr>
      <w:rFonts w:ascii="Cambria" w:hAnsi="Cambria" w:cs="Cambria"/>
      <w:spacing w:val="-20"/>
      <w:sz w:val="22"/>
      <w:szCs w:val="22"/>
    </w:rPr>
  </w:style>
  <w:style w:type="paragraph" w:styleId="a7">
    <w:name w:val="Body Text Indent"/>
    <w:basedOn w:val="a"/>
    <w:link w:val="a8"/>
    <w:rsid w:val="00B92E6B"/>
    <w:pPr>
      <w:spacing w:after="120"/>
      <w:ind w:left="283"/>
    </w:pPr>
  </w:style>
  <w:style w:type="character" w:customStyle="1" w:styleId="a8">
    <w:name w:val="Основной текст с отступом Знак"/>
    <w:link w:val="a7"/>
    <w:locked/>
    <w:rsid w:val="00B92E6B"/>
    <w:rPr>
      <w:lang w:val="ru-RU" w:eastAsia="ru-RU" w:bidi="ar-SA"/>
    </w:rPr>
  </w:style>
  <w:style w:type="paragraph" w:styleId="HTML">
    <w:name w:val="HTML Preformatted"/>
    <w:basedOn w:val="a"/>
    <w:link w:val="HTML0"/>
    <w:rsid w:val="00B92E6B"/>
    <w:pPr>
      <w:suppressAutoHyphens/>
      <w:spacing w:after="60"/>
      <w:jc w:val="both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link w:val="HTML"/>
    <w:locked/>
    <w:rsid w:val="00B92E6B"/>
    <w:rPr>
      <w:rFonts w:ascii="Courier New" w:hAnsi="Courier New" w:cs="Courier New"/>
      <w:lang w:val="ru-RU" w:eastAsia="ar-SA" w:bidi="ar-SA"/>
    </w:rPr>
  </w:style>
  <w:style w:type="paragraph" w:styleId="a9">
    <w:name w:val="Balloon Text"/>
    <w:basedOn w:val="a"/>
    <w:semiHidden/>
    <w:rsid w:val="003A25E0"/>
    <w:rPr>
      <w:rFonts w:ascii="Tahoma" w:hAnsi="Tahoma" w:cs="Tahoma"/>
      <w:sz w:val="16"/>
      <w:szCs w:val="16"/>
    </w:rPr>
  </w:style>
  <w:style w:type="character" w:styleId="aa">
    <w:name w:val="Hyperlink"/>
    <w:semiHidden/>
    <w:rsid w:val="00105933"/>
    <w:rPr>
      <w:rFonts w:ascii="Times New Roman" w:hAnsi="Times New Roman" w:cs="Times New Roman" w:hint="default"/>
      <w:color w:val="0000FF"/>
      <w:u w:val="single"/>
    </w:rPr>
  </w:style>
  <w:style w:type="character" w:customStyle="1" w:styleId="3">
    <w:name w:val="Знак Знак3"/>
    <w:locked/>
    <w:rsid w:val="00105933"/>
    <w:rPr>
      <w:b/>
      <w:bCs/>
      <w:noProof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AE7168"/>
  </w:style>
  <w:style w:type="paragraph" w:styleId="2">
    <w:name w:val="List 2"/>
    <w:basedOn w:val="a"/>
    <w:rsid w:val="00DE79DB"/>
    <w:pPr>
      <w:ind w:left="566" w:hanging="283"/>
    </w:pPr>
    <w:rPr>
      <w:sz w:val="24"/>
      <w:szCs w:val="24"/>
    </w:rPr>
  </w:style>
  <w:style w:type="paragraph" w:styleId="ab">
    <w:name w:val="header"/>
    <w:basedOn w:val="a"/>
    <w:link w:val="ac"/>
    <w:rsid w:val="00E202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20271"/>
  </w:style>
  <w:style w:type="paragraph" w:styleId="ad">
    <w:name w:val="footer"/>
    <w:basedOn w:val="a"/>
    <w:link w:val="ae"/>
    <w:uiPriority w:val="99"/>
    <w:rsid w:val="00E202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0271"/>
  </w:style>
  <w:style w:type="table" w:styleId="af">
    <w:name w:val="Table Grid"/>
    <w:basedOn w:val="a1"/>
    <w:uiPriority w:val="39"/>
    <w:rsid w:val="00D1316B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565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f1">
    <w:name w:val="No Spacing"/>
    <w:uiPriority w:val="99"/>
    <w:qFormat/>
    <w:rsid w:val="0060583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onogova@medgam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male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13-252</vt:lpstr>
    </vt:vector>
  </TitlesOfParts>
  <Company>MoBIL GROUP</Company>
  <LinksUpToDate>false</LinksUpToDate>
  <CharactersWithSpaces>16193</CharactersWithSpaces>
  <SharedDoc>false</SharedDoc>
  <HLinks>
    <vt:vector size="12" baseType="variant"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http://www.gamaleya.org/</vt:lpwstr>
      </vt:variant>
      <vt:variant>
        <vt:lpwstr/>
      </vt:variant>
      <vt:variant>
        <vt:i4>3407884</vt:i4>
      </vt:variant>
      <vt:variant>
        <vt:i4>0</vt:i4>
      </vt:variant>
      <vt:variant>
        <vt:i4>0</vt:i4>
      </vt:variant>
      <vt:variant>
        <vt:i4>5</vt:i4>
      </vt:variant>
      <vt:variant>
        <vt:lpwstr>mailto:kosonogova@medgamal.ru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13-252</dc:title>
  <dc:creator>Admin</dc:creator>
  <cp:lastModifiedBy>user</cp:lastModifiedBy>
  <cp:revision>18</cp:revision>
  <cp:lastPrinted>2014-01-10T08:33:00Z</cp:lastPrinted>
  <dcterms:created xsi:type="dcterms:W3CDTF">2026-04-08T07:37:00Z</dcterms:created>
  <dcterms:modified xsi:type="dcterms:W3CDTF">2026-06-03T11:31:00Z</dcterms:modified>
</cp:coreProperties>
</file>