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0" w:after="0"/>
        <w:ind w:hanging="0" w:left="0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ДОГОВОР ПОСТАВКИ </w:t>
      </w:r>
      <w:r>
        <w:rPr>
          <w:rFonts w:cs="Times New Roman" w:ascii="Times New Roman" w:hAnsi="Times New Roman"/>
          <w:sz w:val="22"/>
          <w:szCs w:val="22"/>
          <w:shd w:fill="auto" w:val="clear"/>
        </w:rPr>
        <w:t>№</w:t>
      </w:r>
      <w:r>
        <w:rPr>
          <w:rFonts w:cs="Times New Roman" w:ascii="Times New Roman" w:hAnsi="Times New Roman"/>
          <w:sz w:val="22"/>
          <w:szCs w:val="22"/>
          <w:shd w:fill="auto" w:val="clear"/>
          <w:lang w:val="ru-RU"/>
        </w:rPr>
        <w:t xml:space="preserve"> 418-26</w:t>
      </w:r>
      <w:r>
        <w:rPr>
          <w:rFonts w:cs="Times New Roman" w:ascii="Times New Roman" w:hAnsi="Times New Roman"/>
          <w:strike/>
          <w:sz w:val="22"/>
          <w:szCs w:val="22"/>
          <w:shd w:fill="auto" w:val="clear"/>
          <w:lang w:val="ru-RU"/>
        </w:rPr>
        <w:t>-</w:t>
      </w:r>
      <w:r>
        <w:rPr>
          <w:rFonts w:cs="Times New Roman" w:ascii="Times New Roman" w:hAnsi="Times New Roman"/>
          <w:strike w:val="false"/>
          <w:dstrike w:val="false"/>
          <w:sz w:val="22"/>
          <w:szCs w:val="22"/>
          <w:shd w:fill="auto" w:val="clear"/>
          <w:lang w:val="ru-RU"/>
        </w:rPr>
        <w:t>МЗ</w:t>
      </w:r>
    </w:p>
    <w:p>
      <w:pPr>
        <w:pStyle w:val="Title"/>
        <w:spacing w:before="0" w:after="0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itle"/>
        <w:ind w:hanging="0" w:left="0"/>
        <w:jc w:val="righ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sz w:val="22"/>
          <w:szCs w:val="22"/>
          <w:lang w:val="ru-RU"/>
        </w:rPr>
        <w:t>г. Обнинск</w:t>
      </w:r>
      <w:r>
        <w:rPr>
          <w:rFonts w:eastAsia="Times New Roman" w:cs="Times New Roman" w:ascii="Times New Roman" w:hAnsi="Times New Roman"/>
          <w:b w:val="false"/>
          <w:sz w:val="22"/>
          <w:szCs w:val="22"/>
        </w:rPr>
        <w:t xml:space="preserve">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 w:val="false"/>
          <w:sz w:val="22"/>
          <w:szCs w:val="22"/>
        </w:rPr>
        <w:t>«</w:t>
      </w: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>___</w:t>
      </w:r>
      <w:r>
        <w:rPr>
          <w:rFonts w:cs="Times New Roman" w:ascii="Times New Roman" w:hAnsi="Times New Roman"/>
          <w:b w:val="false"/>
          <w:sz w:val="22"/>
          <w:szCs w:val="22"/>
        </w:rPr>
        <w:t xml:space="preserve">» </w:t>
      </w:r>
      <w:r>
        <w:rPr>
          <w:rFonts w:eastAsia="Andale Sans UI;Arial Unicode MS" w:cs="Times New Roman" w:ascii="Times New Roman" w:hAnsi="Times New Roman"/>
          <w:b w:val="false"/>
          <w:color w:val="00000A"/>
          <w:kern w:val="2"/>
          <w:sz w:val="22"/>
          <w:szCs w:val="22"/>
          <w:lang w:val="ru-RU" w:eastAsia="zh-CN" w:bidi="ar-SA"/>
        </w:rPr>
        <w:t>______</w:t>
      </w: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b w:val="false"/>
          <w:sz w:val="22"/>
          <w:szCs w:val="22"/>
        </w:rPr>
        <w:t>2026 г.</w:t>
      </w:r>
    </w:p>
    <w:p>
      <w:pPr>
        <w:pStyle w:val="Normal"/>
        <w:ind w:firstLine="708" w:left="0" w:right="0"/>
        <w:jc w:val="both"/>
        <w:rPr/>
      </w:pPr>
      <w:r>
        <w:rPr>
          <w:rFonts w:cs="Times New Roman"/>
          <w:b w:val="false"/>
          <w:bCs w:val="false"/>
          <w:color w:val="000000"/>
          <w:sz w:val="22"/>
          <w:szCs w:val="22"/>
        </w:rPr>
        <w:t>_____________________, именуемое в дальнейшем «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>Поставщик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 xml:space="preserve">», в лице </w:t>
      </w:r>
      <w:r>
        <w:rPr>
          <w:rFonts w:cs="Times New Roman"/>
          <w:b w:val="false"/>
          <w:bCs/>
          <w:color w:val="000000"/>
          <w:sz w:val="22"/>
          <w:szCs w:val="22"/>
        </w:rPr>
        <w:t>___________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>, действующего на основании ______</w:t>
      </w:r>
      <w:r>
        <w:rPr>
          <w:rFonts w:cs="Times New Roman"/>
          <w:b w:val="false"/>
          <w:bCs w:val="false"/>
          <w:sz w:val="22"/>
          <w:szCs w:val="22"/>
        </w:rPr>
        <w:t>, с одной стороны, и Федеральное государственное бюджетное учреждение здравоохранения «Клиническая больница № 8 Федерального медико-биологического агентства» (ФГБУЗ КБ № 8 ФМБА России), именуемое в дальнейшем «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b w:val="false"/>
          <w:bCs w:val="false"/>
          <w:sz w:val="22"/>
          <w:szCs w:val="22"/>
        </w:rPr>
        <w:t>», в лице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 xml:space="preserve"> 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 w:eastAsia="ru-RU"/>
        </w:rPr>
        <w:t>главного врача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 xml:space="preserve"> 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>Курдяева Сергея Михайловича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>, действующего на основании Устава и Приказа № 304Л от «</w:t>
      </w:r>
      <w:r>
        <w:rPr>
          <w:rFonts w:cs="Times New Roman"/>
          <w:b w:val="false"/>
          <w:bCs w:val="false"/>
          <w:color w:val="000000"/>
          <w:sz w:val="22"/>
          <w:szCs w:val="22"/>
          <w:u w:val="single"/>
          <w:lang w:val="ru-RU"/>
        </w:rPr>
        <w:t>27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>» мая 2025 года</w:t>
      </w:r>
      <w:r>
        <w:rPr>
          <w:rFonts w:cs="Times New Roman"/>
          <w:b w:val="false"/>
          <w:bCs w:val="false"/>
          <w:sz w:val="22"/>
          <w:szCs w:val="22"/>
        </w:rPr>
        <w:t xml:space="preserve">, с другой стороны, вместе именуемые Стороны, на основании 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 xml:space="preserve"> п. 4 части 1 ст. 93</w:t>
      </w:r>
      <w:r>
        <w:rPr>
          <w:rFonts w:cs="Times New Roman"/>
          <w:b w:val="false"/>
          <w:bCs w:val="false"/>
          <w:sz w:val="22"/>
          <w:szCs w:val="22"/>
        </w:rPr>
        <w:t xml:space="preserve"> Федерального </w:t>
      </w:r>
      <w:hyperlink r:id="rId2">
        <w:r>
          <w:rPr>
            <w:rStyle w:val="Hyperlink"/>
            <w:rFonts w:cs="Times New Roman"/>
            <w:b w:val="false"/>
            <w:bCs w:val="false"/>
            <w:color w:val="111111"/>
            <w:sz w:val="22"/>
            <w:szCs w:val="22"/>
            <w:u w:val="single"/>
          </w:rPr>
          <w:t>закона</w:t>
        </w:r>
      </w:hyperlink>
      <w:r>
        <w:rPr>
          <w:rFonts w:cs="Times New Roman"/>
          <w:b w:val="false"/>
          <w:bCs w:val="false"/>
          <w:sz w:val="22"/>
          <w:szCs w:val="22"/>
        </w:rPr>
        <w:t xml:space="preserve"> от 5 апреля 2013 г. № 44-ФЗ "О Контрактной системе в сфере закупок товаров, работ, услуг для обеспечения государственных и муниципальных нужд", заключили настоящий Договор поставки (далее Договор) о нижеследующем:</w:t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1. Предмет договора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1.1. В соответствии с настоящим Договором Поставщик обязуется поставить Покупателю </w:t>
      </w:r>
      <w:r>
        <w:rPr>
          <w:rFonts w:cs="Times New Roman"/>
          <w:sz w:val="22"/>
          <w:szCs w:val="22"/>
          <w:lang w:val="ru-RU"/>
        </w:rPr>
        <w:t xml:space="preserve">товар, </w:t>
      </w:r>
      <w:r>
        <w:rPr>
          <w:rFonts w:cs="Times New Roman"/>
          <w:sz w:val="22"/>
          <w:szCs w:val="22"/>
        </w:rPr>
        <w:t>а Покупатель принять и оплатить его в сроки, установленные настоящим Договором.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1.2. Наименование, ассортимент, количество, цена товара согласованы Сторонами и определены в Спецификации (Приложении № 1), которые являются неотъемлемой частью Договора.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2. Срок действия договора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2.1. Настоящий Договор считается заключенным с момента его подписания Сторонами и действует до 3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1</w:t>
      </w:r>
      <w:r>
        <w:rPr>
          <w:rFonts w:cs="Times New Roman"/>
          <w:sz w:val="22"/>
          <w:szCs w:val="22"/>
          <w:lang w:val="ru-RU"/>
        </w:rPr>
        <w:t>.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12</w:t>
      </w:r>
      <w:r>
        <w:rPr>
          <w:rFonts w:cs="Times New Roman"/>
          <w:sz w:val="22"/>
          <w:szCs w:val="22"/>
          <w:lang w:val="ru-RU"/>
        </w:rPr>
        <w:t>.2026г</w:t>
      </w:r>
      <w:r>
        <w:rPr>
          <w:rFonts w:cs="Times New Roman"/>
          <w:sz w:val="22"/>
          <w:szCs w:val="22"/>
        </w:rPr>
        <w:t>. В части финансовых взаиморасчетов – до полного выполнения Сторонами своих обязательств по данному Договору.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3. Цена и оплата товара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3.1. Стоимость Товара составляет 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_____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 xml:space="preserve"> (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_______</w:t>
      </w:r>
      <w:r>
        <w:rPr>
          <w:rFonts w:cs="Times New Roman"/>
          <w:b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>)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, НДС/без НДС.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3.2. 100 % стоимости Товара оплачивается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b/>
          <w:bCs/>
          <w:sz w:val="22"/>
          <w:szCs w:val="22"/>
        </w:rPr>
        <w:t xml:space="preserve">в течение </w:t>
      </w:r>
      <w:r>
        <w:rPr>
          <w:rFonts w:eastAsia="Andale Sans UI;Arial Unicode MS" w:cs="Times New Roman"/>
          <w:b/>
          <w:bCs/>
          <w:color w:val="00000A"/>
          <w:kern w:val="2"/>
          <w:sz w:val="22"/>
          <w:szCs w:val="22"/>
          <w:lang w:val="ru-RU" w:eastAsia="zh-CN" w:bidi="ar-SA"/>
        </w:rPr>
        <w:t>10 рабочих</w:t>
      </w:r>
      <w:r>
        <w:rPr>
          <w:rFonts w:cs="Times New Roman"/>
          <w:b/>
          <w:bCs/>
          <w:sz w:val="22"/>
          <w:szCs w:val="22"/>
          <w:lang w:val="ru-RU"/>
        </w:rPr>
        <w:t xml:space="preserve"> </w:t>
      </w:r>
      <w:r>
        <w:rPr>
          <w:rFonts w:cs="Times New Roman"/>
          <w:b/>
          <w:bCs/>
          <w:sz w:val="22"/>
          <w:szCs w:val="22"/>
        </w:rPr>
        <w:t>дней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color w:val="000000"/>
          <w:sz w:val="22"/>
          <w:szCs w:val="22"/>
        </w:rPr>
        <w:t>с момента</w:t>
      </w:r>
      <w:r>
        <w:rPr>
          <w:rFonts w:cs="Times New Roman"/>
          <w:color w:val="000000"/>
          <w:sz w:val="22"/>
          <w:szCs w:val="22"/>
          <w:lang w:val="ru-RU"/>
        </w:rPr>
        <w:t xml:space="preserve"> подписания </w:t>
      </w:r>
      <w:r>
        <w:rPr>
          <w:rFonts w:cs="Times New Roman"/>
          <w:color w:val="000000"/>
          <w:sz w:val="22"/>
          <w:szCs w:val="22"/>
        </w:rPr>
        <w:t xml:space="preserve">товарной накладной </w:t>
      </w:r>
      <w:r>
        <w:rPr>
          <w:rFonts w:cs="Times New Roman"/>
          <w:color w:val="000000"/>
          <w:sz w:val="22"/>
          <w:szCs w:val="22"/>
          <w:lang w:val="ru-RU"/>
        </w:rPr>
        <w:t>ТОРГ 12/УПД и Акта приемки (ф. 0510452).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sz w:val="22"/>
          <w:szCs w:val="22"/>
        </w:rPr>
        <w:t xml:space="preserve">Оплата товара производится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в рублях платежным поручением на расчетный счет Поставщика, указанный в настоящем Договоре.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считается исполнившим обязанность по переводу денежных средств в момент их поступления на расчетный счет Поставщика.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3.3. В стоимость товара входит стоимость доставки товара до склада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  <w:lang w:val="ru-RU"/>
        </w:rPr>
        <w:t>и разгрузка товара с занесением товара на место хранения, уплата налогов, сборов, таможенных пошлин, стоимость упаковки.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</w:r>
    </w:p>
    <w:p>
      <w:pPr>
        <w:pStyle w:val="Normal"/>
        <w:ind w:hanging="0" w:lef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4. Сроки и условия поставки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4.1. Датой поставки считается дата подписания </w:t>
      </w:r>
      <w:r>
        <w:rPr>
          <w:rFonts w:cs="Times New Roman"/>
          <w:sz w:val="22"/>
          <w:szCs w:val="22"/>
          <w:lang w:val="ru-RU"/>
        </w:rPr>
        <w:t>документа о приемке</w:t>
      </w:r>
      <w:r>
        <w:rPr>
          <w:rFonts w:cs="Times New Roman"/>
          <w:sz w:val="22"/>
          <w:szCs w:val="22"/>
        </w:rPr>
        <w:t xml:space="preserve">. Право собственности на Товар переходит к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с момента получения товара и </w:t>
      </w:r>
      <w:r>
        <w:rPr>
          <w:rFonts w:cs="Times New Roman"/>
          <w:sz w:val="22"/>
          <w:szCs w:val="22"/>
          <w:lang w:val="ru-RU"/>
        </w:rPr>
        <w:t xml:space="preserve">на основании </w:t>
      </w:r>
      <w:r>
        <w:rPr>
          <w:rFonts w:cs="Times New Roman"/>
          <w:sz w:val="22"/>
          <w:szCs w:val="22"/>
        </w:rPr>
        <w:t xml:space="preserve">товарной </w:t>
      </w:r>
      <w:r>
        <w:rPr>
          <w:rFonts w:cs="Times New Roman"/>
          <w:sz w:val="22"/>
          <w:szCs w:val="22"/>
          <w:lang w:val="ru-RU"/>
        </w:rPr>
        <w:t>накладной ТОРГ 12/УПД.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4.2 Поставка Товара в адрес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sz w:val="22"/>
          <w:szCs w:val="22"/>
        </w:rPr>
        <w:t xml:space="preserve"> осуществляется в течение </w:t>
      </w:r>
      <w:r>
        <w:rPr>
          <w:rFonts w:eastAsia="Andale Sans UI;Arial Unicode MS" w:cs="Times New Roman"/>
          <w:b/>
          <w:bCs/>
          <w:color w:val="00000A"/>
          <w:kern w:val="2"/>
          <w:sz w:val="22"/>
          <w:szCs w:val="22"/>
          <w:u w:val="none"/>
          <w:shd w:fill="FFFF00" w:val="clear"/>
          <w:lang w:val="ru-RU" w:eastAsia="zh-CN" w:bidi="ar-SA"/>
        </w:rPr>
        <w:t>5</w:t>
      </w:r>
      <w:r>
        <w:rPr>
          <w:rFonts w:cs="Times New Roman"/>
          <w:b/>
          <w:bCs/>
          <w:sz w:val="22"/>
          <w:szCs w:val="22"/>
          <w:u w:val="none"/>
          <w:shd w:fill="FFFF00" w:val="clear"/>
        </w:rPr>
        <w:t xml:space="preserve"> (</w:t>
      </w:r>
      <w:r>
        <w:rPr>
          <w:rFonts w:eastAsia="Andale Sans UI;Arial Unicode MS" w:cs="Times New Roman"/>
          <w:b/>
          <w:bCs/>
          <w:color w:val="00000A"/>
          <w:kern w:val="2"/>
          <w:sz w:val="22"/>
          <w:szCs w:val="22"/>
          <w:u w:val="none"/>
          <w:shd w:fill="FFFF00" w:val="clear"/>
          <w:lang w:val="ru-RU" w:eastAsia="zh-CN" w:bidi="ar-SA"/>
        </w:rPr>
        <w:t>пяти</w:t>
      </w:r>
      <w:r>
        <w:rPr>
          <w:rFonts w:cs="Times New Roman"/>
          <w:b/>
          <w:bCs/>
          <w:sz w:val="22"/>
          <w:szCs w:val="22"/>
          <w:u w:val="none"/>
          <w:shd w:fill="FFFF00" w:val="clear"/>
          <w:lang w:val="ru-RU"/>
        </w:rPr>
        <w:t>)</w:t>
      </w:r>
      <w:r>
        <w:rPr>
          <w:rFonts w:cs="Times New Roman"/>
          <w:b/>
          <w:bCs/>
          <w:sz w:val="22"/>
          <w:szCs w:val="22"/>
          <w:u w:val="none"/>
          <w:shd w:fill="FFFF00" w:val="clear"/>
        </w:rPr>
        <w:t xml:space="preserve"> р</w:t>
      </w:r>
      <w:r>
        <w:rPr>
          <w:rFonts w:cs="Times New Roman"/>
          <w:b/>
          <w:bCs/>
          <w:sz w:val="22"/>
          <w:szCs w:val="22"/>
          <w:u w:val="none"/>
          <w:shd w:fill="FFFF00" w:val="clear"/>
          <w:lang w:val="ru-RU"/>
        </w:rPr>
        <w:t xml:space="preserve">абочих </w:t>
      </w:r>
      <w:r>
        <w:rPr>
          <w:rFonts w:cs="Times New Roman"/>
          <w:b/>
          <w:bCs/>
          <w:sz w:val="22"/>
          <w:szCs w:val="22"/>
          <w:u w:val="none"/>
          <w:shd w:fill="FFFF00" w:val="clear"/>
        </w:rPr>
        <w:t>дней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b/>
          <w:bCs/>
          <w:sz w:val="22"/>
          <w:szCs w:val="22"/>
        </w:rPr>
        <w:t>после подписания договора</w:t>
      </w:r>
      <w:r>
        <w:rPr>
          <w:rFonts w:cs="Times New Roman"/>
          <w:sz w:val="22"/>
          <w:szCs w:val="22"/>
        </w:rPr>
        <w:t>.</w:t>
      </w:r>
    </w:p>
    <w:p>
      <w:pPr>
        <w:pStyle w:val="Normal"/>
        <w:ind w:hanging="0" w:left="0"/>
        <w:jc w:val="left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4.3. </w:t>
      </w:r>
      <w:r>
        <w:rPr>
          <w:rFonts w:cs="Times New Roman"/>
          <w:sz w:val="22"/>
          <w:szCs w:val="22"/>
          <w:lang w:val="ru-RU"/>
        </w:rPr>
        <w:t>П</w:t>
      </w:r>
      <w:r>
        <w:rPr>
          <w:rFonts w:cs="Times New Roman"/>
          <w:sz w:val="22"/>
          <w:szCs w:val="22"/>
        </w:rPr>
        <w:t xml:space="preserve">ри приемке </w:t>
      </w:r>
      <w:r>
        <w:rPr>
          <w:rFonts w:cs="Times New Roman"/>
          <w:sz w:val="22"/>
          <w:szCs w:val="22"/>
          <w:lang w:val="ru-RU"/>
        </w:rPr>
        <w:t>товаров, работ,</w:t>
      </w:r>
      <w:r>
        <w:rPr>
          <w:rFonts w:cs="Times New Roman"/>
          <w:sz w:val="22"/>
          <w:szCs w:val="22"/>
        </w:rPr>
        <w:t xml:space="preserve"> услуг, </w:t>
      </w:r>
      <w:r>
        <w:rPr>
          <w:rFonts w:cs="Times New Roman"/>
          <w:sz w:val="22"/>
          <w:szCs w:val="22"/>
          <w:lang w:val="ru-RU"/>
        </w:rPr>
        <w:t>Заказчик подписывает</w:t>
      </w:r>
      <w:r>
        <w:rPr>
          <w:rFonts w:cs="Times New Roman"/>
          <w:sz w:val="22"/>
          <w:szCs w:val="22"/>
        </w:rPr>
        <w:t xml:space="preserve"> Акт приемки (ф. 0510452) </w:t>
      </w:r>
      <w:r>
        <w:rPr>
          <w:rFonts w:cs="Times New Roman"/>
          <w:sz w:val="22"/>
          <w:szCs w:val="22"/>
          <w:lang w:val="ru-RU"/>
        </w:rPr>
        <w:t>в одностороннем порядке</w:t>
      </w:r>
      <w:r>
        <w:rPr>
          <w:rFonts w:cs="Times New Roman"/>
          <w:sz w:val="22"/>
          <w:szCs w:val="22"/>
        </w:rPr>
        <w:t xml:space="preserve">, </w:t>
      </w:r>
      <w:r>
        <w:rPr>
          <w:rFonts w:cs="Times New Roman"/>
          <w:sz w:val="22"/>
          <w:szCs w:val="22"/>
          <w:lang w:val="ru-RU"/>
        </w:rPr>
        <w:t>в случае расхождений Акт приемки (ф. 0510452), направляется Поставщику для рассмотрения и устранения расхождений</w:t>
      </w:r>
      <w:r>
        <w:rPr>
          <w:rFonts w:cs="Times New Roman"/>
          <w:sz w:val="22"/>
          <w:szCs w:val="22"/>
        </w:rPr>
        <w:t>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4.4. Доставка Товара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производится Поставщиком по адресу: </w:t>
      </w:r>
      <w:r>
        <w:rPr>
          <w:rFonts w:cs="Times New Roman"/>
          <w:b/>
          <w:sz w:val="22"/>
          <w:szCs w:val="22"/>
        </w:rPr>
        <w:t>249030</w:t>
      </w:r>
      <w:r>
        <w:rPr>
          <w:rFonts w:cs="Times New Roman"/>
          <w:sz w:val="22"/>
          <w:szCs w:val="22"/>
        </w:rPr>
        <w:t>,</w:t>
      </w:r>
      <w:r>
        <w:rPr>
          <w:rFonts w:cs="Times New Roman"/>
          <w:b/>
          <w:sz w:val="22"/>
          <w:szCs w:val="22"/>
        </w:rPr>
        <w:t xml:space="preserve"> г. Обнинск, пр-т. </w:t>
      </w:r>
      <w:r>
        <w:rPr>
          <w:rFonts w:cs="Times New Roman"/>
          <w:b/>
          <w:sz w:val="22"/>
          <w:szCs w:val="22"/>
          <w:lang w:val="ru-RU"/>
        </w:rPr>
        <w:t>Ленина</w:t>
      </w:r>
      <w:r>
        <w:rPr>
          <w:rFonts w:cs="Times New Roman"/>
          <w:b/>
          <w:sz w:val="22"/>
          <w:szCs w:val="22"/>
        </w:rPr>
        <w:t xml:space="preserve">, 85, </w:t>
      </w:r>
      <w:r>
        <w:rPr>
          <w:rFonts w:cs="Times New Roman"/>
          <w:b/>
          <w:sz w:val="22"/>
          <w:szCs w:val="22"/>
          <w:lang w:val="ru-RU"/>
        </w:rPr>
        <w:t>корпус 9 (склад).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5. Принятие товара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5.1. Покупатель обязан совершить все необходимые действия, обеспечивающие принятие Товара, поставляемого в соответствии с настоящим Договором.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5.2. Принятый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Товар должен быть им осмотрен </w:t>
      </w:r>
      <w:r>
        <w:rPr>
          <w:rFonts w:cs="Times New Roman"/>
          <w:sz w:val="22"/>
          <w:szCs w:val="22"/>
          <w:lang w:val="ru-RU"/>
        </w:rPr>
        <w:t>в течение 3 (трех) рабочих дней</w:t>
      </w:r>
      <w:r>
        <w:rPr>
          <w:rFonts w:cs="Times New Roman"/>
          <w:sz w:val="22"/>
          <w:szCs w:val="22"/>
        </w:rPr>
        <w:t xml:space="preserve">. При выявлении недостатков или несоответствий Товара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в течение двух дней письменно уведомить Поставщика о выявленных недостатках или несоответствии </w:t>
      </w:r>
      <w:r>
        <w:rPr>
          <w:rFonts w:cs="Times New Roman"/>
          <w:sz w:val="22"/>
          <w:szCs w:val="22"/>
          <w:lang w:val="ru-RU"/>
        </w:rPr>
        <w:t>спецификации</w:t>
      </w:r>
      <w:r>
        <w:rPr>
          <w:rFonts w:cs="Times New Roman"/>
          <w:sz w:val="22"/>
          <w:szCs w:val="22"/>
        </w:rPr>
        <w:t xml:space="preserve"> Товара.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5.3. В случае получения поставляемого Товара от транспортной организации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проверить соответствие Товара сведениям, указанным в транспортных и сопроводительных документах, а также принять этот Товар от транспортной организации с соблюдением правил, предусмотренных законами и иными правовыми актами, регулирующими деятельность транспорта.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5.4. В случае отказа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sz w:val="22"/>
          <w:szCs w:val="22"/>
        </w:rPr>
        <w:t xml:space="preserve"> от переданного Поставщиком Товара,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обеспечить сохранность этого Товара (ответственное хранение) и в течение двух дней письменно уведомить Поставщика об отказе от переданного Товара.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6. Качество товара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6.1. Качество поставляемого Товара должно соответствовать нормативно-технической документации производителя. Претензии по дефектам могут быть предъявлены Поставщику в пределах срока годности. В случае признания Поставщиком претензии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sz w:val="22"/>
          <w:szCs w:val="22"/>
        </w:rPr>
        <w:t xml:space="preserve"> по качеству и (или) комплектности поставленного Товара Стороны вправе подписать соглашение о замене Товара ненадлежащего качества или доукомплектации (поставке комплектного) Товара.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7. Ответственность сторон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7.1. За неисполнение или ненадлежащее исполнение условий Договора Стороны несут ответственность в соответствии с действующим гражданским законодательством и условиями настоящего Договора.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7.2. В случае нарушения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сроков оплаты Товара, предусмотренных пунктом 3.1. настоящего Договора, Поставщик вправе отказаться от исполнения настоящего Договора и потребовать возврата Товара.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уплатить Поставщику неустойку в размере "1/300 ключевой ставки ЦБ РФ"от стоимости Товара за каждый день просрочки оплаты Товара, но не более суммы основного долга.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7.3. При расторжении Договора вследствие нарушения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своих обязательств, Покупатель возвращает Поставщику Товар в полном комплекте. Поставщик возвращает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полученную ранее сумму платежей за вычетом документально подтвержденных затрат Поставщика, связанных с исполнением настоящего Договора.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7.4. В случае нарушения Поставщиком сроков поставки Товара, предусмотренных пунктом 4.2. настоящего Договора,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вправе отказаться от исполнения настоящего Договора и потребовать возврата уплаченной за Товар денежной суммы. Поставщик обязан уплатить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неустойку в размере 1/300 ключевой ставки ЦБ РФ от стоимости Товара за каждый день просрочки поставки Товара, но не более суммы основного долга.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8. Форс-мажорные обстоятельства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непреодолимое обстоятельство (непреодолимая сила), а именно: стихийные бедствия, наводнения, землетрясения, пожары, военные действия, забастовки, изменения законодательства, запрещающее экспортно-импортные операции.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в течение одного месяца с момента возникновения таких обстоятельств, при этом срок исполнения обязательств по настоящему Договору продлевается соразмерно времени, в течение которого действовали вышеуказанные обстоятельства.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9. Изменение, дополнение, прекращение и расторжение договора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9.1. Условия настоящего Договора могут быть изменены или дополнены только по письменному соглашению Сторон.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9.2. Согласованные изменения и дополнения подписываются Сторонами и являются неотъемлемой частью настоящего Договора.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9.3. Споры и разногласия, которые могут возникнуть в связи с исполнением настоящего Договора, подлежат урегулированию в процессе переговоров. Споры, неурегулированные Сторонами в процессе переговоров, подлежат разрешению в Арбитражном суде </w:t>
      </w:r>
      <w:r>
        <w:rPr>
          <w:rFonts w:cs="Times New Roman"/>
          <w:sz w:val="22"/>
          <w:szCs w:val="22"/>
          <w:lang w:val="ru-RU"/>
        </w:rPr>
        <w:t>Калужской области</w:t>
      </w:r>
      <w:r>
        <w:rPr>
          <w:rFonts w:cs="Times New Roman"/>
          <w:sz w:val="22"/>
          <w:szCs w:val="22"/>
        </w:rPr>
        <w:t>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9.4. Настоящий Договор может быть прекращен или расторгнут в порядке и по основаниям, предусмотренным действующим законодательством Российской Федерации.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9.5.  Настоящий Договор </w:t>
      </w:r>
      <w:r>
        <w:rPr>
          <w:rFonts w:cs="Times New Roman"/>
          <w:sz w:val="22"/>
          <w:szCs w:val="22"/>
          <w:lang w:val="ru-RU"/>
        </w:rPr>
        <w:t>может быть расторгнут Заказчиком в одностороннем порядке за невыполнение своих обязательств по Договору Поставщиком в рамках действующего законодательства Российской Федерации.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9.5. Договор может быть расторгнут досрочно по соглашению сторон.</w:t>
      </w:r>
    </w:p>
    <w:p>
      <w:pPr>
        <w:pStyle w:val="Normal"/>
        <w:ind w:hanging="0" w:left="0"/>
        <w:rPr>
          <w:sz w:val="22"/>
          <w:szCs w:val="22"/>
        </w:rPr>
      </w:pPr>
      <w:r>
        <w:rPr>
          <w:rFonts w:cs="Times New Roman"/>
          <w:sz w:val="22"/>
          <w:szCs w:val="22"/>
        </w:rPr>
        <w:t>9.6. В случае изменения у одной из сторон юридического адреса, названия, банковских реквизитов и прочего она обязана в течение 10 (Десяти) дней письменно известить об этом другую сторону.</w:t>
        <w:br/>
        <w:t>9.7. 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10. Адреса и реквизиты сторон</w:t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sz w:val="22"/>
          <w:szCs w:val="22"/>
        </w:rPr>
      </w:pPr>
      <w:r>
        <w:rPr>
          <w:rFonts w:cs="Times New Roman"/>
          <w:sz w:val="22"/>
          <w:szCs w:val="22"/>
        </w:rPr>
        <w:t>Поставщик:</w:t>
        <w:tab/>
        <w:tab/>
        <w:tab/>
        <w:tab/>
        <w:tab/>
        <w:tab/>
        <w:t xml:space="preserve">            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>:</w:t>
      </w:r>
    </w:p>
    <w:tbl>
      <w:tblPr>
        <w:tblW w:w="9789" w:type="dxa"/>
        <w:jc w:val="left"/>
        <w:tblInd w:w="-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1"/>
        <w:gridCol w:w="4918"/>
      </w:tblGrid>
      <w:tr>
        <w:trPr>
          <w:trHeight w:val="3601" w:hRule="atLeast"/>
        </w:trPr>
        <w:tc>
          <w:tcPr>
            <w:tcW w:w="487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cs="Times New Roman"/>
                <w:b w:val="false"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 w:val="false"/>
                <w:bCs/>
                <w:color w:val="000000"/>
                <w:sz w:val="22"/>
                <w:szCs w:val="22"/>
              </w:rPr>
            </w:r>
          </w:p>
        </w:tc>
        <w:tc>
          <w:tcPr>
            <w:tcW w:w="4918" w:type="dxa"/>
            <w:tcBorders/>
          </w:tcPr>
          <w:p>
            <w:pPr>
              <w:pStyle w:val="Normal"/>
              <w:ind w:hanging="0" w:left="34" w:righ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Федеральное государственное бюджетное</w:t>
            </w:r>
          </w:p>
          <w:p>
            <w:pPr>
              <w:pStyle w:val="Normal"/>
              <w:keepNext w:val="true"/>
              <w:ind w:hanging="0" w:left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учреждение здравоохранения «Клиническая больница № 8 Федерального медико-</w:t>
            </w:r>
          </w:p>
          <w:p>
            <w:pPr>
              <w:pStyle w:val="Normal"/>
              <w:keepNext w:val="true"/>
              <w:ind w:hanging="0" w:left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биологического агентства»</w:t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(ФГБУЗ  КБ № 8 ФМБА  России)</w:t>
            </w:r>
          </w:p>
          <w:p>
            <w:pPr>
              <w:pStyle w:val="Normal"/>
              <w:widowControl w:val="false"/>
              <w:spacing w:before="0" w:after="60"/>
              <w:jc w:val="both"/>
              <w:rPr/>
            </w:pPr>
            <w:r>
              <w:rPr/>
              <w:t>Юридический адрес: 249032, Россия, Калужская область, г. Обнинск, пр. Ленина, д. 85</w:t>
            </w:r>
          </w:p>
          <w:p>
            <w:pPr>
              <w:pStyle w:val="Normal"/>
              <w:widowControl w:val="false"/>
              <w:spacing w:before="0" w:after="60"/>
              <w:jc w:val="both"/>
              <w:rPr/>
            </w:pPr>
            <w:r>
              <w:rPr/>
              <w:t>ИНН 4025002173</w:t>
            </w:r>
          </w:p>
          <w:p>
            <w:pPr>
              <w:pStyle w:val="Normal"/>
              <w:widowControl w:val="false"/>
              <w:spacing w:before="0" w:after="60"/>
              <w:jc w:val="both"/>
              <w:rPr/>
            </w:pPr>
            <w:r>
              <w:rPr/>
              <w:t>КПП 402501001</w:t>
            </w:r>
          </w:p>
          <w:p>
            <w:pPr>
              <w:pStyle w:val="Normal"/>
              <w:widowControl w:val="false"/>
              <w:spacing w:before="0" w:after="60"/>
              <w:jc w:val="both"/>
              <w:rPr/>
            </w:pPr>
            <w:r>
              <w:rPr/>
              <w:t>ОГРН 1024000940919</w:t>
            </w:r>
          </w:p>
          <w:p>
            <w:pPr>
              <w:pStyle w:val="Normal"/>
              <w:widowControl w:val="false"/>
              <w:spacing w:before="0" w:after="60"/>
              <w:jc w:val="both"/>
              <w:rPr/>
            </w:pPr>
            <w:r>
              <w:rPr/>
              <w:t>ОКТМО 29 715 000</w:t>
            </w:r>
          </w:p>
          <w:p>
            <w:pPr>
              <w:pStyle w:val="Normal"/>
              <w:widowControl w:val="false"/>
              <w:spacing w:before="0" w:after="60"/>
              <w:jc w:val="both"/>
              <w:rPr/>
            </w:pPr>
            <w:r>
              <w:rPr/>
              <w:t xml:space="preserve">ОКПО </w:t>
            </w:r>
            <w:r>
              <w:rPr>
                <w:color w:val="000000"/>
              </w:rPr>
              <w:t>35315763</w:t>
            </w:r>
          </w:p>
          <w:p>
            <w:pPr>
              <w:pStyle w:val="Normal"/>
              <w:rPr/>
            </w:pPr>
            <w:r>
              <w:rPr>
                <w:rFonts w:cs="Times New Roman"/>
                <w:sz w:val="22"/>
                <w:szCs w:val="22"/>
              </w:rPr>
              <w:t>Банк получателя: ОКЦ №1 ВВГУ Банка России// УФК по Нижегородской области, г. Нижний Новгород</w:t>
            </w:r>
          </w:p>
          <w:p>
            <w:pPr>
              <w:pStyle w:val="Normal"/>
              <w:rPr/>
            </w:pPr>
            <w:r>
              <w:rPr>
                <w:rFonts w:cs="Times New Roman"/>
                <w:sz w:val="22"/>
                <w:szCs w:val="22"/>
              </w:rPr>
              <w:t>БИК 012202102</w:t>
            </w:r>
          </w:p>
          <w:p>
            <w:pPr>
              <w:pStyle w:val="Normal"/>
              <w:rPr/>
            </w:pPr>
            <w:r>
              <w:rPr>
                <w:rFonts w:cs="Times New Roman"/>
                <w:sz w:val="22"/>
                <w:szCs w:val="22"/>
              </w:rPr>
              <w:t xml:space="preserve">Получатель: УФК по Нижегородской области </w:t>
            </w:r>
            <w:r>
              <w:rPr>
                <w:rFonts w:cs="Times New Roman"/>
                <w:color w:val="000000"/>
                <w:sz w:val="22"/>
                <w:szCs w:val="22"/>
              </w:rPr>
              <w:t>(ФГБУЗ КБ № 8 ФМБА РОССИИ, л/с 20376У24990) ,22376У24990, 21376У24990</w:t>
            </w:r>
          </w:p>
          <w:p>
            <w:pPr>
              <w:pStyle w:val="Normal"/>
              <w:rPr/>
            </w:pPr>
            <w:r>
              <w:rPr>
                <w:rFonts w:cs="Times New Roman"/>
                <w:sz w:val="22"/>
                <w:szCs w:val="22"/>
              </w:rPr>
              <w:t>кор./с 40102810745370000024</w:t>
            </w:r>
          </w:p>
          <w:p>
            <w:pPr>
              <w:pStyle w:val="Normal"/>
              <w:widowControl w:val="false"/>
              <w:spacing w:before="0" w:after="60"/>
              <w:jc w:val="both"/>
              <w:rPr/>
            </w:pPr>
            <w:r>
              <w:rPr>
                <w:rFonts w:cs="Times New Roman"/>
                <w:sz w:val="22"/>
                <w:szCs w:val="22"/>
              </w:rPr>
              <w:t>Номер банковского (казначейского) счета: 03214643000000013209</w:t>
            </w:r>
          </w:p>
          <w:p>
            <w:pPr>
              <w:pStyle w:val="Normal"/>
              <w:widowControl w:val="false"/>
              <w:spacing w:before="0" w:after="60"/>
              <w:jc w:val="both"/>
              <w:rPr/>
            </w:pPr>
            <w:r>
              <w:rPr/>
              <w:t>Тел. (48439) 6-85-85, факс (48439) 6-17-05, склад (48439) 5-73-61, аптека (48439) 3-20-06</w:t>
            </w:r>
          </w:p>
          <w:p>
            <w:pPr>
              <w:pStyle w:val="Normal"/>
              <w:widowControl w:val="false"/>
              <w:spacing w:before="0" w:after="60"/>
              <w:jc w:val="both"/>
              <w:rPr/>
            </w:pPr>
            <w:r>
              <w:rPr>
                <w:lang w:val="en-US"/>
              </w:rPr>
              <w:t>e</w:t>
            </w:r>
            <w:r>
              <w:rPr/>
              <w:t>-</w:t>
            </w:r>
            <w:r>
              <w:rPr>
                <w:lang w:val="en-US"/>
              </w:rPr>
              <w:t>mail</w:t>
            </w:r>
            <w:r>
              <w:rPr/>
              <w:t xml:space="preserve">: 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kb8@fmbamail.ru</w:t>
            </w:r>
          </w:p>
          <w:p>
            <w:pPr>
              <w:pStyle w:val="Normal"/>
              <w:widowControl w:val="false"/>
              <w:snapToGrid w:val="false"/>
              <w:spacing w:lineRule="auto" w:line="240"/>
              <w:ind w:right="283"/>
              <w:rPr>
                <w:b/>
                <w:color w:val="000000"/>
                <w:sz w:val="18"/>
                <w:szCs w:val="18"/>
                <w:lang w:val="de-DE"/>
              </w:rPr>
            </w:pPr>
            <w:r>
              <w:rPr>
                <w:rFonts w:cs="Times New Roman"/>
                <w:b/>
                <w:bCs w:val="false"/>
                <w:color w:val="000000"/>
                <w:sz w:val="18"/>
                <w:szCs w:val="18"/>
                <w:lang w:val="de-DE"/>
              </w:rPr>
              <w:t xml:space="preserve">e-mail: </w:t>
            </w:r>
            <w:hyperlink r:id="rId3">
              <w:r>
                <w:rPr>
                  <w:rStyle w:val="Hyperlink"/>
                  <w:b/>
                  <w:bCs w:val="false"/>
                  <w:sz w:val="18"/>
                  <w:szCs w:val="18"/>
                  <w:lang w:val="de-DE"/>
                </w:rPr>
                <w:t>kb8.ks@mail.ru</w:t>
              </w:r>
            </w:hyperlink>
          </w:p>
        </w:tc>
      </w:tr>
      <w:tr>
        <w:trPr>
          <w:trHeight w:val="1296" w:hRule="atLeast"/>
        </w:trPr>
        <w:tc>
          <w:tcPr>
            <w:tcW w:w="4871" w:type="dxa"/>
            <w:tcBorders/>
          </w:tcPr>
          <w:p>
            <w:pPr>
              <w:pStyle w:val="Normal"/>
              <w:widowControl w:val="false"/>
              <w:ind w:hanging="0" w:left="0" w:righ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</w:r>
          </w:p>
          <w:p>
            <w:pPr>
              <w:pStyle w:val="Normal"/>
              <w:ind w:hanging="0" w:left="252" w:righ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</w:r>
          </w:p>
          <w:p>
            <w:pPr>
              <w:pStyle w:val="Normal"/>
              <w:ind w:hanging="0" w:left="252" w:righ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</w:t>
            </w:r>
          </w:p>
          <w:p>
            <w:pPr>
              <w:pStyle w:val="Normal"/>
              <w:ind w:hanging="0" w:left="252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М. п.</w:t>
            </w:r>
          </w:p>
        </w:tc>
        <w:tc>
          <w:tcPr>
            <w:tcW w:w="4918" w:type="dxa"/>
            <w:tcBorders/>
          </w:tcPr>
          <w:p>
            <w:pPr>
              <w:pStyle w:val="Normal"/>
              <w:ind w:hanging="0" w:left="-11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Главный врач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>ФГБУЗ КБ №8 ФМБА России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  <w:lang w:val="ru-RU"/>
              </w:rPr>
              <w:t>_________________________</w:t>
            </w:r>
            <w:r>
              <w:rPr>
                <w:rFonts w:eastAsia="Times New Roman" w:cs="Times New Roman"/>
                <w:b/>
                <w:color w:val="000000"/>
                <w:kern w:val="2"/>
                <w:sz w:val="22"/>
                <w:szCs w:val="22"/>
                <w:lang w:val="ru-RU" w:eastAsia="zh-CN" w:bidi="ar-SA"/>
              </w:rPr>
              <w:t>С.М. Курдяев</w:t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     </w:t>
            </w:r>
            <w:r>
              <w:rPr>
                <w:rFonts w:cs="Times New Roman"/>
                <w:b/>
                <w:sz w:val="22"/>
                <w:szCs w:val="22"/>
              </w:rPr>
              <w:t>М. п.</w:t>
            </w:r>
          </w:p>
        </w:tc>
      </w:tr>
    </w:tbl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Приложение № 1</w:t>
      </w:r>
    </w:p>
    <w:p>
      <w:pPr>
        <w:pStyle w:val="Normal"/>
        <w:ind w:hanging="0" w:left="0"/>
        <w:jc w:val="center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</w:t>
      </w:r>
      <w:r>
        <w:rPr>
          <w:rFonts w:cs="Times New Roman"/>
          <w:sz w:val="22"/>
          <w:szCs w:val="22"/>
        </w:rPr>
        <w:t>к договору</w:t>
      </w:r>
      <w:r>
        <w:rPr>
          <w:rFonts w:cs="Times New Roman"/>
          <w:sz w:val="22"/>
          <w:szCs w:val="22"/>
          <w:shd w:fill="auto" w:val="clear"/>
        </w:rPr>
        <w:t xml:space="preserve"> №418</w:t>
      </w:r>
      <w:r>
        <w:rPr>
          <w:rFonts w:cs="Times New Roman"/>
          <w:sz w:val="22"/>
          <w:szCs w:val="22"/>
        </w:rPr>
        <w:t xml:space="preserve">-26-МЗ </w:t>
      </w:r>
    </w:p>
    <w:p>
      <w:pPr>
        <w:pStyle w:val="Normal"/>
        <w:ind w:hanging="0" w:left="0"/>
        <w:jc w:val="right"/>
        <w:rPr>
          <w:sz w:val="22"/>
          <w:szCs w:val="22"/>
        </w:rPr>
      </w:pPr>
      <w:r>
        <w:rPr>
          <w:rFonts w:cs="Times New Roman"/>
          <w:sz w:val="22"/>
          <w:szCs w:val="22"/>
        </w:rPr>
        <w:t>от «</w:t>
      </w:r>
      <w:r>
        <w:rPr>
          <w:rFonts w:cs="Times New Roman"/>
          <w:sz w:val="22"/>
          <w:szCs w:val="22"/>
          <w:lang w:val="ru-RU" w:eastAsia="ru-RU" w:bidi="ru-RU"/>
        </w:rPr>
        <w:t xml:space="preserve">     </w:t>
      </w:r>
      <w:r>
        <w:rPr>
          <w:rFonts w:cs="Times New Roman"/>
          <w:sz w:val="22"/>
          <w:szCs w:val="22"/>
        </w:rPr>
        <w:t>»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sz w:val="22"/>
          <w:szCs w:val="22"/>
          <w:lang w:val="ru-RU" w:eastAsia="ru-RU" w:bidi="ru-RU"/>
        </w:rPr>
        <w:t xml:space="preserve">                   </w:t>
      </w:r>
      <w:r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  <w:lang w:val="ru-RU"/>
        </w:rPr>
        <w:t>_</w:t>
      </w:r>
      <w:r>
        <w:rPr>
          <w:rFonts w:cs="Times New Roman"/>
          <w:sz w:val="22"/>
          <w:szCs w:val="22"/>
        </w:rPr>
        <w:t xml:space="preserve"> г.</w:t>
      </w:r>
    </w:p>
    <w:p>
      <w:pPr>
        <w:pStyle w:val="Normal"/>
        <w:ind w:hanging="0" w:left="0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</w:r>
    </w:p>
    <w:p>
      <w:pPr>
        <w:pStyle w:val="Normal"/>
        <w:ind w:hanging="0" w:left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cs="Times New Roman"/>
          <w:b/>
          <w:bCs/>
          <w:sz w:val="22"/>
          <w:szCs w:val="22"/>
          <w:lang w:val="ru-RU"/>
        </w:rPr>
        <w:t>СПЕЦИФИКАЦИЯ</w:t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tbl>
      <w:tblPr>
        <w:tblW w:w="10100" w:type="dxa"/>
        <w:jc w:val="left"/>
        <w:tblInd w:w="-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53"/>
        <w:gridCol w:w="5298"/>
        <w:gridCol w:w="967"/>
        <w:gridCol w:w="952"/>
        <w:gridCol w:w="889"/>
        <w:gridCol w:w="1341"/>
      </w:tblGrid>
      <w:tr>
        <w:trPr>
          <w:trHeight w:val="225" w:hRule="atLeast"/>
        </w:trPr>
        <w:tc>
          <w:tcPr>
            <w:tcW w:w="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/>
            </w:pPr>
            <w:r>
              <w:rPr>
                <w:rFonts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5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/>
            </w:pPr>
            <w:r>
              <w:rPr>
                <w:rFonts w:cs="Times New Roman"/>
                <w:b/>
                <w:sz w:val="22"/>
                <w:szCs w:val="22"/>
              </w:rPr>
              <w:t>Товар</w:t>
            </w:r>
          </w:p>
        </w:tc>
        <w:tc>
          <w:tcPr>
            <w:tcW w:w="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/>
            </w:pPr>
            <w:r>
              <w:rPr>
                <w:rFonts w:cs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9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/>
            </w:pPr>
            <w:r>
              <w:rPr>
                <w:rFonts w:cs="Times New Roman"/>
                <w:b/>
                <w:sz w:val="22"/>
                <w:szCs w:val="22"/>
              </w:rPr>
              <w:t>Ед.</w:t>
            </w:r>
          </w:p>
        </w:tc>
        <w:tc>
          <w:tcPr>
            <w:tcW w:w="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/>
            </w:pPr>
            <w:r>
              <w:rPr>
                <w:rFonts w:cs="Times New Roman"/>
                <w:b/>
                <w:sz w:val="22"/>
                <w:szCs w:val="22"/>
              </w:rPr>
              <w:t>Цена</w:t>
            </w:r>
          </w:p>
        </w:tc>
        <w:tc>
          <w:tcPr>
            <w:tcW w:w="13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/>
            </w:pPr>
            <w:r>
              <w:rPr>
                <w:rFonts w:cs="Times New Roman"/>
                <w:b/>
                <w:sz w:val="22"/>
                <w:szCs w:val="22"/>
              </w:rPr>
              <w:t>Сумма</w:t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/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/>
            </w:pPr>
            <w:r>
              <w:rPr/>
              <w:t>Эмаль Лакра ПФ-115 белая, глянцевая 20 кг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/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/>
            </w:pPr>
            <w:r>
              <w:rPr/>
              <w:t>Интерьерная краска ЛАКРА акриловая, белоснежная, 14 кг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3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/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/>
            </w:pPr>
            <w:r>
              <w:rPr/>
              <w:t>Гипсокартон Кнауф 12,5х1200х2500мм влагостойкий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лист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/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/>
            </w:pPr>
            <w:r>
              <w:rPr/>
              <w:t>Профиль направляющий ПН 28х27х3000 мм, 0,6 мм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2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/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/>
            </w:pPr>
            <w:r>
              <w:rPr/>
              <w:t>Профиль ПП 60х27х3000 мм, 0,6 мм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2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/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/>
            </w:pPr>
            <w:r>
              <w:rPr/>
              <w:t xml:space="preserve">Линолеум </w:t>
            </w:r>
            <w:r>
              <w:rPr>
                <w:lang w:val="en-US"/>
              </w:rPr>
              <w:t xml:space="preserve">POLYSTYL CONTRACT SB Pacific </w:t>
            </w:r>
            <w:r>
              <w:rPr>
                <w:lang w:val="ru-RU"/>
              </w:rPr>
              <w:t>5 при ширине 3м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/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/>
            </w:pPr>
            <w:r>
              <w:rPr/>
              <w:t xml:space="preserve">Плинтус </w:t>
            </w:r>
            <w:r>
              <w:rPr>
                <w:lang w:val="en-US"/>
              </w:rPr>
              <w:t xml:space="preserve">iDeal Deconika 253 </w:t>
            </w:r>
            <w:r>
              <w:rPr>
                <w:lang w:val="ru-RU"/>
              </w:rPr>
              <w:t>Ясень серый 70мм (70х21х2200мм)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32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/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/>
            </w:pPr>
            <w:r>
              <w:rPr/>
              <w:t xml:space="preserve">Угол внутренний для плинтуса Идеал Деконика 70 мм. </w:t>
            </w:r>
            <w:r>
              <w:rPr/>
              <w:t>(36 шт)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u w:val="single"/>
              </w:rPr>
              <w:t>комп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13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Угол наружный для плинтуса Идеал Деконика 70 мм. </w:t>
            </w:r>
            <w:r>
              <w:rPr>
                <w:sz w:val="22"/>
                <w:szCs w:val="22"/>
              </w:rPr>
              <w:t>(15шт)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u w:val="single"/>
              </w:rPr>
              <w:t>комп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Соединитель для плинтуса Идеал Деконика 70 мм. </w:t>
            </w:r>
            <w:r>
              <w:rPr>
                <w:sz w:val="22"/>
                <w:szCs w:val="22"/>
              </w:rPr>
              <w:t>(12шт)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u w:val="single"/>
              </w:rPr>
              <w:t>комп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 (пара) для плинтуса Идеал Деконика 70 мм.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18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Унитаз (комплект с арматурой)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ш</w:t>
            </w:r>
            <w:r>
              <w:rPr/>
              <w:t>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Кран шаровый 1/2 внутр.р.*наруж.р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/>
            </w:pPr>
            <w:r>
              <w:rPr/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left"/>
              <w:rPr/>
            </w:pPr>
            <w:r>
              <w:rPr/>
              <w:t xml:space="preserve">Труба полипропилен ф20 </w:t>
            </w:r>
            <w:r>
              <w:rPr/>
              <w:t>(20м)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rFonts w:cs="Times New Roman"/>
                <w:sz w:val="22"/>
                <w:szCs w:val="22"/>
                <w:u w:val="single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Муфта переходная полипронилен/металл(морковка) внутр.р. ф1/2х20мм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16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Муфта переходная полипропилен/металл(морковка) наруж.р.  ф1/2х20мм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Угол полипропилен 90гр. ф20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18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Угол полипропилен 90гр. ф25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16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Угол полипропилен 45тр. Ф25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16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Тройник полипропилен ф20*ф20*ф20 </w:t>
            </w:r>
            <w:r>
              <w:rPr>
                <w:sz w:val="22"/>
                <w:szCs w:val="22"/>
              </w:rPr>
              <w:t>(16шт)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rFonts w:cs="Times New Roman"/>
                <w:sz w:val="22"/>
                <w:szCs w:val="22"/>
                <w:u w:val="single"/>
              </w:rPr>
              <w:t>комп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Тройник полипропилен ф25*ф20*ф25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16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22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Дюбель с шурупом фб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-45 мм </w:t>
            </w:r>
            <w:r>
              <w:rPr>
                <w:sz w:val="22"/>
                <w:szCs w:val="22"/>
              </w:rPr>
              <w:t>(50шт)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rFonts w:cs="Times New Roman"/>
                <w:sz w:val="22"/>
                <w:szCs w:val="22"/>
                <w:u w:val="single"/>
              </w:rPr>
              <w:t>комп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none"/>
                <w:lang w:val="ru-RU"/>
              </w:rPr>
            </w:pPr>
            <w:r>
              <w:rPr>
                <w:rFonts w:cs="Times New Roman"/>
                <w:sz w:val="22"/>
                <w:szCs w:val="22"/>
                <w:u w:val="none"/>
                <w:lang w:val="ru-RU"/>
              </w:rPr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23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Труба металл фЗ/4 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16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Труба металл ф1/2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10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25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Кран шаровый с муфтой (американка) ф20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26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Кран шаровый с муфтой (американка) ф1/2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12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27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Муфта </w:t>
            </w:r>
            <w:r>
              <w:rPr>
                <w:sz w:val="22"/>
                <w:szCs w:val="22"/>
                <w:lang w:val="ru-RU"/>
              </w:rPr>
              <w:t>п</w:t>
            </w:r>
            <w:r>
              <w:rPr>
                <w:sz w:val="22"/>
                <w:szCs w:val="22"/>
              </w:rPr>
              <w:t>ереходная полипропилен/металл(морковка) внутр.р. 6 ф3/4х25мм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28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Клипсы ф25 </w:t>
            </w:r>
            <w:r>
              <w:rPr>
                <w:sz w:val="22"/>
                <w:szCs w:val="22"/>
              </w:rPr>
              <w:t>(50шт)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rFonts w:cs="Times New Roman"/>
                <w:sz w:val="22"/>
                <w:szCs w:val="22"/>
                <w:u w:val="single"/>
              </w:rPr>
              <w:t>комп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29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Труба полипропилен ф25 </w:t>
            </w:r>
            <w:r>
              <w:rPr>
                <w:sz w:val="22"/>
                <w:szCs w:val="22"/>
              </w:rPr>
              <w:t>(40м)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rFonts w:cs="Times New Roman"/>
                <w:sz w:val="22"/>
                <w:szCs w:val="22"/>
                <w:u w:val="single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Труба полипропилен ф20 </w:t>
            </w:r>
            <w:r>
              <w:rPr>
                <w:sz w:val="22"/>
                <w:szCs w:val="22"/>
              </w:rPr>
              <w:t>(8м)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rFonts w:cs="Times New Roman"/>
                <w:sz w:val="22"/>
                <w:szCs w:val="22"/>
                <w:u w:val="single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31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ВвгНг</w:t>
            </w:r>
            <w:r>
              <w:rPr>
                <w:sz w:val="22"/>
                <w:szCs w:val="22"/>
                <w:lang w:val="en-US"/>
              </w:rPr>
              <w:t xml:space="preserve"> LS </w:t>
            </w:r>
            <w:r>
              <w:rPr>
                <w:sz w:val="22"/>
                <w:szCs w:val="22"/>
              </w:rPr>
              <w:t xml:space="preserve">3х4 </w:t>
            </w:r>
            <w:r>
              <w:rPr>
                <w:sz w:val="22"/>
                <w:szCs w:val="22"/>
              </w:rPr>
              <w:t>(20м)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rFonts w:cs="Times New Roman"/>
                <w:sz w:val="22"/>
                <w:szCs w:val="22"/>
                <w:u w:val="single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32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Кабель ВвгНг </w:t>
            </w:r>
            <w:r>
              <w:rPr>
                <w:sz w:val="22"/>
                <w:szCs w:val="22"/>
                <w:lang w:val="en-US"/>
              </w:rPr>
              <w:t xml:space="preserve">LS </w:t>
            </w:r>
            <w:r>
              <w:rPr>
                <w:sz w:val="22"/>
                <w:szCs w:val="22"/>
              </w:rPr>
              <w:t xml:space="preserve">3х2,5 </w:t>
            </w:r>
            <w:r>
              <w:rPr>
                <w:sz w:val="22"/>
                <w:szCs w:val="22"/>
              </w:rPr>
              <w:t>(80м)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rFonts w:cs="Times New Roman"/>
                <w:sz w:val="22"/>
                <w:szCs w:val="22"/>
                <w:u w:val="single"/>
                <w:lang w:val="ru-RU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33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Кабель ВвгНг </w:t>
            </w:r>
            <w:r>
              <w:rPr>
                <w:sz w:val="22"/>
                <w:szCs w:val="22"/>
                <w:lang w:val="en-US"/>
              </w:rPr>
              <w:t xml:space="preserve">LS </w:t>
            </w:r>
            <w:r>
              <w:rPr>
                <w:sz w:val="22"/>
                <w:szCs w:val="22"/>
              </w:rPr>
              <w:t xml:space="preserve">3х1,5 </w:t>
            </w:r>
            <w:r>
              <w:rPr>
                <w:sz w:val="22"/>
                <w:szCs w:val="22"/>
              </w:rPr>
              <w:t>(50м)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rFonts w:cs="Times New Roman"/>
                <w:sz w:val="22"/>
                <w:szCs w:val="22"/>
                <w:u w:val="single"/>
                <w:lang w:val="ru-RU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34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Шит пластиковый 16 модулей 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Р 54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35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Выключатель накладной одноклавишный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36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Выключатель накладной двухклавишный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Светильник светодиодный настенный 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Р 65 20 Вт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38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Светильник потолочный накладной 36 Вт светодиодный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39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Розетка двойная накладная с заземлением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10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Распределительная коробка 100х100х50 мм 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Р 54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10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41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Кабель- канал 25х25х2000 мм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42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 модульный ВА 47-63</w:t>
            </w:r>
            <w:r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</w:rPr>
              <w:t xml:space="preserve"> 16А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43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автомат 1Р+</w:t>
            </w:r>
            <w:r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</w:rPr>
              <w:t xml:space="preserve"> 10 А </w:t>
            </w:r>
            <w:r>
              <w:rPr>
                <w:sz w:val="22"/>
                <w:szCs w:val="22"/>
                <w:lang w:val="en-US"/>
              </w:rPr>
              <w:t>30mА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44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 модульный ВА 47-63</w:t>
            </w:r>
            <w:r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</w:rPr>
              <w:t xml:space="preserve"> 10А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45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 модульный ВА 47-63</w:t>
            </w:r>
            <w:r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</w:rPr>
              <w:t>32А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46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Дюбель-гвоздь 6х40 </w:t>
            </w:r>
            <w:r>
              <w:rPr>
                <w:sz w:val="22"/>
                <w:szCs w:val="22"/>
              </w:rPr>
              <w:t>(150шт)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rFonts w:cs="Times New Roman"/>
                <w:sz w:val="22"/>
                <w:szCs w:val="22"/>
                <w:u w:val="single"/>
              </w:rPr>
              <w:t>комп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47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Кабель- канал 10х16х2000 мм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шт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48</w:t>
            </w:r>
          </w:p>
        </w:tc>
        <w:tc>
          <w:tcPr>
            <w:tcW w:w="52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Клемма</w:t>
            </w:r>
            <w:r>
              <w:rPr>
                <w:sz w:val="22"/>
                <w:szCs w:val="22"/>
                <w:lang w:val="en-US"/>
              </w:rPr>
              <w:t xml:space="preserve"> WAGO </w:t>
            </w:r>
            <w:r>
              <w:rPr>
                <w:sz w:val="22"/>
                <w:szCs w:val="22"/>
              </w:rPr>
              <w:t xml:space="preserve">221-413 </w:t>
            </w:r>
            <w:r>
              <w:rPr>
                <w:sz w:val="22"/>
                <w:szCs w:val="22"/>
              </w:rPr>
              <w:t>(50шт)</w:t>
            </w:r>
          </w:p>
        </w:tc>
        <w:tc>
          <w:tcPr>
            <w:tcW w:w="967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u w:val="single"/>
              </w:rPr>
            </w:pPr>
            <w:r>
              <w:rPr>
                <w:rFonts w:cs="Times New Roman"/>
                <w:sz w:val="22"/>
                <w:szCs w:val="22"/>
                <w:u w:val="single"/>
              </w:rPr>
              <w:t>комп</w:t>
            </w:r>
          </w:p>
        </w:tc>
        <w:tc>
          <w:tcPr>
            <w:tcW w:w="95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889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8759" w:type="dxa"/>
            <w:gridSpan w:val="5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center"/>
              <w:rPr/>
            </w:pPr>
            <w:r>
              <w:rPr>
                <w:rFonts w:cs="Times New Roman"/>
                <w:sz w:val="22"/>
                <w:szCs w:val="22"/>
                <w:lang w:val="ru-RU"/>
              </w:rPr>
              <w:t>Итого</w:t>
            </w:r>
          </w:p>
        </w:tc>
        <w:tc>
          <w:tcPr>
            <w:tcW w:w="13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17"/>
              <w:ind w:hanging="0" w:lef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</w:tbl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br/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 xml:space="preserve">Цена Договора составляет: ________ (__________) рублей ___ копеек, в том числе НДС ___% (______ ) руб. ____ коп., 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>с учетом всех расходов на поставку товара до места поставки, включая все налоги, таможенные пошлины, расходы на страхование. Затраты на погрузо-разгрузочные работы на склад Заказчика с заносом товара в помещение Заказчика и с разгрузкой на место хранение товара, и иные расходы, связанные с исполнением Поставщиком условий Договора включены в цену товара.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tbl>
      <w:tblPr>
        <w:tblW w:w="10380" w:type="dxa"/>
        <w:jc w:val="left"/>
        <w:tblInd w:w="-3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5"/>
        <w:gridCol w:w="4995"/>
      </w:tblGrid>
      <w:tr>
        <w:trPr>
          <w:trHeight w:val="1296" w:hRule="atLeast"/>
        </w:trPr>
        <w:tc>
          <w:tcPr>
            <w:tcW w:w="5385" w:type="dxa"/>
            <w:tcBorders/>
          </w:tcPr>
          <w:p>
            <w:pPr>
              <w:pStyle w:val="Normal"/>
              <w:widowControl w:val="false"/>
              <w:ind w:hanging="0" w:left="0" w:righ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</w:t>
            </w:r>
          </w:p>
          <w:p>
            <w:pPr>
              <w:pStyle w:val="Normal"/>
              <w:ind w:hanging="0" w:left="252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М. п.</w:t>
            </w:r>
          </w:p>
        </w:tc>
        <w:tc>
          <w:tcPr>
            <w:tcW w:w="4995" w:type="dxa"/>
            <w:tcBorders/>
          </w:tcPr>
          <w:p>
            <w:pPr>
              <w:pStyle w:val="Normal"/>
              <w:ind w:hanging="0" w:left="-11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Главный врач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>ФГБУЗ КБ №8 ФМБА России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_____________________________</w:t>
            </w:r>
            <w:r>
              <w:rPr>
                <w:rFonts w:eastAsia="Times New Roman" w:cs="Times New Roman"/>
                <w:b/>
                <w:color w:val="000000"/>
                <w:kern w:val="2"/>
                <w:sz w:val="22"/>
                <w:szCs w:val="22"/>
                <w:lang w:val="ru-RU" w:eastAsia="zh-CN" w:bidi="ar-SA"/>
              </w:rPr>
              <w:t>С.М. Курдяев</w:t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     </w:t>
            </w:r>
            <w:r>
              <w:rPr>
                <w:rFonts w:cs="Times New Roman"/>
                <w:b/>
                <w:sz w:val="22"/>
                <w:szCs w:val="22"/>
              </w:rPr>
              <w:t>М. п.</w:t>
            </w:r>
          </w:p>
        </w:tc>
      </w:tr>
    </w:tbl>
    <w:p>
      <w:pPr>
        <w:pStyle w:val="BodyText"/>
        <w:widowControl/>
        <w:spacing w:before="0" w:after="0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6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Andale Sans UI;Arial Unicode MS" w:cs="Times New Roman"/>
      <w:color w:val="00000A"/>
      <w:kern w:val="2"/>
      <w:sz w:val="24"/>
      <w:szCs w:val="24"/>
      <w:lang w:val="ru-RU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  <w:lang w:val="ru-RU" w:eastAsia="zxx" w:bidi="ru-RU"/>
    </w:rPr>
  </w:style>
  <w:style w:type="character" w:styleId="FollowedHyperlink">
    <w:name w:val="FollowedHyperlink"/>
    <w:qFormat/>
    <w:rPr>
      <w:color w:val="800080"/>
      <w:u w:val="single"/>
      <w:lang w:val="ru-RU" w:eastAsia="ru-RU" w:bidi="ru-RU"/>
    </w:rPr>
  </w:style>
  <w:style w:type="character" w:styleId="DefaultParagraphFont">
    <w:name w:val="Default Paragraph Font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">
    <w:name w:val="Caption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">
    <w:name w:val="Caption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">
    <w:name w:val="Caption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">
    <w:name w:val="Caption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">
    <w:name w:val="Caption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">
    <w:name w:val="Caption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">
    <w:name w:val="Caption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">
    <w:name w:val="Caption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">
    <w:name w:val="Caption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">
    <w:name w:val="Caption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">
    <w:name w:val="Caption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">
    <w:name w:val="Caption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">
    <w:name w:val="Caption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">
    <w:name w:val="Caption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">
    <w:name w:val="Caption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">
    <w:name w:val="Caption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">
    <w:name w:val="Caption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">
    <w:name w:val="Caption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">
    <w:name w:val="Caption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">
    <w:name w:val="Caption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">
    <w:name w:val="Caption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">
    <w:name w:val="Caption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">
    <w:name w:val="Caption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">
    <w:name w:val="Caption1111111111111111111111111111111111111111111111111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">
    <w:name w:val="Заголовок1"/>
    <w:basedOn w:val="Normal"/>
    <w:qFormat/>
    <w:pPr>
      <w:keepNext w:val="true"/>
      <w:spacing w:before="240" w:after="120"/>
    </w:pPr>
    <w:rPr>
      <w:rFonts w:ascii="Arial" w:hAnsi="Arial" w:eastAsia="Andale Sans UI;Arial Unicode MS" w:cs="Tahoma"/>
      <w:sz w:val="28"/>
      <w:szCs w:val="28"/>
    </w:rPr>
  </w:style>
  <w:style w:type="paragraph" w:styleId="11">
    <w:name w:val="Указатель1"/>
    <w:basedOn w:val="Normal"/>
    <w:qFormat/>
    <w:pPr>
      <w:suppressLineNumbers/>
    </w:pPr>
    <w:rPr>
      <w:rFonts w:cs="Tahoma"/>
    </w:rPr>
  </w:style>
  <w:style w:type="paragraph" w:styleId="Title">
    <w:name w:val="Title"/>
    <w:basedOn w:val="Normal"/>
    <w:next w:val="Subtitle"/>
    <w:qFormat/>
    <w:pPr>
      <w:widowControl w:val="false"/>
      <w:spacing w:lineRule="atLeast" w:line="20" w:before="0" w:after="240"/>
      <w:jc w:val="center"/>
    </w:pPr>
    <w:rPr>
      <w:rFonts w:ascii="Arial" w:hAnsi="Arial" w:cs="Arial"/>
      <w:b/>
      <w:bCs/>
      <w:sz w:val="22"/>
      <w:szCs w:val="20"/>
    </w:rPr>
  </w:style>
  <w:style w:type="paragraph" w:styleId="Subtitle">
    <w:name w:val="Subtitle"/>
    <w:basedOn w:val="1"/>
    <w:next w:val="BodyText"/>
    <w:qFormat/>
    <w:pPr>
      <w:jc w:val="center"/>
    </w:pPr>
    <w:rPr>
      <w:i/>
      <w:iCs/>
      <w:sz w:val="28"/>
      <w:szCs w:val="28"/>
    </w:rPr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21">
    <w:name w:val="Основной текст 21"/>
    <w:basedOn w:val="Normal"/>
    <w:qFormat/>
    <w:pPr>
      <w:ind w:hanging="0" w:left="0" w:right="176"/>
      <w:jc w:val="both"/>
    </w:pPr>
    <w:rPr>
      <w:szCs w:val="20"/>
    </w:rPr>
  </w:style>
  <w:style w:type="paragraph" w:styleId="NormalTable">
    <w:name w:val="Normal Table"/>
    <w:qFormat/>
    <w:pPr>
      <w:widowControl/>
      <w:suppressAutoHyphens w:val="true"/>
      <w:overflowPunct w:val="true"/>
      <w:bidi w:val="0"/>
      <w:spacing w:lineRule="auto" w:line="257" w:before="0" w:after="160"/>
      <w:jc w:val="left"/>
      <w:textAlignment w:val="auto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TableGrid">
    <w:name w:val="TableGrid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19">
    <w:name w:val="Содержимое врезки"/>
    <w:basedOn w:val="Normal"/>
    <w:qFormat/>
    <w:pPr/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706557356161AAF3938123594DF1E42ADF0B66C51D27F5C8BABB2754D78117A25F339B3CoFj5H" TargetMode="External"/><Relationship Id="rId3" Type="http://schemas.openxmlformats.org/officeDocument/2006/relationships/hyperlink" Target="mailto:kb8.ks@mail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Application>LibreOffice/26.2.5.2$Windows_X86_64 LibreOffice_project/cd7284b4cbbfeb507e630c1aac019f4157393acb</Application>
  <AppVersion>15.0000</AppVersion>
  <Pages>6</Pages>
  <Words>1585</Words>
  <Characters>9997</Characters>
  <CharactersWithSpaces>11687</CharactersWithSpaces>
  <Paragraphs>278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2021-03-09T10:46:00Z</dcterms:created>
  <dc:creator>dsad3uioS dsadasdS</dc:creator>
  <dc:description/>
  <dc:language>ru-RU</dc:language>
  <cp:lastModifiedBy/>
  <cp:lastPrinted>2026-08-06T10:59:18Z</cp:lastPrinted>
  <dcterms:modified xsi:type="dcterms:W3CDTF">2026-09-15T16:10:17Z</dcterms:modified>
  <cp:revision>283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