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на поставку товаров для Рязанского исторического музея</w:t>
      </w:r>
    </w:p>
    <w:p>
      <w:pPr>
        <w:pStyle w:val="Normal"/>
        <w:spacing w:lineRule="atLeast" w:line="100"/>
        <w:ind w:hanging="0" w:end="-1"/>
        <w:rPr>
          <w:bCs/>
          <w:sz w:val="24"/>
        </w:rPr>
      </w:pPr>
      <w:r>
        <w:rPr>
          <w:bCs/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>триммера.</w:t>
      </w:r>
    </w:p>
    <w:p>
      <w:pPr>
        <w:pStyle w:val="Normal"/>
        <w:spacing w:lineRule="atLeast" w:line="100"/>
        <w:ind w:hanging="567" w:start="567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414020</wp:posOffset>
            </wp:positionH>
            <wp:positionV relativeFrom="paragraph">
              <wp:posOffset>3564255</wp:posOffset>
            </wp:positionV>
            <wp:extent cx="1383665" cy="154813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4"/>
        </w:rPr>
        <w:t>Перечень необходимого товара:</w:t>
      </w:r>
    </w:p>
    <w:tbl>
      <w:tblPr>
        <w:tblW w:w="15167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67"/>
        <w:gridCol w:w="2267"/>
        <w:gridCol w:w="10206"/>
        <w:gridCol w:w="710"/>
        <w:gridCol w:w="1417"/>
      </w:tblGrid>
      <w:tr>
        <w:trPr>
          <w:trHeight w:val="41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color w:val="242424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764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Триммер аккумуляторный</w:t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start"/>
              <w:rPr/>
            </w:pPr>
            <w:r>
              <w:rPr>
                <w:rFonts w:eastAsia="Calibri"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  <w:lang w:eastAsia="en-US"/>
              </w:rPr>
              <w:t xml:space="preserve">   </w:t>
            </w:r>
            <w:r>
              <w:rPr>
                <w:rFonts w:eastAsia="Calibri"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  <w:lang w:eastAsia="en-US"/>
              </w:rPr>
              <w:t>Триммер аккумуляторный.</w:t>
            </w:r>
          </w:p>
          <w:p>
            <w:pPr>
              <w:pStyle w:val="Normal"/>
              <w:widowControl w:val="false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Режущий элемент Леска/нож.</w:t>
            </w:r>
          </w:p>
          <w:p>
            <w:pPr>
              <w:pStyle w:val="Normal"/>
              <w:widowControl w:val="false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Напряжение аккумулятора 40 В,</w:t>
            </w:r>
          </w:p>
          <w:p>
            <w:pPr>
              <w:pStyle w:val="Normal"/>
              <w:widowControl w:val="false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Тип аккумулятора Li-Ion,</w:t>
            </w:r>
          </w:p>
          <w:p>
            <w:pPr>
              <w:pStyle w:val="Normal"/>
              <w:widowControl w:val="false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Ширина скашивания для лески 35- 40 см,</w:t>
            </w:r>
          </w:p>
          <w:p>
            <w:pPr>
              <w:pStyle w:val="Normal"/>
              <w:widowControl w:val="false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Вес не более  5 кг,</w:t>
            </w:r>
          </w:p>
          <w:p>
            <w:pPr>
              <w:pStyle w:val="Normal"/>
              <w:widowControl w:val="false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Емкость аккумулятора 4 А.ч,</w:t>
            </w:r>
          </w:p>
          <w:p>
            <w:pPr>
              <w:pStyle w:val="Normal"/>
              <w:widowControl w:val="false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 xml:space="preserve"> </w:t>
            </w: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Тип рукоятки U-образная велосипедная,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Количество аккумуляторов в комплекте 1 шт.,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Время работы (max) 40 мин,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Время заряда аккумулятора (max) 120 мин,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Расположение двигателя верхнее,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/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Разборный валда, Приводной вал жесткий, Толщина лески не менее 2 мм,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Частота вращения шпинделя (max) 6300 об/мин,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Тип двигателя Аккумуляторный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/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  <w:t>В комплекте (АКБ / ЗУ) да, Время заряда аккумулятора (min) 120, Время работы (min) 40.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start="300" w:end="0"/>
              <w:jc w:val="start"/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pPr>
            <w:r>
              <w:rPr>
                <w:rFonts w:ascii="Roboto Condensed;sans-serif" w:hAnsi="Roboto Condensed;sans-serif"/>
                <w:b w:val="false"/>
                <w:i w:val="false"/>
                <w:caps w:val="false"/>
                <w:smallCaps w:val="false"/>
                <w:color w:val="1A1A1A"/>
                <w:spacing w:val="0"/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star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pStyle w:val="NoSpacing"/>
              <w:widowControl w:val="false"/>
              <w:jc w:val="star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pStyle w:val="NoSpacing"/>
              <w:widowControl w:val="false"/>
              <w:jc w:val="star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pStyle w:val="NoSpacing"/>
              <w:widowControl w:val="false"/>
              <w:jc w:val="star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pStyle w:val="NoSpacing"/>
              <w:widowControl w:val="false"/>
              <w:jc w:val="star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pStyle w:val="NoSpacing"/>
              <w:widowControl w:val="false"/>
              <w:jc w:val="star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Транспортные расходы: </w:t>
      </w:r>
      <w:r>
        <w:rPr>
          <w:sz w:val="20"/>
          <w:szCs w:val="20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Место (адрес) поставки товара:</w:t>
      </w:r>
      <w:r>
        <w:rPr>
          <w:sz w:val="20"/>
          <w:szCs w:val="20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Условия и срок (период, график) поставки товара:</w:t>
      </w:r>
    </w:p>
    <w:p>
      <w:pPr>
        <w:pStyle w:val="Normal"/>
        <w:numPr>
          <w:ilvl w:val="1"/>
          <w:numId w:val="2"/>
        </w:numPr>
        <w:ind w:hanging="574" w:start="57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Период поставки: 10 календарных 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Товар должен поставляться в надлежащей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</w:t>
      </w:r>
      <w:r>
        <w:rPr>
          <w:bCs/>
          <w:sz w:val="24"/>
          <w:szCs w:val="24"/>
        </w:rPr>
        <w:t>условиях его использования, хранения, транспортировки и утилизации.</w:t>
      </w:r>
    </w:p>
    <w:p>
      <w:pPr>
        <w:pStyle w:val="Normal"/>
        <w:widowControl/>
        <w:numPr>
          <w:ilvl w:val="0"/>
          <w:numId w:val="0"/>
        </w:numPr>
        <w:ind w:hanging="0" w:start="0" w:end="0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6.7. Товары не относящейся к товарам и программному обеспечению, указанным в позициях 1-7, 17,18, 21, 27, 28.1, 30, 30.1, 30.2, 31.1, 35, 140, 141, 144 и 146 приложения № 1, в количестве одной штуки и НМЦК (НМЦ договора), цена контракта/договора, заключаемого с ЕП не превышает 300 тыс. рублей (пп. «з» п. 5 ПП РФ №1875); или НМЦК (НМЦ договора), цена контракта/договора, заключаемого с ЕП не превышает 1 млн рублей и при этом ни одна из использованных в обосновании цен не превышает 300 тыс. рублей (пп. «и» п. 5 ПП РФ №1875); ни одна из использованных в обосновании цен не превышает 300 тыс. рублей и при этом произведение каждой цены на количество такого товара не превышает 1 млн. рублей (пп. «и» п. 5 ПП РФ №1875) возможна поставка товаров не Российского производства.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годности: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Срок гарантии на триммер составляет 36 (тридцать шесть) месяцев, на аккумулятор 24 (двадцать четыре) месяца с даты подписания акта передачи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Вместе с Товаром Поставщик должен предоставить документы, подтверждающие его соответствие требованиям, установленным пунктом 7 настоящего Технического задания (в том числе Сертификат соответствия Товара на каждую поставку).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Поставщик предоставляет Заказчику с каждой партией Товара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 на оплату со ссылкой на реквизиты контракта.</w:t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Roboto Condensed">
    <w:altName w:val="sans-serif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user" w:customStyle="1">
    <w:name w:val="Символ нумерации (user)"/>
    <w:qFormat/>
    <w:rPr/>
  </w:style>
  <w:style w:type="character" w:styleId="Style11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2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3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Hyperlink">
    <w:name w:val="Hyperlink"/>
    <w:unhideWhenUsed/>
    <w:qFormat/>
    <w:rsid w:val="00814314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qFormat/>
    <w:rsid w:val="004101d1"/>
    <w:rPr>
      <w:color w:val="954F72"/>
      <w:u w:val="single"/>
    </w:rPr>
  </w:style>
  <w:style w:type="character" w:styleId="Style14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4" w:customStyle="1">
    <w:name w:val="Содержимое таблицы (user)"/>
    <w:basedOn w:val="Normal"/>
    <w:qFormat/>
    <w:pPr>
      <w:suppressLineNumbers/>
    </w:pPr>
    <w:rPr/>
  </w:style>
  <w:style w:type="paragraph" w:styleId="user5" w:customStyle="1">
    <w:name w:val="Заголовок таблицы (user)"/>
    <w:basedOn w:val="user4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1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4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Application>LibreOffice/26.2.5.2$Linux_X86_64 LibreOffice_project/620$Build-2</Application>
  <AppVersion>15.0000</AppVersion>
  <Pages>2</Pages>
  <Words>581</Words>
  <Characters>3699</Characters>
  <CharactersWithSpaces>4256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cp:lastPrinted>2026-07-02T15:06:07Z</cp:lastPrinted>
  <dcterms:modified xsi:type="dcterms:W3CDTF">2026-07-31T16:38:28Z</dcterms:modified>
  <cp:revision>34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