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№ </w:t>
      </w:r>
    </w:p>
    <w:p>
      <w:pPr>
        <w:pStyle w:val="Normal"/>
        <w:ind w:firstLine="567"/>
        <w:jc w:val="center"/>
        <w:rPr/>
      </w:pPr>
      <w:r>
        <w:rPr>
          <w:rFonts w:ascii="Times New Roman" w:hAnsi="Times New Roman"/>
          <w:b/>
          <w:sz w:val="24"/>
          <w:szCs w:val="24"/>
        </w:rPr>
        <w:t>на передачу права использования программ для ЭВМ</w:t>
      </w:r>
    </w:p>
    <w:p>
      <w:pPr>
        <w:pStyle w:val="Style40"/>
        <w:tabs>
          <w:tab w:val="right" w:pos="9356" w:leader="none"/>
        </w:tabs>
        <w:suppressAutoHyphens w:val="true"/>
        <w:spacing w:lineRule="auto" w:before="0" w:after="0"/>
        <w:ind w:left="0" w:right="-1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w w:val="105"/>
          <w:sz w:val="22"/>
          <w:szCs w:val="22"/>
        </w:rPr>
        <w:t xml:space="preserve">ИКЗ: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w w:val="105"/>
          <w:sz w:val="22"/>
          <w:szCs w:val="22"/>
        </w:rPr>
        <w:t>26 1 4205077474 420501001 0039 000 0000 244</w:t>
      </w:r>
      <w:r>
        <w:rPr>
          <w:rFonts w:eastAsia="Times New Roman" w:cs="Times New Roman" w:ascii="Times New Roman" w:hAnsi="Times New Roman"/>
          <w:b/>
          <w:bCs/>
          <w:spacing w:val="0"/>
          <w:w w:val="105"/>
          <w:sz w:val="22"/>
          <w:szCs w:val="22"/>
        </w:rPr>
        <w:t xml:space="preserve"> </w:t>
      </w:r>
    </w:p>
    <w:p>
      <w:pPr>
        <w:pStyle w:val="Normal"/>
        <w:tabs>
          <w:tab w:val="right" w:pos="10065" w:leader="none"/>
        </w:tabs>
        <w:jc w:val="center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«Поставщик»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лице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bookmarkStart w:id="0" w:name="_Hlk190418721"/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0"/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  <w:bookmarkStart w:id="1" w:name="_Hlk224654246"/>
      <w:r>
        <w:rPr>
          <w:rFonts w:ascii="Times New Roman" w:hAnsi="Times New Roman"/>
          <w:b/>
          <w:bCs/>
          <w:sz w:val="24"/>
          <w:szCs w:val="24"/>
        </w:rPr>
        <w:t>Главное управление Федеральной службы судебных приставов по Кемеровской области - Кузбассу (ГУФССП России по Кемеровской области - Кузбассу)</w:t>
      </w:r>
      <w:bookmarkEnd w:id="1"/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>«Заказчик»,</w:t>
      </w:r>
      <w:r>
        <w:rPr>
          <w:rFonts w:ascii="Times New Roman" w:hAnsi="Times New Roman"/>
          <w:sz w:val="24"/>
          <w:szCs w:val="24"/>
        </w:rPr>
        <w:t xml:space="preserve"> в лице заместителя руководителя ГУФССП России по Кемеровской области - Кузбассу - заместителя главного судебного пристава Кемеровской области - Кузбасса </w:t>
      </w:r>
      <w:bookmarkStart w:id="2" w:name="__DdeLink__781_3902492441"/>
      <w:r>
        <w:rPr>
          <w:rFonts w:ascii="Times New Roman" w:hAnsi="Times New Roman"/>
          <w:sz w:val="24"/>
          <w:szCs w:val="24"/>
        </w:rPr>
        <w:t>Сальникова Артема Олеговича, действующего на основании доверенности от  02.04.2026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0"/>
          <w:szCs w:val="20"/>
          <w:highlight w:val="white"/>
          <w:lang w:val="ru-RU" w:eastAsia="ar-SA" w:bidi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bookmarkEnd w:id="2"/>
      <w:r>
        <w:rPr>
          <w:rFonts w:ascii="Times New Roman" w:hAnsi="Times New Roman"/>
          <w:sz w:val="24"/>
          <w:szCs w:val="24"/>
        </w:rPr>
        <w:t>Д-42907/26/47, 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другой стороны, в дальнейшем совместно именуемые Стороны,</w:t>
      </w:r>
      <w:r>
        <w:rPr>
          <w:rFonts w:ascii="Times New Roman" w:hAnsi="Times New Roman"/>
          <w:sz w:val="24"/>
          <w:szCs w:val="24"/>
        </w:rPr>
        <w:t xml:space="preserve"> на основании п.4 п.1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>
      <w:pPr>
        <w:pStyle w:val="Normal"/>
        <w:spacing w:lineRule="auto" w:line="252"/>
        <w:ind w:firstLine="709"/>
        <w:jc w:val="center"/>
        <w:rPr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Предмет Договора</w:t>
      </w:r>
    </w:p>
    <w:p>
      <w:pPr>
        <w:pStyle w:val="Normal"/>
        <w:ind w:firstLine="709"/>
        <w:jc w:val="both"/>
        <w:rPr>
          <w:rStyle w:val="Wmicallto"/>
          <w:sz w:val="22"/>
          <w:szCs w:val="22"/>
        </w:rPr>
      </w:pPr>
      <w:bookmarkStart w:id="3" w:name="_Ref33343488"/>
      <w:bookmarkEnd w:id="3"/>
      <w:r>
        <w:rPr>
          <w:rStyle w:val="Wmicallto"/>
          <w:rFonts w:ascii="Times New Roman" w:hAnsi="Times New Roman"/>
          <w:sz w:val="24"/>
          <w:szCs w:val="24"/>
        </w:rPr>
        <w:t xml:space="preserve">1.1. </w:t>
      </w:r>
      <w:bookmarkStart w:id="4" w:name="__DdeLink__334683_3456186103"/>
      <w:r>
        <w:rPr>
          <w:rStyle w:val="Wmicallto"/>
          <w:rFonts w:ascii="Times New Roman" w:hAnsi="Times New Roman"/>
          <w:sz w:val="24"/>
          <w:szCs w:val="24"/>
        </w:rPr>
        <w:t>Поставщик обязуется передавать в собственность в обусловленный настоящим Договором срок, а Заказчик принимать и оплачивать экземпляры программ для электронно-вычислительных машин (ЭВМ) в электронном виде или на материальных носителях и/или установочные комплекты, сертификаты (дистрибутивы программных продуктов и т. п.), аппаратные и технические средства активации доступа и защиты (далее – Товар), документацию в количестве согласно Спецификации (Приложение № 1, являющееся неотъемлемой частью настоящего Договора).</w:t>
      </w:r>
      <w:bookmarkEnd w:id="4"/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1.2. Наименование и количество поставляемых товаров </w:t>
      </w:r>
      <w:r>
        <w:rPr>
          <w:rFonts w:ascii="Times New Roman" w:hAnsi="Times New Roman"/>
          <w:sz w:val="24"/>
          <w:szCs w:val="24"/>
        </w:rPr>
        <w:t xml:space="preserve">определяются Спецификацией (Приложением №1), которая является неотъемлемой частью настоящего </w:t>
      </w:r>
      <w:r>
        <w:rPr>
          <w:rFonts w:ascii="Times New Roman" w:hAnsi="Times New Roman"/>
          <w:bCs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1.3. В случае, если это предусмотрено Сублицензионным договором (Приложение № 2, </w:t>
      </w:r>
      <w:r>
        <w:rPr>
          <w:rStyle w:val="Wmicallto"/>
          <w:rFonts w:ascii="Times New Roman" w:hAnsi="Times New Roman"/>
          <w:sz w:val="24"/>
          <w:szCs w:val="24"/>
        </w:rPr>
        <w:t>являющееся неотъемлемой частью настоящего Договора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), Заказчику по настоящему Договору предоставляются неисключительные права на использование программ для ЭВМ. 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Поставщик гарантирует, что обладает всеми необходимыми, полученными на законном основании правами, позволяющими ему передать </w:t>
      </w:r>
      <w:r>
        <w:rPr>
          <w:rFonts w:ascii="Times New Roman" w:hAnsi="Times New Roman"/>
          <w:bCs/>
          <w:sz w:val="24"/>
          <w:szCs w:val="24"/>
        </w:rPr>
        <w:t>З</w:t>
      </w:r>
      <w:r>
        <w:rPr>
          <w:rFonts w:ascii="Times New Roman" w:hAnsi="Times New Roman"/>
          <w:bCs/>
          <w:color w:val="000000"/>
          <w:sz w:val="24"/>
          <w:szCs w:val="24"/>
        </w:rPr>
        <w:t>аказчику неисключительные права на использование программ для ЭВМ на условиях настоящего Договора и сублицензионного Договора.</w:t>
      </w:r>
    </w:p>
    <w:p>
      <w:pPr>
        <w:pStyle w:val="Normal"/>
        <w:spacing w:lineRule="auto" w:line="2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5" w:name="_Ref33343488_%D0%9A%D0%BE%D0%BF%D0%B8%D1"/>
      <w:bookmarkStart w:id="6" w:name="_Ref33343488_%D0%9A%D0%BE%D0%BF%D0%B8%D1"/>
      <w:bookmarkEnd w:id="6"/>
    </w:p>
    <w:p>
      <w:pPr>
        <w:pStyle w:val="Normal"/>
        <w:spacing w:lineRule="auto" w:line="252"/>
        <w:ind w:firstLine="709"/>
        <w:jc w:val="center"/>
        <w:rPr>
          <w:b/>
          <w:b/>
          <w:bCs/>
          <w:color w:val="000000"/>
          <w:sz w:val="22"/>
          <w:szCs w:val="22"/>
        </w:rPr>
      </w:pPr>
      <w:bookmarkStart w:id="7" w:name="_Ref33931978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bookmarkEnd w:id="7"/>
      <w:r>
        <w:rPr>
          <w:rFonts w:ascii="Times New Roman" w:hAnsi="Times New Roman"/>
          <w:b/>
          <w:bCs/>
          <w:color w:val="000000"/>
          <w:sz w:val="24"/>
          <w:szCs w:val="24"/>
        </w:rPr>
        <w:t>Цена Договора, условия и порядок расчетов</w:t>
      </w:r>
    </w:p>
    <w:p>
      <w:pPr>
        <w:pStyle w:val="Normal"/>
        <w:widowControl w:val="false"/>
        <w:ind w:firstLine="709"/>
        <w:jc w:val="both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2.1. Цена Договора составляет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12 880 (Двенадцать тысяч восемьсот восемьдесят) рублей 00 копеек</w:t>
      </w:r>
      <w:r>
        <w:rPr>
          <w:rFonts w:ascii="Times New Roman" w:hAnsi="Times New Roman"/>
          <w:bCs/>
          <w:color w:val="000000"/>
          <w:sz w:val="24"/>
          <w:szCs w:val="24"/>
        </w:rPr>
        <w:t>, согласно Спецификации (Приложение № 1) и Приложению № 2 (Сублицензионный Договор).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НДС 22% </w:t>
      </w:r>
      <w:r>
        <w:rPr>
          <w:rFonts w:ascii="Times New Roman" w:hAnsi="Times New Roman"/>
          <w:b/>
          <w:bCs/>
          <w:sz w:val="24"/>
          <w:szCs w:val="24"/>
        </w:rPr>
        <w:t>540 (Пятьсот сорок) рублей 98 копейки.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Цена Договора включает в себя: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2.1.1. Дистрибутив ПО ViPNet Client </w:t>
      </w:r>
      <w:r>
        <w:rPr>
          <w:rFonts w:ascii="Times New Roman" w:hAnsi="Times New Roman"/>
          <w:b/>
          <w:bCs/>
          <w:sz w:val="24"/>
          <w:szCs w:val="24"/>
        </w:rPr>
        <w:t>3 000 (Три тысячи) рублей 00 копеек</w:t>
      </w:r>
      <w:r>
        <w:rPr>
          <w:rFonts w:ascii="Times New Roman" w:hAnsi="Times New Roman"/>
          <w:sz w:val="24"/>
          <w:szCs w:val="24"/>
        </w:rPr>
        <w:t xml:space="preserve">, в том числе НДС 22% </w:t>
      </w:r>
      <w:r>
        <w:rPr>
          <w:rFonts w:ascii="Times New Roman" w:hAnsi="Times New Roman"/>
          <w:b/>
          <w:bCs/>
          <w:sz w:val="24"/>
          <w:szCs w:val="24"/>
        </w:rPr>
        <w:t>540 (Пятьсот сорок) рублей 98 копейки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2.1.2. Передача неисключительных прав использования программ для ЭВМ </w:t>
      </w:r>
      <w:r>
        <w:rPr>
          <w:rFonts w:ascii="Times New Roman" w:hAnsi="Times New Roman"/>
          <w:b/>
          <w:bCs/>
          <w:sz w:val="24"/>
          <w:szCs w:val="24"/>
        </w:rPr>
        <w:t>9 880 (Девять тысяч восемьсот восемьдесят) рублей 00 копеек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- вознаграждение за Права использования, передаваемые по Сублицензионному договору (Приложение № 2 к настоящему Договору). Указанное вознаграждение налогом на добавленную стоимость (НДС) не облагается в соответствии с пп. 26 п. 2 ст. 149 НК РФ.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2.2.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Цена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Договора </w:t>
      </w:r>
      <w:r>
        <w:rPr>
          <w:rFonts w:ascii="Times New Roman" w:hAnsi="Times New Roman"/>
          <w:color w:val="000000" w:themeColor="text1"/>
          <w:sz w:val="24"/>
          <w:szCs w:val="24"/>
        </w:rPr>
        <w:t>включает в себя вознаграждение Поставщика и все его расходы на исполнение о</w:t>
      </w:r>
      <w:r>
        <w:rPr>
          <w:rFonts w:eastAsia="Calibri" w:cs="Lohit Devanagari" w:ascii="Times New Roman" w:hAnsi="Times New Roman"/>
          <w:bCs/>
          <w:color w:val="000000"/>
          <w:kern w:val="0"/>
          <w:sz w:val="24"/>
          <w:szCs w:val="24"/>
          <w:lang w:val="ru-RU" w:eastAsia="ru-RU" w:bidi="ar-SA"/>
        </w:rPr>
        <w:t>бязательств по настоящему Договору, в т.ч. расходы на упаковку, страхование, хранение, перевозку Товаров, уплату таможенных пошлин, налогов, сборов и других обязательных платежей. Цена договора является твердой и определяется на весь срок исполнения договора, за исключение случаев, предусмотренных Федеральным законом от 05.04.2013</w:t>
        <w:br/>
        <w:t xml:space="preserve">№ 44-ФЗ «О контрактной системе в сфере закупок товаров, работ, услуг для обеспечения государственных и муниципальных нужд» и настоящим договором. </w:t>
      </w:r>
    </w:p>
    <w:p>
      <w:pPr>
        <w:pStyle w:val="Normal"/>
        <w:spacing w:lineRule="auto" w:line="252"/>
        <w:ind w:firstLine="709"/>
        <w:jc w:val="both"/>
        <w:rPr/>
      </w:pPr>
      <w:r>
        <w:rPr>
          <w:rFonts w:eastAsia="Calibri" w:cs="Lohit Devanagari" w:ascii="Times New Roman" w:hAnsi="Times New Roman"/>
          <w:bCs/>
          <w:color w:val="000000"/>
          <w:kern w:val="0"/>
          <w:sz w:val="24"/>
          <w:szCs w:val="24"/>
          <w:lang w:val="ru-RU" w:eastAsia="ru-RU" w:bidi="ar-SA"/>
        </w:rPr>
        <w:t>2.3. Заказчик производит оплату по настоящему Договору в течение 10 (десяти) рабочих дней со дня передачи товара и прав на основании подписанного сторонами универсального передаточного документа (УПД) и выставления счета. Оплата производится за счет средств федерального бюджета в пределах лимитов бюджетных обязательств на 2026 год.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 w:eastAsia="Calibri" w:cs="Lohit Devanagari"/>
          <w:bCs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Calibri" w:cs="Lohit Devanagari" w:ascii="Times New Roman" w:hAnsi="Times New Roman"/>
          <w:bCs/>
          <w:color w:val="000000"/>
          <w:kern w:val="0"/>
          <w:sz w:val="24"/>
          <w:szCs w:val="24"/>
          <w:lang w:val="ru-RU" w:eastAsia="ru-RU" w:bidi="ar-SA"/>
        </w:rPr>
        <w:t>2.4. Оплата по Договору производится путем перечисления денежных средств на расчетный счет Поставщика. Датой оплаты является дата зачисления денежных средств на расчетный счет Поставщика.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 w:eastAsia="Calibri" w:cs="Lohit Devanagari"/>
          <w:bCs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Calibri" w:cs="Lohit Devanagari" w:ascii="Times New Roman" w:hAnsi="Times New Roman"/>
          <w:bCs/>
          <w:color w:val="000000"/>
          <w:kern w:val="0"/>
          <w:sz w:val="24"/>
          <w:szCs w:val="24"/>
          <w:lang w:val="ru-RU" w:eastAsia="ru-RU" w:bidi="ar-SA"/>
        </w:rPr>
        <w:t>2.5.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52"/>
        <w:ind w:firstLine="709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3. Порядок и сроки поставки Товара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3.1. Поставщик обязуется осуществить доставку Товаров Заказчику по адресу: </w:t>
      </w:r>
      <w:r>
        <w:rPr>
          <w:rFonts w:ascii="Times New Roman" w:hAnsi="Times New Roman"/>
          <w:color w:val="000000"/>
          <w:sz w:val="24"/>
          <w:szCs w:val="24"/>
        </w:rPr>
        <w:t>650993, г. Кемерово, Советский пр-кт, дом 30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Разгрузка Товаров осуществляется силами и за счет Заказчика.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Поставщик обязуется поставить Товары в течение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30 (Тридцать) календарных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дней со дня подписания настоящего Договора. Допускается досрочная поставка по предварительному согласованию с Заказчиком.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3.3. Поставщик обязуется в письменной форме сообщить (факсимильное сообщение,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) Заказчику предполагаемую дату прибытия Товаров на склад Заказчика, не менее чем за 1 (один) день до этой даты. 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52"/>
        <w:ind w:firstLine="709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4. Приемка Товара. Проверка качества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4.1. Стороны обязуются надлежащим образом уполномочить своих представителей, осуществляющих сдачу-приемку Товаров.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4.2. Сдача-приемка Товаров по количеству осуществляется в момент передачи Товаров Заказчику УПД.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4.3. Доставленные Заказчику Товары, должны быть им осмотрены в течение 5 (пяти) рабочих дней с момента их приемки по количеству.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4.4. При этом Заказчик проверяет: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соответствие поставленных Товаров Приложению №1 к настоящему </w:t>
      </w:r>
      <w:r>
        <w:rPr>
          <w:rFonts w:ascii="Times New Roman" w:hAnsi="Times New Roman"/>
          <w:bCs/>
          <w:color w:val="000000"/>
          <w:sz w:val="24"/>
          <w:szCs w:val="24"/>
        </w:rPr>
        <w:t>Договору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отсутствие повреждений упаковки, нарушения маркировки, а также нарушения требований к таре, в которой поставлены Товары;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отсутствие иных явных недостатков, которые могут свидетельствовать о нарушении качества Товаров;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отсутствие иных явных недостатков поставленных Товаров.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4.5. В случае обнаружения несоответствия Товаров условиям настоящего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Договора </w:t>
      </w:r>
      <w:r>
        <w:rPr>
          <w:rFonts w:ascii="Times New Roman" w:hAnsi="Times New Roman"/>
          <w:sz w:val="24"/>
          <w:szCs w:val="24"/>
        </w:rPr>
        <w:t xml:space="preserve">о количестве и/или качестве, в том числе несоответствия требований к оформлению и содержанию сопроводительных документов, Заказчик в срок, указанный в п.4.3 </w:t>
      </w:r>
      <w:r>
        <w:rPr>
          <w:rFonts w:ascii="Times New Roman" w:hAnsi="Times New Roman"/>
          <w:bCs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, должен известить об этом Поставщика в письменной форме.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Поставщик не позднее 5 (пяти) рабочих дней со дня получения письменного извещения Заказчика об обнаружении недостатков направляет к Заказчику своего надлежащим образом уполномоченного и компетентного в соответствующих вопросах представителя для составления акта о недостатках, подписываемого уполномоченными представителями Сторон.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В случае отсутствия представителя Поставщика, а также в случае необоснованного его отказа от подписания акта, акт о недостатках составляется и подписывается комиссией Заказчика, численный состав которой должен быть не менее 3 (трех) человек.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4.6. Акт о недостатках, составленный в соответствии с п.4.5 настоящего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Договора </w:t>
      </w:r>
      <w:r>
        <w:rPr>
          <w:rFonts w:ascii="Times New Roman" w:hAnsi="Times New Roman"/>
          <w:sz w:val="24"/>
          <w:szCs w:val="24"/>
        </w:rPr>
        <w:t xml:space="preserve">(далее - акт о недостатках), является безусловным основанием для исполнения Поставщиком требований Заказчика, связанных с ненадлежащим исполнением Поставщиком условий настоящего </w:t>
      </w:r>
      <w:r>
        <w:rPr>
          <w:rFonts w:ascii="Times New Roman" w:hAnsi="Times New Roman"/>
          <w:bCs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>. Выявленные недостатки Товаров (по количеству/качеству) подлежат устранению Поставщиком в кратчайшие сроки.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4.7. Товары, поставленные с нарушением условий настоящего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Договора </w:t>
      </w:r>
      <w:r>
        <w:rPr>
          <w:rFonts w:ascii="Times New Roman" w:hAnsi="Times New Roman"/>
          <w:sz w:val="24"/>
          <w:szCs w:val="24"/>
        </w:rPr>
        <w:t>(в том числе Товары в поврежденной упаковке, с нарушением маркировки, не сертифицированные, не соответствующие Приложению №1, не имеющие надлежащим образом оформленных сопроводительных документов), не будут приниматься Заказчиком, а принятые могут быть возвращены Заказчиком.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4.8. При наличии сомнений в надлежащем качестве Товаров Заказчик по своему выбору вправе обратиться для проведения экспертизы в любую аккредитованную в соответствующей области экспертную организацию (испытательную лабораторию) для проведения экспертизы сопроводительных документов и/или Товаров, в том числе для проверки происхождения Товаров, их соответствия сопроводительным документам.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4.9. В случае установления недостатков Товаров на основании акта о недостатках или на основании заключения о результатах экспертизы, Заказчик вправе потребовать замены Товаров с недостатками на Товары надлежащего качества / в надлежащем количестве или отказаться от Товаров с недостатками и потребовать от Поставщика возврата уплаченной за Товары денежной суммы.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Поставщик в течение 10 (десяти) рабочих дней с момента получения соответствующего требования Заказчика обязуется заменить Товар с недостатками на Товар надлежащего качества в надлежащем количестве, распорядиться Товаром ненадлежащего качества, а также выполнить иные обоснованные требования Заказчика, связанные с установленными недостатками. 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52"/>
        <w:ind w:firstLine="709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5. Гарантии качества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5.1. Поставщик настоящим гарантирует, что Товары, поставленные в рамках настоящего </w:t>
      </w:r>
      <w:r>
        <w:rPr>
          <w:rFonts w:ascii="Times New Roman" w:hAnsi="Times New Roman"/>
          <w:bCs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>, являются новыми, неиспользованными, серийно выпускаемыми. Поставщик гарантирует, что Товары, поставленные по настоящему Договору, не будут иметь дефектов, связанных с конструкцией, материалами или функционированием, при штатном использовании поставленных Товаров.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5.2. Поставщик гарантирует: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5.2.1. Поставку товаров, </w:t>
      </w:r>
      <w:r>
        <w:rPr>
          <w:rFonts w:eastAsia="Times New Roman" w:ascii="Times New Roman" w:hAnsi="Times New Roman"/>
          <w:iCs/>
          <w:sz w:val="24"/>
          <w:szCs w:val="24"/>
          <w:lang w:eastAsia="en-US"/>
        </w:rPr>
        <w:t>прошедших в установленном законодательством Российской Федерации порядке сертификацию в Федеральной службе безопасности Российской Федерации и (или) получивших подтверждение соответствия в Федеральной службе по техническому и экспортному контролю.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5.2.2. Поставляемые Товары свободны от прав третьих лиц, не являются предметом спора, не находятся в залоге, под арестом или иным обременением и не станут таковыми в будущем по обстоятельствам, зависящим от Поставщика.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5.3. Гарантия на поставленные Товары составляет </w:t>
      </w:r>
      <w:r>
        <w:rPr>
          <w:rFonts w:ascii="Times New Roman" w:hAnsi="Times New Roman"/>
          <w:iCs/>
          <w:sz w:val="24"/>
          <w:szCs w:val="24"/>
        </w:rPr>
        <w:t>12 (Двенадцать) месяцев.</w:t>
      </w:r>
      <w:r>
        <w:rPr>
          <w:rFonts w:ascii="Times New Roman" w:hAnsi="Times New Roman"/>
          <w:sz w:val="24"/>
          <w:szCs w:val="24"/>
        </w:rPr>
        <w:t xml:space="preserve"> Гарантийный срок начинает исчисляться со дня подписания Заказчиком УПД.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5.4. Поставщик настоящим гарантирует Заказчику, что к последнему не будут применены меры материальной ответственности по искам третьих лиц в отношении нарушения интеллектуальных прав, патентов, а также прав на использование товарных знаков и торговых марок, промышленных образцов, связанных с использованием Товаров в рамках настоящего Договору. </w:t>
      </w:r>
    </w:p>
    <w:p>
      <w:pPr>
        <w:pStyle w:val="Normal"/>
        <w:spacing w:lineRule="auto" w:line="252"/>
        <w:ind w:firstLine="709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 xml:space="preserve">5.5. Приём программных и/или программно-аппаратных средств на диагностику, гарантийное обслуживание (устранение недостатков) осуществляется по адресу местонахождения Поставщика. </w:t>
      </w:r>
    </w:p>
    <w:p>
      <w:pPr>
        <w:pStyle w:val="Normal"/>
        <w:spacing w:lineRule="auto" w:line="252"/>
        <w:ind w:firstLine="709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>5.6. При договоренности Сторон Поставщик может принимать участие в диагностике программных и/или программно-аппаратных средств по месту их установки в случае, если Заказчик минимум за 2 рабочих дня оповестит Поставщика о необходимости диагностики оборудования по месту его установки, а также обеспечит все необходимые условия для диагностики программных и/или программно-аппаратных средств по месту их установки. По результатам проведения диагностики программных и/или программно-аппаратных средств по месту их установки представитель Поставщика ставит отметку у Заказчика в журнале выездов о выполненных работах.</w:t>
      </w:r>
    </w:p>
    <w:p>
      <w:pPr>
        <w:pStyle w:val="Normal"/>
        <w:spacing w:lineRule="auto" w:line="252"/>
        <w:ind w:firstLine="709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>5.7. Гарантийные обязательства (устранение недостатков) Поставщик выполняет, направляя для этого к Заказчику своих специалистов или производя работы удаленно.</w:t>
      </w:r>
    </w:p>
    <w:p>
      <w:pPr>
        <w:pStyle w:val="Normal"/>
        <w:spacing w:lineRule="auto" w:line="252"/>
        <w:ind w:firstLine="709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>5.8. К недостаткам, подлежащим устранению в рамках гарантийных обязательств, не относятся недостатки, возникшие в следствие следующих причин: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внесения третьими лицами и/или представителями Заказчика изменений в программные компоненты;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возникновения сбоя в работе программных компонентов, произошедшего по вине Заказчика;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в случае непредоставления Заказчиком доступа, необходимого для успешного выполнения гарантийных обязательств;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использования программного обеспечения на неисправном компьютере;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несоблюдения Заказчиком требований по эксплуатации;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воздействия сил чрезвычайного характера (в т.ч. сил природного характера), приводящих к порче или уничтожению программных и/или программно-аппаратных средств.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52"/>
        <w:ind w:firstLine="709"/>
        <w:jc w:val="center"/>
        <w:rPr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Ответственность Сторон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6.1. 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Договором.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Пеня в размере 1/300 (одной трехсотой) действующей на дату уплаты пеней ключевой ставки Банка России от не 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6.3.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Поставщиком обязательства, предусмотренного Договором, в размере 1/300 (одной трехсотой)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6.4.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 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6.5. Общая сумма начисленной неустойки (штрафов, пени) за неисполнение или ненадлежащее исполнение Заказчиком обязательств, предусмотренных Договором, не может превышать цену Договора.</w:t>
      </w:r>
    </w:p>
    <w:p>
      <w:pPr>
        <w:pStyle w:val="Normal"/>
        <w:ind w:firstLine="709"/>
        <w:jc w:val="both"/>
        <w:rPr>
          <w:sz w:val="22"/>
          <w:szCs w:val="22"/>
        </w:rPr>
      </w:pPr>
      <w:bookmarkStart w:id="8" w:name="sub_359"/>
      <w:r>
        <w:rPr>
          <w:rFonts w:ascii="Times New Roman" w:hAnsi="Times New Roman"/>
          <w:sz w:val="24"/>
          <w:szCs w:val="24"/>
        </w:rPr>
        <w:t>6.7. Уплата Стороной неустойки (штрафа, пени) не освобождает ее от исполнения обязательств по Договору.</w:t>
      </w:r>
      <w:bookmarkEnd w:id="8"/>
    </w:p>
    <w:p>
      <w:pPr>
        <w:pStyle w:val="Normal"/>
        <w:spacing w:lineRule="auto" w:line="252"/>
        <w:ind w:firstLine="709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/>
        <w:ind w:firstLine="709"/>
        <w:jc w:val="center"/>
        <w:rPr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Разрешение споров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7.1. Стороны будут стремиться к тому, чтобы уладить любой спор, разногласие или претензию, вытекающие из настоящего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или в связи с его исполнением, путем переговоров. 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7.2.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ответ, по существу, в срок не позднее 7 (Семи) рабочих дней с даты ее получения.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7.3. В случае, если Стороны не смогут достигнуть соглашения, все споры, разногласия и требования, которые могут возникнуть в связи с исполнением настоящего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Cs/>
          <w:color w:val="000000"/>
          <w:sz w:val="24"/>
          <w:szCs w:val="24"/>
        </w:rPr>
        <w:t>, подлежат рассмотрению в Арбитражном суде Новосибирской области.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52"/>
        <w:ind w:firstLine="709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8. Обстоятельства непреодолимой силы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8.1.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8.2.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8.3.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8.4. Если обстоятельства, указанные в п.8.1 настоящего Договора, будут длиться более одного календарного месяца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spacing w:beforeAutospacing="0" w:before="0" w:afterAutospacing="0" w:after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9" w:name="_Ref152074040"/>
      <w:bookmarkStart w:id="10" w:name="sub_373"/>
      <w:bookmarkEnd w:id="10"/>
      <w:r>
        <w:rPr>
          <w:rFonts w:cs="Times New Roman" w:ascii="Times New Roman" w:hAnsi="Times New Roman"/>
          <w:sz w:val="24"/>
          <w:szCs w:val="24"/>
        </w:rPr>
        <w:t>9. Срок действия, порядок изменения и расторжения Договора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9.1. </w:t>
      </w:r>
      <w:bookmarkStart w:id="11" w:name="sub_514"/>
      <w:r>
        <w:rPr>
          <w:rFonts w:ascii="Times New Roman" w:hAnsi="Times New Roman"/>
          <w:sz w:val="24"/>
          <w:szCs w:val="24"/>
        </w:rPr>
        <w:t>Договор вступает в силу с даты его подписания обеими Сторонами.</w:t>
      </w:r>
    </w:p>
    <w:p>
      <w:pPr>
        <w:pStyle w:val="Normal"/>
        <w:ind w:firstLine="709"/>
        <w:jc w:val="both"/>
        <w:rPr>
          <w:sz w:val="22"/>
          <w:szCs w:val="22"/>
        </w:rPr>
      </w:pPr>
      <w:bookmarkStart w:id="12" w:name="sub_374"/>
      <w:bookmarkStart w:id="13" w:name="sub_373_%D0%9A%D0%BE%D0%BF%D0%B8%D1%8F_1"/>
      <w:bookmarkEnd w:id="11"/>
      <w:bookmarkEnd w:id="12"/>
      <w:bookmarkEnd w:id="13"/>
      <w:r>
        <w:rPr>
          <w:rFonts w:ascii="Times New Roman" w:hAnsi="Times New Roman"/>
          <w:sz w:val="24"/>
          <w:szCs w:val="24"/>
        </w:rPr>
        <w:t>9.2. Договор действует по «31» декабря 2026 г.</w:t>
      </w:r>
    </w:p>
    <w:p>
      <w:pPr>
        <w:pStyle w:val="Normal"/>
        <w:ind w:firstLine="709"/>
        <w:jc w:val="both"/>
        <w:rPr>
          <w:sz w:val="22"/>
          <w:szCs w:val="22"/>
        </w:rPr>
      </w:pPr>
      <w:bookmarkStart w:id="14" w:name="sub_375"/>
      <w:bookmarkStart w:id="15" w:name="sub_374_%D0%9A%D0%BE%D0%BF%D0%B8%D1%8F_1"/>
      <w:bookmarkEnd w:id="15"/>
      <w:r>
        <w:rPr>
          <w:rFonts w:ascii="Times New Roman" w:hAnsi="Times New Roman"/>
          <w:sz w:val="24"/>
          <w:szCs w:val="24"/>
        </w:rPr>
        <w:t>9.3. Договор может быть расторгнут:</w:t>
      </w:r>
      <w:bookmarkEnd w:id="14"/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по соглашению Сторон. При этом инициативная Сторона письменно уведомляет другую Сторону о своих намерениях за 20 (Двадцать) календарных дней до даты расторжения Договора;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по решению суда;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Все изменения и дополнения к настоящему </w:t>
      </w:r>
      <w:r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действительны лишь при условии, если они совершены в письменной форме и подписаны Сторонами.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1"/>
        <w:spacing w:beforeAutospacing="0" w:before="0" w:afterAutospacing="0" w:after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4"/>
          <w:szCs w:val="24"/>
        </w:rPr>
        <w:t xml:space="preserve">10. Конфиденциальность 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10.1. Вся предоставляемая Сторонами юридическая, финансовая и иная документация, связанная с заключением и исполнением настоящего Договора, считается конфиденциальной информацией (далее Информация). В случае разглашения указанной Информации Сторона, допустившая разглашение Информации, обязана возместить другой Стороне нанесенный ущерб.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10.2. Стороны обязуются, начиная с момента подписания и в течение 3 (Трех) лет после прекращения действия настоящего Договора: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- обеспечить хранение Информации, исключающее доступ к Информации третьих лиц; 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не передавать Информацию третьим лицам как в полном объеме, так и частично;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не передавать и не разглашать содержание Информации или иными способами не делать ее известной третьим лицам;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- обеспечить доступ к Информации только уполномоченных представителей Сторон, проинструктированных о порядке работы с Информацией.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10.3. Стороны настоящего Договора вправе распоряжаться Информацией только при наличии предварительного письменного согласия другой Стороны по настоящему Договору.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10.4. Действие настоящего раздела не распространяется на Информацию: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которая на момент получения является общедоступной;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которая законным образом получена от третьей стороны;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которая должна раскрываться уполномоченным государственным органам в соответствии с законодательством Российской Федерации. Сторона, получившая Информацию, обязуется уведомлять Сторону, передающую Информацию, о фактах раскрытия Информации органам государственной власти, в течение двух рабочих дней с момента наступления такого события.</w:t>
      </w:r>
    </w:p>
    <w:p>
      <w:pPr>
        <w:pStyle w:val="Normal"/>
        <w:spacing w:lineRule="auto" w:line="252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Прочие условия</w:t>
      </w:r>
    </w:p>
    <w:p>
      <w:pPr>
        <w:pStyle w:val="Normal"/>
        <w:spacing w:lineRule="auto" w:line="252"/>
        <w:ind w:firstLine="709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11.1. В случае несоответствия условий, изложенных в основном тексте настоящего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условиям, изложенным в тексте Сублицензионного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(Приложение № 2 к настоящему </w:t>
      </w:r>
      <w:r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), преимущественную силу имеют условия основного текста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>
      <w:pPr>
        <w:pStyle w:val="83"/>
        <w:shd w:val="clear" w:color="auto" w:fill="auto"/>
        <w:tabs>
          <w:tab w:val="left" w:pos="851" w:leader="none"/>
        </w:tabs>
        <w:spacing w:lineRule="auto" w:line="240" w:before="0" w:after="0"/>
        <w:ind w:firstLine="709"/>
        <w:rPr>
          <w:spacing w:val="0"/>
          <w:sz w:val="22"/>
          <w:szCs w:val="22"/>
        </w:rPr>
      </w:pPr>
      <w:r>
        <w:rPr>
          <w:rFonts w:ascii="Times New Roman" w:hAnsi="Times New Roman"/>
          <w:spacing w:val="0"/>
          <w:sz w:val="24"/>
          <w:szCs w:val="24"/>
          <w:lang w:eastAsia="ru-RU" w:bidi="ru-RU"/>
        </w:rPr>
        <w:t>11.2. Поставщик заверяет, что для исполнения обязательств по настоящему Договору имеет все необходимые полномочия, разрешения, лицензии и т.д.</w:t>
      </w:r>
    </w:p>
    <w:p>
      <w:pPr>
        <w:pStyle w:val="83"/>
        <w:shd w:val="clear" w:color="auto" w:fill="auto"/>
        <w:tabs>
          <w:tab w:val="left" w:pos="851" w:leader="none"/>
        </w:tabs>
        <w:spacing w:lineRule="auto" w:line="240" w:before="0" w:after="0"/>
        <w:ind w:firstLine="709"/>
        <w:rPr>
          <w:spacing w:val="0"/>
          <w:sz w:val="22"/>
          <w:szCs w:val="22"/>
          <w:lang w:eastAsia="ru-RU" w:bidi="ru-RU"/>
        </w:rPr>
      </w:pPr>
      <w:r>
        <w:rPr>
          <w:rFonts w:ascii="Times New Roman" w:hAnsi="Times New Roman"/>
          <w:spacing w:val="0"/>
          <w:sz w:val="24"/>
          <w:szCs w:val="24"/>
          <w:lang w:eastAsia="ru-RU" w:bidi="ru-RU"/>
        </w:rPr>
        <w:t xml:space="preserve">11.3. </w:t>
      </w:r>
      <w:r>
        <w:rPr>
          <w:rFonts w:ascii="Times New Roman" w:hAnsi="Times New Roman"/>
          <w:sz w:val="24"/>
          <w:szCs w:val="24"/>
        </w:rPr>
        <w:t>Стороны договорились, что подписанные обеими сторонами сканированные копии документов имеют юридическую силу до обязательного обмена оригиналами.</w:t>
      </w:r>
      <w:bookmarkEnd w:id="9"/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11.4. Во всем остальном, что не предусмотрено условиями </w:t>
      </w:r>
      <w:r>
        <w:rPr>
          <w:rFonts w:ascii="Times New Roman" w:hAnsi="Times New Roman"/>
          <w:sz w:val="24"/>
          <w:szCs w:val="24"/>
        </w:rPr>
        <w:t xml:space="preserve">Договора, Стороны руководствуются действующим законодательством РФ. </w:t>
      </w:r>
    </w:p>
    <w:p>
      <w:pPr>
        <w:pStyle w:val="Normal"/>
        <w:spacing w:lineRule="auto" w:line="252"/>
        <w:ind w:firstLine="709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11.5. Каждая из Сторон обязуется незамедлительно уведомлять другую Сторону об изменении реквизитов.</w:t>
      </w:r>
    </w:p>
    <w:p>
      <w:pPr>
        <w:pStyle w:val="Normal"/>
        <w:ind w:firstLine="708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11.6. Поставщик вправе привлекать к исполнению своих обязательств по настоящему договору других лиц. При этом Поставщик несет ответственность перед Заказчиком за неисполнение или ненадлежащее исполнение обязательств этих лиц.</w:t>
      </w:r>
    </w:p>
    <w:p>
      <w:pPr>
        <w:pStyle w:val="Normal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br w:type="page"/>
      </w:r>
    </w:p>
    <w:p>
      <w:pPr>
        <w:pStyle w:val="Normal"/>
        <w:tabs>
          <w:tab w:val="left" w:pos="709" w:leader="none"/>
        </w:tabs>
        <w:spacing w:before="0" w:after="0"/>
        <w:ind w:firstLine="709"/>
        <w:jc w:val="center"/>
        <w:rPr>
          <w:b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12. Приложения</w:t>
      </w:r>
    </w:p>
    <w:p>
      <w:pPr>
        <w:pStyle w:val="Normal"/>
        <w:tabs>
          <w:tab w:val="left" w:pos="709" w:leader="none"/>
        </w:tabs>
        <w:ind w:firstLine="709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12.1. Неотъемлемыми частями Договора является следующее приложение к Договору:</w:t>
      </w:r>
    </w:p>
    <w:p>
      <w:pPr>
        <w:pStyle w:val="Normal"/>
        <w:tabs>
          <w:tab w:val="left" w:pos="709" w:leader="none"/>
        </w:tabs>
        <w:ind w:firstLine="709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 – Спецификация;</w:t>
      </w:r>
    </w:p>
    <w:p>
      <w:pPr>
        <w:pStyle w:val="Normal"/>
        <w:tabs>
          <w:tab w:val="left" w:pos="709" w:leader="none"/>
        </w:tabs>
        <w:ind w:firstLine="709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 2 – </w:t>
      </w:r>
      <w:r>
        <w:rPr>
          <w:rFonts w:ascii="Times New Roman" w:hAnsi="Times New Roman"/>
          <w:sz w:val="24"/>
          <w:szCs w:val="24"/>
        </w:rPr>
        <w:t>Сублицензионный договор.</w:t>
      </w:r>
    </w:p>
    <w:p>
      <w:pPr>
        <w:pStyle w:val="Normal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/>
        <w:ind w:firstLine="709"/>
        <w:jc w:val="center"/>
        <w:rPr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 Адреса и реквизиты Сторон</w:t>
      </w:r>
    </w:p>
    <w:p>
      <w:pPr>
        <w:pStyle w:val="Normal"/>
        <w:spacing w:lineRule="auto" w:line="252"/>
        <w:ind w:firstLine="709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1010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070"/>
        <w:gridCol w:w="5033"/>
      </w:tblGrid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Поставщик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64"/>
              <w:jc w:val="both"/>
              <w:rPr>
                <w:rFonts w:eastAsia="Batang"/>
                <w:b/>
                <w:b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sz w:val="22"/>
                <w:szCs w:val="22"/>
                <w:lang w:eastAsia="ko-KR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33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Заказчик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Главное управление Федеральной службы судебных приставов по Кемеровской области – Кузбассу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Юридический адрес: 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650993, г. Кемерово, пр. Советский, 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Фактический адрес: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650993, г. Кемерово, пр. Советский, 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Почтовый адрес: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650993, г. Кемерово, пр. Советский, 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Тел.: 8(3842)77-85-95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: mail@r42.fssp.gov.ru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ИНН 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4205077474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КПП 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420501001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УФК по Новосибирской области (ГУФССП России по Кемеровской области — Кузбассу, л/с 03391785360)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 xml:space="preserve">Казначейский счет: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u w:val="none"/>
                <w:lang w:val="ru-RU" w:bidi="ar-SA"/>
              </w:rPr>
              <w:t>03110643000000015106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Кор. Счет: 40102810445370000043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 xml:space="preserve">Банк получателя: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ОКЦ №1 СибГУ Банка России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//УФК по Новосибирской области г. Новосибирск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76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БИК банка: 015004950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779" w:hRule="atLeast"/>
        </w:trPr>
        <w:tc>
          <w:tcPr>
            <w:tcW w:w="5070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3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Заместитель руководителя ГУФССП России по Кемеровской области — Кузбассу — заместитель главного судебного пристава Кемеровской области - Кузбасса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_______________________/ А.О. Сальников /</w:t>
            </w:r>
          </w:p>
          <w:p>
            <w:pPr>
              <w:pStyle w:val="Normal"/>
              <w:spacing w:lineRule="auto" w:line="276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firstLine="567"/>
        <w:jc w:val="right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>
      <w:pPr>
        <w:pStyle w:val="Normal"/>
        <w:ind w:firstLine="567"/>
        <w:jc w:val="right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к Договору поставки № </w:t>
      </w:r>
    </w:p>
    <w:p>
      <w:pPr>
        <w:pStyle w:val="Normal"/>
        <w:ind w:firstLine="567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ind w:firstLine="567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ind w:firstLine="567"/>
        <w:jc w:val="center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Спецификация </w:t>
      </w:r>
    </w:p>
    <w:p>
      <w:pPr>
        <w:pStyle w:val="Normal"/>
        <w:ind w:firstLine="567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906"/>
        <w:tblW w:w="960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9"/>
        <w:gridCol w:w="3420"/>
        <w:gridCol w:w="694"/>
        <w:gridCol w:w="706"/>
        <w:gridCol w:w="1139"/>
        <w:gridCol w:w="709"/>
        <w:gridCol w:w="1274"/>
        <w:gridCol w:w="3"/>
        <w:gridCol w:w="1249"/>
      </w:tblGrid>
      <w:tr>
        <w:trPr>
          <w:trHeight w:val="495" w:hRule="atLeast"/>
        </w:trPr>
        <w:tc>
          <w:tcPr>
            <w:tcW w:w="40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4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6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НДС, %</w:t>
            </w:r>
          </w:p>
        </w:tc>
        <w:tc>
          <w:tcPr>
            <w:tcW w:w="127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  <w:tc>
          <w:tcPr>
            <w:tcW w:w="124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>
        <w:trPr>
          <w:trHeight w:val="300" w:hRule="atLeast"/>
        </w:trPr>
        <w:tc>
          <w:tcPr>
            <w:tcW w:w="9603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Спецификация оборудования</w:t>
            </w:r>
          </w:p>
        </w:tc>
      </w:tr>
      <w:tr>
        <w:trPr>
          <w:trHeight w:val="300" w:hRule="atLeast"/>
        </w:trPr>
        <w:tc>
          <w:tcPr>
            <w:tcW w:w="40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Дистрибутив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val="en-US" w:eastAsia="en-US"/>
              </w:rPr>
              <w:t xml:space="preserve"> ViPNet Client 5 for Linux (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КС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val="en-US" w:eastAsia="en-US"/>
              </w:rPr>
              <w:t>3)</w:t>
            </w:r>
          </w:p>
        </w:tc>
        <w:tc>
          <w:tcPr>
            <w:tcW w:w="694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6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2 459,02</w:t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22%</w:t>
            </w:r>
          </w:p>
        </w:tc>
        <w:tc>
          <w:tcPr>
            <w:tcW w:w="127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3 000,00</w:t>
            </w:r>
          </w:p>
        </w:tc>
        <w:tc>
          <w:tcPr>
            <w:tcW w:w="1249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3 000,00</w:t>
            </w:r>
          </w:p>
        </w:tc>
      </w:tr>
      <w:tr>
        <w:trPr>
          <w:trHeight w:val="300" w:hRule="atLeast"/>
        </w:trPr>
        <w:tc>
          <w:tcPr>
            <w:tcW w:w="8351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Общая стоимость с учетом НДС</w:t>
            </w:r>
          </w:p>
        </w:tc>
        <w:tc>
          <w:tcPr>
            <w:tcW w:w="12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sz w:val="24"/>
                <w:szCs w:val="24"/>
                <w:lang w:eastAsia="en-US"/>
              </w:rPr>
              <w:t>3 000,00</w:t>
            </w:r>
          </w:p>
        </w:tc>
      </w:tr>
      <w:tr>
        <w:trPr>
          <w:trHeight w:val="300" w:hRule="atLeast"/>
        </w:trPr>
        <w:tc>
          <w:tcPr>
            <w:tcW w:w="8351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НДС, 22%</w:t>
            </w:r>
          </w:p>
        </w:tc>
        <w:tc>
          <w:tcPr>
            <w:tcW w:w="125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sz w:val="24"/>
                <w:szCs w:val="24"/>
                <w:lang w:eastAsia="en-US"/>
              </w:rPr>
              <w:t>540,98</w:t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ind w:firstLine="567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ind w:firstLine="567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142" w:type="dxa"/>
        <w:tblBorders/>
        <w:tblCellMar>
          <w:top w:w="0" w:type="dxa"/>
          <w:left w:w="142" w:type="dxa"/>
          <w:bottom w:w="0" w:type="dxa"/>
          <w:right w:w="142" w:type="dxa"/>
        </w:tblCellMar>
        <w:tblLook w:noVBand="0" w:val="0000" w:noHBand="0" w:lastColumn="0" w:firstColumn="0" w:lastRow="0" w:firstRow="0"/>
      </w:tblPr>
      <w:tblGrid>
        <w:gridCol w:w="4943"/>
        <w:gridCol w:w="5121"/>
      </w:tblGrid>
      <w:tr>
        <w:trPr/>
        <w:tc>
          <w:tcPr>
            <w:tcW w:w="4943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Поставщик:</w:t>
            </w:r>
          </w:p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121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ГУФССП России по Кемеровской области — Кузбассу</w:t>
            </w:r>
          </w:p>
        </w:tc>
      </w:tr>
      <w:tr>
        <w:trPr/>
        <w:tc>
          <w:tcPr>
            <w:tcW w:w="4943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21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ГУФССП России по Кемеровской области — Кузбассу — заместитель главного судебного пристава Кемеровской области - Кузбасса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А.О. Сальников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spacing w:before="0" w:after="0"/>
        <w:ind w:firstLine="567"/>
        <w:jc w:val="right"/>
        <w:rPr>
          <w:b/>
          <w:b/>
          <w:sz w:val="22"/>
          <w:szCs w:val="22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t xml:space="preserve">Приложение № 2 к Договору поставки </w:t>
      </w:r>
    </w:p>
    <w:p>
      <w:pPr>
        <w:pStyle w:val="Normal"/>
        <w:ind w:firstLine="567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Сублицензионный договор 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на передачу права использования программ для ЭВМ</w:t>
      </w:r>
    </w:p>
    <w:p>
      <w:pPr>
        <w:pStyle w:val="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«Лицензиат»,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лице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одной стороны, и</w:t>
      </w:r>
      <w:r>
        <w:rPr>
          <w:rFonts w:ascii="Times New Roman" w:hAnsi="Times New Roman"/>
          <w:b/>
          <w:bCs/>
          <w:sz w:val="24"/>
          <w:szCs w:val="24"/>
        </w:rPr>
        <w:t xml:space="preserve"> Главное управление Федеральной службы судебных приставов по Кемеровской области-Кузбассу (ГУФССП России по Кемеровской области — Кузбассу)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именуемое в дальнейшем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«Сублицензиат»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в лице заместителя руководителя ГУФССП России по Кемеровской области — Кузбассу — заместителя главного судебного пристава Кемеровской области - Кузбасса Сальникова Артема Олеговича, действующего на основании доверенности от 02.04.2026 № Д-42907/26/47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 другой стороны, совместно именуемые Стороны, заключили настоящий сублицензионный </w:t>
      </w:r>
      <w:r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 нижеследующем:</w:t>
      </w:r>
    </w:p>
    <w:p>
      <w:pPr>
        <w:pStyle w:val="Normal"/>
        <w:spacing w:lineRule="auto" w:line="252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Предмет договора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1.1. Лицензиат обязуется передать Сублицензиату неисключительные права использования Программ для ЭВМ (далее именуемые «Права использования»), указанные в Приложении №1 к Сублицензионному </w:t>
      </w:r>
      <w:r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которое является неотъемлемой частью настоящего сублицензионного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Право использования программ для ЭВМ включает в себя использование соответствующих программ для ЭВМ на территории Российской Федерации путём воспроизведения, ограниченного инсталляцией, копированием и запуском программ для ЭВМ.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Право использования предоставляется Сублицензиату без последующей передачи названного права третьим лицам и/или конечным пользователям. Сублицензиат является конечным пользователем.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1.3. Объем Прав использования, предоставляемый по настоящему </w:t>
      </w:r>
      <w:r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bCs/>
          <w:color w:val="000000"/>
          <w:sz w:val="24"/>
          <w:szCs w:val="24"/>
        </w:rPr>
        <w:t>, может быть ограничен или расширен в отношении конкретных Программ для ЭВМ, что должно быть оформлено соответствующим документом между сторонами.</w:t>
      </w:r>
    </w:p>
    <w:p>
      <w:pPr>
        <w:pStyle w:val="Normal"/>
        <w:ind w:firstLine="567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 Порядок передачи прав использования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2.1. Права использования передаются Сублицензиату </w:t>
      </w:r>
      <w:r>
        <w:rPr>
          <w:rFonts w:ascii="Times New Roman" w:hAnsi="Times New Roman"/>
          <w:bCs/>
          <w:sz w:val="24"/>
          <w:szCs w:val="24"/>
        </w:rPr>
        <w:t xml:space="preserve">посредством электронной почты путем направления файлов лицензий программ для ЭВМ на электронный адрес Сублицензиата: </w:t>
      </w:r>
      <w:r>
        <w:rPr>
          <w:rFonts w:ascii="Times New Roman" w:hAnsi="Times New Roman"/>
          <w:sz w:val="24"/>
          <w:szCs w:val="24"/>
        </w:rPr>
        <w:t>dep911@r42.fssp.gov.ru.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2.2. Права использования передаются Сублицензиату</w:t>
      </w:r>
      <w:r>
        <w:rPr>
          <w:rFonts w:ascii="Times New Roman" w:hAnsi="Times New Roman"/>
          <w:sz w:val="24"/>
          <w:szCs w:val="24"/>
        </w:rPr>
        <w:t xml:space="preserve"> в течение 30 (тридцати) календарных дней </w:t>
      </w:r>
      <w:r>
        <w:rPr>
          <w:rStyle w:val="Docdata"/>
          <w:rFonts w:ascii="Times New Roman" w:hAnsi="Times New Roman"/>
          <w:color w:val="000000"/>
          <w:sz w:val="24"/>
          <w:szCs w:val="24"/>
        </w:rPr>
        <w:t>со дня подписания настоящего Договора.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2.3. В подтверждение передачи прав Стороны подписывают УПД, в котором указываются наименование, количество Программ для ЭВМ. </w:t>
      </w:r>
      <w:r>
        <w:rPr>
          <w:rFonts w:ascii="Times New Roman" w:hAnsi="Times New Roman"/>
          <w:bCs/>
          <w:sz w:val="24"/>
          <w:szCs w:val="24"/>
        </w:rPr>
        <w:t>Право использования программы для ЭВМ считается предоставленным Сублицензиату в момент подписания сторонами УПД.</w:t>
      </w:r>
    </w:p>
    <w:p>
      <w:pPr>
        <w:pStyle w:val="Normal"/>
        <w:widowControl w:val="false"/>
        <w:ind w:firstLine="567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>Проверка наименования, комплектации, иных данных, касающихся предоставляемых прав использования, осуществляется Сублицензиатом в момент предоставления указанных прав. В случае выявления несоответствий Стороны составляют соответствующий акт.</w:t>
      </w:r>
    </w:p>
    <w:p>
      <w:pPr>
        <w:pStyle w:val="Normal"/>
        <w:widowControl w:val="false"/>
        <w:ind w:firstLine="567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>Выявленные несоответствия подлежат устранению Лицензиатом в кратчайший разумный срок.</w:t>
      </w:r>
    </w:p>
    <w:p>
      <w:pPr>
        <w:pStyle w:val="Normal"/>
        <w:widowControl w:val="false"/>
        <w:ind w:firstLine="567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>2.4. Сумма вознаграждения по настоящему Сублицензионному договору выплачивается в размере и в порядке, установленном разделом 2 Договора поставки</w:t>
      </w:r>
      <w:r>
        <w:rPr>
          <w:rFonts w:ascii="Times New Roman" w:hAnsi="Times New Roman"/>
          <w:bCs/>
          <w:color w:val="000000"/>
          <w:sz w:val="24"/>
          <w:szCs w:val="24"/>
        </w:rPr>
        <w:t>. Сумма вознаграждения</w:t>
      </w:r>
      <w:r>
        <w:rPr>
          <w:rFonts w:ascii="Times New Roman" w:hAnsi="Times New Roman"/>
          <w:bCs/>
          <w:sz w:val="24"/>
          <w:szCs w:val="24"/>
        </w:rPr>
        <w:t xml:space="preserve"> составляет </w:t>
      </w:r>
      <w:r>
        <w:rPr>
          <w:rFonts w:ascii="Times New Roman" w:hAnsi="Times New Roman"/>
          <w:b/>
          <w:bCs/>
          <w:sz w:val="24"/>
          <w:szCs w:val="24"/>
        </w:rPr>
        <w:t>9 880 (Девять тысяч восемьсот восемьдесят) рублей 00 копеек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НДС не облагается на основании      пп. 26 п. 2 ст. 149 НК РФ.</w:t>
      </w:r>
    </w:p>
    <w:p>
      <w:pPr>
        <w:pStyle w:val="Normal"/>
        <w:widowControl w:val="false"/>
        <w:ind w:firstLine="567"/>
        <w:jc w:val="both"/>
        <w:rPr>
          <w:bCs/>
          <w:sz w:val="22"/>
          <w:szCs w:val="22"/>
        </w:rPr>
      </w:pPr>
      <w:r>
        <w:rPr>
          <w:rFonts w:ascii="Times New Roman" w:hAnsi="Times New Roman"/>
          <w:bCs/>
          <w:sz w:val="24"/>
          <w:szCs w:val="24"/>
        </w:rPr>
        <w:t xml:space="preserve">2.5. Лицензиат гарантирует и подтверждает, что он обладает всеми законными основаниями для предоставления Сублицензиату права использования программ для ЭВМ по-настоящему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Сублицензионному </w:t>
      </w:r>
      <w:r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bCs/>
          <w:sz w:val="24"/>
          <w:szCs w:val="24"/>
        </w:rPr>
        <w:t>, а также, что на момент предоставления Сублицензиату прав использования они не заложены, не арестованы, не являются предметом исков третьих лиц.</w:t>
      </w:r>
    </w:p>
    <w:p>
      <w:pPr>
        <w:pStyle w:val="Normal"/>
        <w:widowControl w:val="false"/>
        <w:jc w:val="both"/>
        <w:rPr>
          <w:rFonts w:eastAsia="Batang"/>
          <w:sz w:val="22"/>
          <w:szCs w:val="22"/>
          <w:lang w:eastAsia="ko-KR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2.6. </w:t>
      </w:r>
      <w:r>
        <w:rPr>
          <w:rFonts w:eastAsia="Batang" w:ascii="Times New Roman" w:hAnsi="Times New Roman"/>
          <w:sz w:val="24"/>
          <w:szCs w:val="24"/>
          <w:lang w:eastAsia="ko-KR"/>
        </w:rPr>
        <w:t>Сублицензиату известны важнейшие функциональные свойства программ для ЭВМ, предусмотренных настоящим Договором, Сублицензиат несет риск соответствия указанных программ для ЭВМ своим пожеланиям и потребностям. Лицензиат не несет ответственности за какие-либо убытки, возникшие вследствие ненадлежащего использования или невозможности использования программы для ЭВМ не по вине Лицензиата.</w:t>
      </w:r>
    </w:p>
    <w:p>
      <w:pPr>
        <w:pStyle w:val="Normal"/>
        <w:tabs>
          <w:tab w:val="left" w:pos="720" w:leader="none"/>
        </w:tabs>
        <w:ind w:firstLine="567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3. Обязанности сторон</w:t>
      </w:r>
    </w:p>
    <w:p>
      <w:pPr>
        <w:pStyle w:val="Normal"/>
        <w:tabs>
          <w:tab w:val="left" w:pos="720" w:leader="none"/>
        </w:tabs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3.1. Лицензиат обязан: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3.1.1. передать Сублицензиату Права использования в порядке и на условиях, определенных </w:t>
      </w:r>
      <w:r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оказания услуг, настоящим Сублицензионным </w:t>
      </w:r>
      <w:r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3.1.2. после передачи прав использования направить Сублицензиату подписанный со своей стороны УПД в двух подлинных экземплярах.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 Сублицензиат обязан: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3.2.1. оплатить переданные Лицензиатом Права использования на Программы для ЭВМ;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3.2.2. подписать со своей стороны УПД и один экземпляр направить в адрес Лицензиата;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3.2.3. использовать переданные Права на Программы для ЭВМ в пределах, предусмотренных настоящим Сублицензионным </w:t>
      </w:r>
      <w:r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 документацией (при ее наличии), сопровождающей передачу Прав использования и устанавливающей правила использования Программы для ЭВМ;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3.2.4. не осуществлять действий по обходу технических средств защиты, встроенных в Программы для ЭВМ;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3.2.5. обеспечивать конфиденциальность полученной при сотрудничестве с Лицензиатом коммерческой и технической информации.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3.3. По требованию Лицензиата Сублицензиат обязуется осуществить необходимые меры для отмены любой передачи Прав, осуществленной в нарушение требований настоящего Сублицензионного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Если Лицензиат уведомит Сублицензиата о нарушении данных требований любыми лицами, Сублицензиат соглашается приостановить и (или) прекратить распространение Прав использования таким лицам с момента получения уведомления. 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3.4. В случае, если Лицензиат потребует, чтобы Сублицензиат и указанные в п.3.3. настоящего Сублицензионного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лица использовали определенные формы и (или) выполнили дополнительные требования до передачи каких-либо Прав, предоставляемых Сублицензиату в соответствии с настоящим </w:t>
      </w:r>
      <w:r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Сублицензиат соглашается соблюдать требования Лицензиата и требовать от указанных лиц соблюдения требований Лицензиата в качестве условия юридической действительности такой передачи Прав. </w:t>
      </w:r>
    </w:p>
    <w:p>
      <w:pPr>
        <w:pStyle w:val="Normal"/>
        <w:tabs>
          <w:tab w:val="left" w:pos="720" w:leader="none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Срок действия договора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Договор действует по «31» декабря 2026 г.</w:t>
      </w:r>
    </w:p>
    <w:p>
      <w:pPr>
        <w:pStyle w:val="Normal"/>
        <w:tabs>
          <w:tab w:val="left" w:pos="1134" w:leader="none"/>
        </w:tabs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4.2. По истечении срока действия Договора Сублицензиат может продолжать использовать полученную по Договору Программу, если Лицензиат или Правообладатель не направят ему письменное возражение.</w:t>
      </w:r>
    </w:p>
    <w:p>
      <w:pPr>
        <w:pStyle w:val="Normal"/>
        <w:spacing w:lineRule="auto" w:line="252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Заключительные положения</w:t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5.1. По всем вопросам, не урегулированным настоящим Сублицензионным </w:t>
      </w:r>
      <w:r>
        <w:rPr>
          <w:rFonts w:ascii="Times New Roman" w:hAnsi="Times New Roman"/>
          <w:sz w:val="24"/>
          <w:szCs w:val="24"/>
        </w:rPr>
        <w:t>договором,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тороны руководствуются действующим законодательством Российской Федерации.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5.2. В случае нарушения полученной от Лицензиата конфиденциальной информации или нарушения авторских прав, Сублицензиат возмещает все причиненные Лицензиату убытки.</w:t>
      </w:r>
    </w:p>
    <w:p>
      <w:pPr>
        <w:pStyle w:val="Normal"/>
        <w:tabs>
          <w:tab w:val="left" w:pos="709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 Приложения</w:t>
      </w:r>
    </w:p>
    <w:p>
      <w:pPr>
        <w:pStyle w:val="Normal"/>
        <w:tabs>
          <w:tab w:val="left" w:pos="709" w:leader="none"/>
        </w:tabs>
        <w:ind w:firstLine="567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6.1. Неотъемлемыми частями Договора является следующее приложение к Договору:</w:t>
      </w:r>
    </w:p>
    <w:p>
      <w:pPr>
        <w:pStyle w:val="Normal"/>
        <w:tabs>
          <w:tab w:val="left" w:pos="709" w:leader="none"/>
        </w:tabs>
        <w:ind w:firstLine="567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 – Перечень программ для ЭВМ</w:t>
      </w:r>
    </w:p>
    <w:p>
      <w:pPr>
        <w:pStyle w:val="Normal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Подписи сторон</w:t>
      </w:r>
    </w:p>
    <w:p>
      <w:pPr>
        <w:pStyle w:val="Normal"/>
        <w:ind w:firstLine="567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69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35"/>
        <w:gridCol w:w="5033"/>
      </w:tblGrid>
      <w:tr>
        <w:trPr/>
        <w:tc>
          <w:tcPr>
            <w:tcW w:w="4935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Лицензиат</w:t>
            </w:r>
          </w:p>
          <w:p>
            <w:pPr>
              <w:pStyle w:val="Normal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033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Сублицензиат</w:t>
            </w:r>
          </w:p>
          <w:p>
            <w:pPr>
              <w:pStyle w:val="Normal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ГУФССП России по Кемеровской области — Кузбассу</w:t>
            </w:r>
          </w:p>
        </w:tc>
      </w:tr>
      <w:tr>
        <w:trPr>
          <w:trHeight w:val="779" w:hRule="atLeast"/>
        </w:trPr>
        <w:tc>
          <w:tcPr>
            <w:tcW w:w="4935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033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руководителя ГУФССП России по Кемеровской области — Кузбассу — заместитель главного судебного пристава Кемеровской области - Кузбасса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 / А.О. Сальников/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spacing w:before="0" w:after="0"/>
        <w:ind w:firstLine="567"/>
        <w:jc w:val="right"/>
        <w:rPr>
          <w:b/>
          <w:b/>
          <w:sz w:val="22"/>
          <w:szCs w:val="22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t>Приложение №1</w:t>
      </w:r>
    </w:p>
    <w:p>
      <w:pPr>
        <w:pStyle w:val="Normal"/>
        <w:ind w:firstLine="567"/>
        <w:jc w:val="right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к Сублицензионному Договору</w:t>
      </w:r>
    </w:p>
    <w:p>
      <w:pPr>
        <w:pStyle w:val="Normal"/>
        <w:ind w:firstLine="567"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Перечень Программ для ЭВМ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8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4283"/>
        <w:gridCol w:w="722"/>
        <w:gridCol w:w="811"/>
        <w:gridCol w:w="1741"/>
        <w:gridCol w:w="1"/>
        <w:gridCol w:w="1941"/>
      </w:tblGrid>
      <w:tr>
        <w:trPr>
          <w:trHeight w:val="885" w:hRule="atLeast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программ для ЭВМ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единицы, руб.</w:t>
            </w: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Общая стоимость, руб.</w:t>
            </w:r>
          </w:p>
        </w:tc>
      </w:tr>
      <w:tr>
        <w:trPr>
          <w:trHeight w:val="454" w:hRule="atLeast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неисключительного права на использование ПО ViPNet Client 5 for Linux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9 880,00</w:t>
            </w: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9 880,00</w:t>
            </w:r>
          </w:p>
        </w:tc>
      </w:tr>
      <w:tr>
        <w:trPr>
          <w:trHeight w:val="330" w:hRule="atLeast"/>
        </w:trPr>
        <w:tc>
          <w:tcPr>
            <w:tcW w:w="81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9 880,00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567"/>
        <w:jc w:val="both"/>
        <w:rPr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НДС не облагается в соответствии с пп. 26 п. 2 ст. 149 НК РФ.</w:t>
      </w:r>
    </w:p>
    <w:p>
      <w:pPr>
        <w:pStyle w:val="Normal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029"/>
        <w:gridCol w:w="5035"/>
      </w:tblGrid>
      <w:tr>
        <w:trPr/>
        <w:tc>
          <w:tcPr>
            <w:tcW w:w="5029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Лицензиат</w:t>
            </w:r>
          </w:p>
          <w:p>
            <w:pPr>
              <w:pStyle w:val="Normal"/>
              <w:spacing w:lineRule="auto" w:line="276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Сублицензиат</w:t>
            </w:r>
          </w:p>
          <w:p>
            <w:pPr>
              <w:pStyle w:val="Normal"/>
              <w:spacing w:lineRule="auto" w:line="276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ГУФССП России по Кемеровской области — Кузбассу</w:t>
            </w:r>
          </w:p>
        </w:tc>
      </w:tr>
      <w:tr>
        <w:trPr>
          <w:trHeight w:val="779" w:hRule="atLeast"/>
        </w:trPr>
        <w:tc>
          <w:tcPr>
            <w:tcW w:w="5029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035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руководителя ГУФССП России по Кемеровской области — Кузбассу — заместитель главного судебного пристава Кемеровской области - Кузбасса</w:t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_______________________/  А.О. Сальников/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ind w:firstLine="567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707" w:header="0" w:top="567" w:footer="26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ohit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widowControl w:val="false"/>
      <w:spacing w:beforeAutospacing="1" w:afterAutospacing="1"/>
      <w:ind w:firstLine="720"/>
      <w:jc w:val="both"/>
      <w:outlineLvl w:val="0"/>
    </w:pPr>
    <w:rPr>
      <w:rFonts w:ascii="Arial" w:hAnsi="Arial" w:eastAsia="Times New Roman" w:cs="Arial"/>
      <w:b/>
      <w:bCs/>
      <w:sz w:val="21"/>
      <w:szCs w:val="21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basedOn w:val="DefaultParagraphFont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qFormat/>
    <w:rPr>
      <w:vertAlign w:val="superscript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Style13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4" w:customStyle="1">
    <w:name w:val="Нижний колонтитул Знак"/>
    <w:basedOn w:val="DefaultParagraphFont"/>
    <w:qFormat/>
    <w:rPr>
      <w:rFonts w:eastAsia="Calibri"/>
      <w:sz w:val="24"/>
      <w:szCs w:val="24"/>
      <w:lang w:val="ru-RU" w:eastAsia="ru-RU" w:bidi="ar-SA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32" w:customStyle="1">
    <w:name w:val="Основной текст с отступом 3 Знак"/>
    <w:basedOn w:val="DefaultParagraphFont"/>
    <w:qFormat/>
    <w:rPr>
      <w:rFonts w:eastAsia="Calibri"/>
      <w:sz w:val="22"/>
      <w:szCs w:val="24"/>
      <w:lang w:val="ru-RU" w:eastAsia="ru-RU" w:bidi="ar-SA"/>
    </w:rPr>
  </w:style>
  <w:style w:type="character" w:styleId="Blk3" w:customStyle="1">
    <w:name w:val="blk3"/>
    <w:basedOn w:val="DefaultParagraphFont"/>
    <w:qFormat/>
    <w:rPr/>
  </w:style>
  <w:style w:type="character" w:styleId="Style16" w:customStyle="1">
    <w:name w:val="Основной текст_"/>
    <w:basedOn w:val="DefaultParagraphFont"/>
    <w:qFormat/>
    <w:rPr>
      <w:spacing w:val="3"/>
      <w:shd w:fill="FFFFFF" w:val="clear"/>
    </w:rPr>
  </w:style>
  <w:style w:type="character" w:styleId="12" w:customStyle="1">
    <w:name w:val="Основной текст1"/>
    <w:basedOn w:val="Style16"/>
    <w:qFormat/>
    <w:rPr>
      <w:color w:val="000000"/>
      <w:spacing w:val="3"/>
      <w:sz w:val="24"/>
      <w:szCs w:val="24"/>
      <w:shd w:fill="FFFFFF" w:val="clear"/>
      <w:lang w:val="ru-RU" w:eastAsia="ru-RU" w:bidi="ru-RU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Pr>
      <w:rFonts w:eastAsia="Calibri"/>
    </w:rPr>
  </w:style>
  <w:style w:type="character" w:styleId="Style18" w:customStyle="1">
    <w:name w:val="Тема примечания Знак"/>
    <w:basedOn w:val="Style17"/>
    <w:qFormat/>
    <w:rPr>
      <w:rFonts w:eastAsia="Calibri"/>
      <w:b/>
      <w:bCs/>
    </w:rPr>
  </w:style>
  <w:style w:type="character" w:styleId="Style19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23" w:customStyle="1">
    <w:name w:val="Основной текст (2)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6"/>
      <w:sz w:val="18"/>
      <w:szCs w:val="18"/>
      <w:u w:val="single"/>
      <w:lang w:val="ru-RU" w:eastAsia="ru-RU" w:bidi="ru-RU"/>
    </w:rPr>
  </w:style>
  <w:style w:type="character" w:styleId="0pt" w:customStyle="1">
    <w:name w:val="Основной текст + Курсив;Интервал 0 pt"/>
    <w:basedOn w:val="Style16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sz w:val="18"/>
      <w:szCs w:val="18"/>
      <w:shd w:fill="FFFFFF" w:val="clear"/>
      <w:lang w:val="ru-RU" w:eastAsia="ru-RU" w:bidi="ru-RU"/>
    </w:rPr>
  </w:style>
  <w:style w:type="character" w:styleId="85pt0pt" w:customStyle="1">
    <w:name w:val="Основной текст + 8;5 pt;Интервал 0 pt"/>
    <w:basedOn w:val="Style16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12"/>
      <w:sz w:val="17"/>
      <w:szCs w:val="17"/>
      <w:shd w:fill="FFFFFF" w:val="clear"/>
      <w:lang w:val="ru-RU" w:eastAsia="ru-RU" w:bidi="ru-RU"/>
    </w:rPr>
  </w:style>
  <w:style w:type="character" w:styleId="Wmicallto" w:customStyle="1">
    <w:name w:val="wmi-callto"/>
    <w:basedOn w:val="DefaultParagraphFont"/>
    <w:qFormat/>
    <w:rPr/>
  </w:style>
  <w:style w:type="character" w:styleId="Style20" w:customStyle="1">
    <w:name w:val="Верхний колонтитул Знак"/>
    <w:basedOn w:val="DefaultParagraphFont"/>
    <w:uiPriority w:val="99"/>
    <w:qFormat/>
    <w:rPr>
      <w:sz w:val="28"/>
      <w:szCs w:val="28"/>
    </w:rPr>
  </w:style>
  <w:style w:type="character" w:styleId="Style21" w:customStyle="1">
    <w:name w:val="Абзац списка Знак"/>
    <w:basedOn w:val="DefaultParagraphFont"/>
    <w:uiPriority w:val="34"/>
    <w:qFormat/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22" w:customStyle="1">
    <w:name w:val="Основной текст Знак"/>
    <w:basedOn w:val="DefaultParagraphFont"/>
    <w:qFormat/>
    <w:rPr>
      <w:rFonts w:ascii="Arial" w:hAnsi="Arial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4">
    <w:name w:val="Body Text"/>
    <w:basedOn w:val="Normal"/>
    <w:pPr>
      <w:widowControl w:val="false"/>
      <w:spacing w:before="0" w:after="120"/>
    </w:pPr>
    <w:rPr>
      <w:rFonts w:ascii="Arial" w:hAnsi="Arial" w:eastAsia="Times New Roman"/>
      <w:sz w:val="18"/>
      <w:szCs w:val="18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Lohit Devanagari"/>
      <w:color w:val="auto"/>
      <w:kern w:val="0"/>
      <w:sz w:val="24"/>
      <w:szCs w:val="20"/>
      <w:lang w:val="ru-RU" w:eastAsia="ru-RU" w:bidi="ar-SA"/>
    </w:rPr>
  </w:style>
  <w:style w:type="paragraph" w:styleId="Style2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9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30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31">
    <w:name w:val="Endnote Text"/>
    <w:basedOn w:val="Normal"/>
    <w:uiPriority w:val="99"/>
    <w:semiHidden/>
    <w:unhideWhenUsed/>
    <w:pPr/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32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Lohit Devanagari"/>
      <w:color w:val="auto"/>
      <w:kern w:val="0"/>
      <w:sz w:val="24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33">
    <w:name w:val="Колонтитул"/>
    <w:basedOn w:val="Normal"/>
    <w:qFormat/>
    <w:pPr/>
    <w:rPr/>
  </w:style>
  <w:style w:type="paragraph" w:styleId="Style34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qFormat/>
    <w:pPr>
      <w:widowControl w:val="false"/>
      <w:ind w:firstLine="539"/>
      <w:jc w:val="both"/>
    </w:pPr>
    <w:rPr>
      <w:sz w:val="22"/>
    </w:rPr>
  </w:style>
  <w:style w:type="paragraph" w:styleId="Style35" w:customStyle="1">
    <w:name w:val="Знак"/>
    <w:basedOn w:val="Normal"/>
    <w:qFormat/>
    <w:pPr>
      <w:widowControl w:val="false"/>
      <w:spacing w:lineRule="exact" w:line="240" w:before="0" w:after="160"/>
      <w:ind w:firstLine="720"/>
      <w:jc w:val="right"/>
    </w:pPr>
    <w:rPr>
      <w:rFonts w:ascii="Arial" w:hAnsi="Arial" w:eastAsia="Times New Roman" w:cs="Arial"/>
      <w:sz w:val="20"/>
      <w:szCs w:val="20"/>
      <w:lang w:val="en-GB" w:eastAsia="en-US"/>
    </w:rPr>
  </w:style>
  <w:style w:type="paragraph" w:styleId="25" w:customStyle="1">
    <w:name w:val="Основной текст2"/>
    <w:basedOn w:val="Normal"/>
    <w:qFormat/>
    <w:pPr>
      <w:widowControl w:val="false"/>
      <w:shd w:val="clear" w:color="auto" w:fill="FFFFFF"/>
      <w:spacing w:lineRule="exact" w:line="322" w:before="420" w:after="0"/>
    </w:pPr>
    <w:rPr>
      <w:rFonts w:eastAsia="Times New Roman"/>
      <w:spacing w:val="3"/>
      <w:sz w:val="20"/>
      <w:szCs w:val="20"/>
    </w:rPr>
  </w:style>
  <w:style w:type="paragraph" w:styleId="Style36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/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83" w:customStyle="1">
    <w:name w:val="Основной текст8"/>
    <w:basedOn w:val="Normal"/>
    <w:qFormat/>
    <w:pPr>
      <w:widowControl w:val="false"/>
      <w:shd w:val="clear" w:color="auto" w:fill="FFFFFF"/>
      <w:spacing w:lineRule="exact" w:line="259" w:before="180" w:after="0"/>
      <w:ind w:hanging="740"/>
      <w:jc w:val="both"/>
    </w:pPr>
    <w:rPr>
      <w:rFonts w:eastAsia="Times New Roman"/>
      <w:spacing w:val="8"/>
      <w:sz w:val="18"/>
      <w:szCs w:val="18"/>
      <w:lang w:eastAsia="en-US"/>
    </w:rPr>
  </w:style>
  <w:style w:type="paragraph" w:styleId="Style37">
    <w:name w:val="Header"/>
    <w:basedOn w:val="Normal"/>
    <w:uiPriority w:val="99"/>
    <w:pPr>
      <w:widowControl w:val="false"/>
      <w:tabs>
        <w:tab w:val="center" w:pos="4536" w:leader="none"/>
        <w:tab w:val="right" w:pos="9072" w:leader="none"/>
      </w:tabs>
      <w:ind w:firstLine="709"/>
      <w:jc w:val="both"/>
    </w:pPr>
    <w:rPr>
      <w:rFonts w:eastAsia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1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37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9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0">
    <w:name w:val="Plain Table 3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1">
    <w:name w:val="Plain Table 4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2">
    <w:name w:val="Plain Table 5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4">
    <w:name w:val="Grid Table 1 Light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5">
    <w:name w:val="Grid Table 1 Light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6">
    <w:name w:val="Grid Table 1 Light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7">
    <w:name w:val="Grid Table 1 Light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8">
    <w:name w:val="Grid Table 1 Light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49">
    <w:name w:val="Grid Table 1 Light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1">
    <w:name w:val="Grid Table 2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2">
    <w:name w:val="Grid Table 2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3">
    <w:name w:val="Grid Table 2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4">
    <w:name w:val="Grid Table 2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5">
    <w:name w:val="Grid Table 2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6">
    <w:name w:val="Grid Table 2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8">
    <w:name w:val="Grid Table 3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9">
    <w:name w:val="Grid Table 3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0">
    <w:name w:val="Grid Table 3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1">
    <w:name w:val="Grid Table 3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2">
    <w:name w:val="Grid Table 3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3">
    <w:name w:val="Grid Table 3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65">
    <w:name w:val="Grid Table 4 - Accent 1"/>
    <w:basedOn w:val="71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766">
    <w:name w:val="Grid Table 4 - Accent 2"/>
    <w:basedOn w:val="71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767">
    <w:name w:val="Grid Table 4 - Accent 3"/>
    <w:basedOn w:val="71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768">
    <w:name w:val="Grid Table 4 - Accent 4"/>
    <w:basedOn w:val="71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769">
    <w:name w:val="Grid Table 4 - Accent 5"/>
    <w:basedOn w:val="71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70">
    <w:name w:val="Grid Table 4 - Accent 6"/>
    <w:basedOn w:val="71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72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773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774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775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776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777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778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79">
    <w:name w:val="Grid Table 6 Colorful - Accent 1"/>
    <w:basedOn w:val="71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80">
    <w:name w:val="Grid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81">
    <w:name w:val="Grid Table 6 Colorful - Accent 3"/>
    <w:basedOn w:val="71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82">
    <w:name w:val="Grid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83">
    <w:name w:val="Grid Table 6 Colorful - Accent 5"/>
    <w:basedOn w:val="71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84">
    <w:name w:val="Grid Table 6 Colorful - Accent 6"/>
    <w:basedOn w:val="71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85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86">
    <w:name w:val="Grid Table 7 Colorful - Accent 1"/>
    <w:basedOn w:val="71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87">
    <w:name w:val="Grid Table 7 Colorful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88">
    <w:name w:val="Grid Table 7 Colorful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89">
    <w:name w:val="Grid Table 7 Colorful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0">
    <w:name w:val="Grid Table 7 Colorful - Accent 5"/>
    <w:basedOn w:val="71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91">
    <w:name w:val="Grid Table 7 Colorful - Accent 6"/>
    <w:basedOn w:val="71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List Table 1 Light"/>
    <w:basedOn w:val="713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3">
    <w:name w:val="List Table 1 Light - Accent 1"/>
    <w:basedOn w:val="713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4">
    <w:name w:val="List Table 1 Light - Accent 2"/>
    <w:basedOn w:val="713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5">
    <w:name w:val="List Table 1 Light - Accent 3"/>
    <w:basedOn w:val="713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6">
    <w:name w:val="List Table 1 Light - Accent 4"/>
    <w:basedOn w:val="713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7">
    <w:name w:val="List Table 1 Light - Accent 5"/>
    <w:basedOn w:val="713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8">
    <w:name w:val="List Table 1 Light - Accent 6"/>
    <w:basedOn w:val="713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00">
    <w:name w:val="List Table 2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01">
    <w:name w:val="List Table 2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02">
    <w:name w:val="List Table 2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03">
    <w:name w:val="List Table 2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04">
    <w:name w:val="List Table 2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05">
    <w:name w:val="List Table 2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7">
    <w:name w:val="List Table 3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8">
    <w:name w:val="List Table 3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09">
    <w:name w:val="List Table 3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0">
    <w:name w:val="List Table 3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1">
    <w:name w:val="List Table 3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2">
    <w:name w:val="List Table 3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4">
    <w:name w:val="List Table 4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5">
    <w:name w:val="List Table 4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6">
    <w:name w:val="List Table 4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7">
    <w:name w:val="List Table 4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8">
    <w:name w:val="List Table 4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9">
    <w:name w:val="List Table 4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1">
    <w:name w:val="List Table 5 Dark - Accent 1"/>
    <w:basedOn w:val="71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2">
    <w:name w:val="List Table 5 Dark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3">
    <w:name w:val="List Table 5 Dark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4">
    <w:name w:val="List Table 5 Dark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5">
    <w:name w:val="List Table 5 Dark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6">
    <w:name w:val="List Table 5 Dark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27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28">
    <w:name w:val="List Table 6 Colorful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29">
    <w:name w:val="List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30">
    <w:name w:val="List Table 6 Colorful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31">
    <w:name w:val="List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32">
    <w:name w:val="List Table 6 Colorful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33">
    <w:name w:val="List Table 6 Colorful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834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35">
    <w:name w:val="List Table 7 Colorful - Accent 1"/>
    <w:basedOn w:val="71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36">
    <w:name w:val="List Table 7 Colorful - Accent 2"/>
    <w:basedOn w:val="71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37">
    <w:name w:val="List Table 7 Colorful - Accent 3"/>
    <w:basedOn w:val="71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38">
    <w:name w:val="List Table 7 Colorful - Accent 4"/>
    <w:basedOn w:val="71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39">
    <w:name w:val="List Table 7 Colorful - Accent 5"/>
    <w:basedOn w:val="71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40">
    <w:name w:val="List Table 7 Colorful - Accent 6"/>
    <w:basedOn w:val="71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41">
    <w:name w:val="Lined - Accent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42">
    <w:name w:val="Lined - Accent 1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43">
    <w:name w:val="Lined - Accent 2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44">
    <w:name w:val="Lined - Accent 3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45">
    <w:name w:val="Lined - Accent 4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46">
    <w:name w:val="Lined - Accent 5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47">
    <w:name w:val="Lined - Accent 6"/>
    <w:basedOn w:val="71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48">
    <w:name w:val="Bordered &amp; Lined - Accent"/>
    <w:basedOn w:val="713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49">
    <w:name w:val="Bordered &amp; Lined - Accent 1"/>
    <w:basedOn w:val="713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850">
    <w:name w:val="Bordered &amp; Lined - Accent 2"/>
    <w:basedOn w:val="713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851">
    <w:name w:val="Bordered &amp; Lined - Accent 3"/>
    <w:basedOn w:val="713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852">
    <w:name w:val="Bordered &amp; Lined - Accent 4"/>
    <w:basedOn w:val="713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853">
    <w:name w:val="Bordered &amp; Lined - Accent 5"/>
    <w:basedOn w:val="713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854">
    <w:name w:val="Bordered &amp; Lined - Accent 6"/>
    <w:basedOn w:val="713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855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56">
    <w:name w:val="Bordered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57">
    <w:name w:val="Bordered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58">
    <w:name w:val="Bordered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59">
    <w:name w:val="Bordered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60">
    <w:name w:val="Bordered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61">
    <w:name w:val="Bordered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906">
    <w:name w:val="Table Grid"/>
    <w:basedOn w:val="713"/>
    <w:uiPriority w:val="3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LibreOffice/6.0.6.1$Linux_X86_64 LibreOffice_project/00$Build-1</Application>
  <Pages>11</Pages>
  <Words>3445</Words>
  <Characters>24396</Characters>
  <CharactersWithSpaces>27971</CharactersWithSpaces>
  <Paragraphs>227</Paragraphs>
  <Company>Administraciya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2026-03-17T08:49:00Z</dcterms:created>
  <dc:creator>Медведь Светлана</dc:creator>
  <dc:description/>
  <dc:language>ru-RU</dc:language>
  <cp:lastModifiedBy/>
  <cp:lastPrinted>2026-06-08T14:46:47Z</cp:lastPrinted>
  <dcterms:modified xsi:type="dcterms:W3CDTF">2026-06-16T11:15:11Z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Administraciya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