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ОПИСАНИЕ ОБЪЕКТА ЗАКУПКИ</w:t>
      </w:r>
    </w:p>
    <w:p w14:paraId="02000000">
      <w:pPr>
        <w:widowControl w:val="0"/>
        <w:tabs>
          <w:tab w:leader="none" w:pos="709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Техническое задание на поставку сетевых контроллеров</w:t>
      </w:r>
    </w:p>
    <w:p w14:paraId="03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</w:p>
    <w:p w14:paraId="04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Общие сведения</w:t>
      </w:r>
    </w:p>
    <w:p w14:paraId="05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1.1. Объект закупки: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sz w:val="24"/>
        </w:rPr>
        <w:t>сетевой контроллер (далее – Товар).</w:t>
      </w:r>
    </w:p>
    <w:p w14:paraId="06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1.2. Срок поставки Товара</w:t>
      </w:r>
    </w:p>
    <w:p w14:paraId="07000000">
      <w:pPr>
        <w:widowControl w:val="0"/>
        <w:tabs>
          <w:tab w:leader="none" w:pos="7088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передачи Товара: в течение 2</w:t>
      </w:r>
      <w:r>
        <w:rPr>
          <w:rFonts w:ascii="Times New Roman" w:hAnsi="Times New Roman"/>
          <w:sz w:val="24"/>
        </w:rPr>
        <w:t xml:space="preserve"> (двух</w:t>
      </w:r>
      <w:r>
        <w:rPr>
          <w:rFonts w:ascii="Times New Roman" w:hAnsi="Times New Roman"/>
          <w:sz w:val="24"/>
        </w:rPr>
        <w:t xml:space="preserve">) рабочих дней </w:t>
      </w:r>
      <w:r>
        <w:rPr>
          <w:rFonts w:ascii="Times New Roman" w:hAnsi="Times New Roman"/>
          <w:sz w:val="24"/>
        </w:rPr>
        <w:t>от даты</w:t>
      </w:r>
      <w:r>
        <w:rPr>
          <w:rFonts w:ascii="Times New Roman" w:hAnsi="Times New Roman"/>
          <w:sz w:val="24"/>
        </w:rPr>
        <w:t xml:space="preserve"> заключения контракта.</w:t>
      </w:r>
    </w:p>
    <w:p w14:paraId="08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1.3. Место поставки Товара</w:t>
      </w:r>
    </w:p>
    <w:p w14:paraId="09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Поставка Товара осуществляется по адресу: г. Москва, Ермолаевский пер., </w:t>
      </w:r>
      <w:r>
        <w:rPr>
          <w:rFonts w:ascii="Times New Roman" w:hAnsi="Times New Roman"/>
          <w:sz w:val="24"/>
        </w:rPr>
        <w:t xml:space="preserve">д. 3. </w:t>
      </w:r>
    </w:p>
    <w:p w14:paraId="0A000000">
      <w:pPr>
        <w:keepNext w:val="1"/>
        <w:widowControl w:val="0"/>
        <w:spacing w:after="0" w:line="240" w:lineRule="auto"/>
        <w:ind w:firstLine="851" w:left="0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Требования к поставке товара</w:t>
      </w:r>
    </w:p>
    <w:p w14:paraId="0B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Доставка, разгрузка Товара осуществляется силами и средствами Поставщика.</w:t>
      </w:r>
    </w:p>
    <w:p w14:paraId="0C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Доставка Товара производится Поставщиком в согласованные между Заказчиком и Поставщиком рабочие дни Заказчика: с понедельника по четверг с 10:00 до 17:00 часов, по пятницам – с 10:00 до 15:00 часов по московскому времени, на условиях контракта и настоящего Технического задания. Поставщик должен учитывать режим работы Заказчика при поставке Товара.</w:t>
      </w:r>
    </w:p>
    <w:p w14:paraId="0D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</w:p>
    <w:p w14:paraId="0E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2.1. Требования к качеству поставляемого Товара</w:t>
      </w:r>
    </w:p>
    <w:p w14:paraId="0F000000">
      <w:pPr>
        <w:widowControl w:val="0"/>
        <w:tabs>
          <w:tab w:leader="none" w:pos="7088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быть новым (товаром, который не был в употреблении, в том числе который не был восстановлен, не были восстановлены потребительские свойства) и на него должна распространяться полная гарантия производителя.</w:t>
      </w:r>
    </w:p>
    <w:p w14:paraId="10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Функциональные, технические и качественные характеристики, эксплуатационные характеристики поставляемого Товара должны соответствовать требованиям настоящего Технического задания.</w:t>
      </w:r>
    </w:p>
    <w:p w14:paraId="11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1"/>
        <w:tblW w:type="auto" w:w="0"/>
        <w:tblInd w:type="dxa" w:w="-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1984"/>
        <w:gridCol w:w="5812"/>
        <w:gridCol w:w="940"/>
        <w:gridCol w:w="992"/>
      </w:tblGrid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  <w:p w14:paraId="13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товара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Ед. изм.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Кол-во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spacing w:after="0"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Сетевой контроллер </w:t>
            </w:r>
          </w:p>
          <w:p w14:paraId="1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ОКПД2: 26.30.11.130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Назначение: для управления доступом через точки доступа путем считывания кодов, проверки прав и ограничений доступа;</w:t>
            </w:r>
          </w:p>
          <w:p w14:paraId="1C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внешних считывателей электронных идентификаторов (ЭИ): 2;</w:t>
            </w:r>
          </w:p>
          <w:p w14:paraId="1D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подключаемых считывателей: </w:t>
            </w:r>
            <w:r>
              <w:rPr>
                <w:rFonts w:ascii="Times New Roman" w:hAnsi="Times New Roman"/>
              </w:rPr>
              <w:t xml:space="preserve">Touch Memory, Wiegand, ABA TRACK II; </w:t>
            </w:r>
          </w:p>
          <w:p w14:paraId="1E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светодиодами считывателя: </w:t>
            </w:r>
            <w:r>
              <w:rPr>
                <w:rFonts w:ascii="Times New Roman" w:hAnsi="Times New Roman"/>
              </w:rPr>
              <w:t>двумя светодиодами (зеленым и красным). С</w:t>
            </w:r>
            <w:r>
              <w:rPr>
                <w:rFonts w:ascii="Times New Roman" w:hAnsi="Times New Roman"/>
              </w:rPr>
              <w:t>игнал управления "+5В КМОП" с ограничением тока при прямом подключении светодиодов на уровне 10 мА;</w:t>
            </w:r>
          </w:p>
          <w:p w14:paraId="1F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звуковым сигнализатором считывателя: </w:t>
            </w:r>
            <w:r>
              <w:rPr>
                <w:rFonts w:ascii="Times New Roman" w:hAnsi="Times New Roman"/>
              </w:rPr>
              <w:t xml:space="preserve">есть, </w:t>
            </w:r>
            <w:r>
              <w:rPr>
                <w:rFonts w:ascii="Times New Roman" w:hAnsi="Times New Roman"/>
              </w:rPr>
              <w:t>сигнал управления "+5В КМОП";</w:t>
            </w:r>
          </w:p>
          <w:p w14:paraId="20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памяти ЭИ (ключей Touch Memory или Proximity-карт): 32 768;</w:t>
            </w:r>
          </w:p>
          <w:p w14:paraId="21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уровней доступа: 100;</w:t>
            </w:r>
          </w:p>
          <w:p w14:paraId="22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окон времени (временных графиков): 100; </w:t>
            </w:r>
          </w:p>
          <w:p w14:paraId="23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выходов (электромагнитные реле): 2;</w:t>
            </w:r>
          </w:p>
          <w:p w14:paraId="24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Максимальный коммутируемый ток: 7А;</w:t>
            </w:r>
          </w:p>
          <w:p w14:paraId="25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коммутируемое напряжение: 30 В;</w:t>
            </w:r>
          </w:p>
          <w:p w14:paraId="26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Питание прибора: </w:t>
            </w:r>
            <w:r>
              <w:rPr>
                <w:rFonts w:ascii="Times New Roman" w:hAnsi="Times New Roman"/>
              </w:rPr>
              <w:t>от внешнего источника постоянного тока;</w:t>
            </w:r>
          </w:p>
          <w:p w14:paraId="27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 питания: </w:t>
            </w:r>
            <w:r>
              <w:rPr>
                <w:rFonts w:ascii="Times New Roman" w:hAnsi="Times New Roman"/>
              </w:rPr>
              <w:t>10,2 ÷ 15,0 В постоянного тока;</w:t>
            </w:r>
          </w:p>
          <w:p w14:paraId="28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Потребляемый ток: </w:t>
            </w:r>
            <w:r>
              <w:rPr>
                <w:rFonts w:ascii="Times New Roman" w:hAnsi="Times New Roman"/>
              </w:rPr>
              <w:t>не более 120 мА;</w:t>
            </w:r>
          </w:p>
          <w:p w14:paraId="29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Готовность к работе после включения питания: </w:t>
            </w:r>
            <w:r>
              <w:rPr>
                <w:rFonts w:ascii="Times New Roman" w:hAnsi="Times New Roman"/>
              </w:rPr>
              <w:t>не более 5 с;</w:t>
            </w:r>
          </w:p>
          <w:p w14:paraId="2A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Энергонезависимый буфер событий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32 768;</w:t>
            </w:r>
          </w:p>
          <w:p w14:paraId="2B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радиальных неадресных шлейфов охранной сигнализации (ШС): </w:t>
            </w:r>
            <w:r>
              <w:rPr>
                <w:rFonts w:ascii="Times New Roman" w:hAnsi="Times New Roman"/>
              </w:rPr>
              <w:t>2 (4 при использовании цепей датчиков открывания двери в качестве ШС);</w:t>
            </w:r>
          </w:p>
          <w:p w14:paraId="2C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Макс. сопротивление проводов ШС без учета оконечного сопротивления: </w:t>
            </w:r>
            <w:r>
              <w:rPr>
                <w:rFonts w:ascii="Times New Roman" w:hAnsi="Times New Roman"/>
              </w:rPr>
              <w:t>1 кОм;</w:t>
            </w:r>
          </w:p>
          <w:p w14:paraId="2D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Неадресные охранные извещатели с релейным выходом: </w:t>
            </w:r>
            <w:r>
              <w:rPr>
                <w:rFonts w:ascii="Times New Roman" w:hAnsi="Times New Roman"/>
              </w:rPr>
              <w:t>без ограничений;</w:t>
            </w:r>
          </w:p>
          <w:p w14:paraId="2E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Датчик вскрытия корпуса: </w:t>
            </w:r>
            <w:r>
              <w:rPr>
                <w:rFonts w:ascii="Times New Roman" w:hAnsi="Times New Roman"/>
              </w:rPr>
              <w:t>микроконтакт;</w:t>
            </w:r>
          </w:p>
          <w:p w14:paraId="2F000000">
            <w:pPr>
              <w:pStyle w:val="Style_2"/>
              <w:widowControl w:val="1"/>
              <w:spacing w:after="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 монтажа: </w:t>
            </w:r>
            <w:r>
              <w:rPr>
                <w:rFonts w:ascii="Times New Roman" w:hAnsi="Times New Roman"/>
              </w:rPr>
              <w:t>настенный навесной или на DIN-рейку;</w:t>
            </w:r>
          </w:p>
          <w:p w14:paraId="3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Степень защиты корпуса: </w:t>
            </w:r>
            <w:r>
              <w:rPr>
                <w:rFonts w:ascii="Times New Roman" w:hAnsi="Times New Roman"/>
              </w:rPr>
              <w:t>IP30.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68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Требования к упаковке Товара</w:t>
      </w:r>
    </w:p>
    <w:p w14:paraId="69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Товар поставляется в упаковке, обеспечивающей его сохранность при транспортировке, защищающей от повреждений и воздействия внешней среды. Маркировка товара </w:t>
      </w:r>
      <w:r>
        <w:rPr>
          <w:rFonts w:ascii="Times New Roman" w:hAnsi="Times New Roman"/>
          <w:sz w:val="24"/>
        </w:rPr>
        <w:t xml:space="preserve">(при наличии) </w:t>
      </w:r>
      <w:r>
        <w:rPr>
          <w:rFonts w:ascii="Times New Roman" w:hAnsi="Times New Roman"/>
          <w:sz w:val="24"/>
        </w:rPr>
        <w:t>должна быть нанесена хорошо читаемым шрифтом, на русском языке и содержать информацию согласно действующему законодательству Российской Федерации. Упаковки не должны иметь нарушений целостности, деформации и иных повреждений.</w:t>
      </w:r>
    </w:p>
    <w:p w14:paraId="6A000000">
      <w:pPr>
        <w:keepNext w:val="1"/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b w:val="1"/>
          <w:sz w:val="25"/>
        </w:rPr>
      </w:pPr>
    </w:p>
    <w:p w14:paraId="6B000000">
      <w:pPr>
        <w:keepNext w:val="1"/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 Требования к гарантийному сроку и объему предоставления гарантии качества</w:t>
      </w:r>
    </w:p>
    <w:p w14:paraId="6C000000">
      <w:pPr>
        <w:keepNext w:val="1"/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Поставщик гарантирует, что поставляемый Товар изготовлен в соответствии со стандартами и техническими характеристиками, указанными изготовителем, соответствует требованиям настоящего Технического задания, качество и безопасность поставляемого товара соответствует требованиям, установленным законодательством Российской Федерации, нормативными правовыми актами, что подтверждается </w:t>
      </w:r>
      <w:r>
        <w:rPr>
          <w:rFonts w:ascii="Times New Roman" w:hAnsi="Times New Roman"/>
          <w:color w:val="000000"/>
          <w:sz w:val="24"/>
        </w:rPr>
        <w:t>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в случае, если товар подлежит обязательной сертификации.</w:t>
      </w:r>
    </w:p>
    <w:p w14:paraId="6D000000">
      <w:pPr>
        <w:keepNext w:val="1"/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Поставщик принимает на себя гарантийные обязательства в отношении поставленного Товара в соответствии с условиями настоящего Технического задания.</w:t>
      </w:r>
    </w:p>
    <w:p w14:paraId="6E000000">
      <w:pPr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 срок на поставленный Товар должен составлять не менее 12 (двенадцати) месяцев с даты подписания Сторонами универсального передаточного документа или товарной накладной.</w:t>
      </w:r>
    </w:p>
    <w:p w14:paraId="6F000000">
      <w:pPr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и заменить товар ненадлежащего качества новым, </w:t>
      </w:r>
      <w:r>
        <w:rPr>
          <w:rFonts w:ascii="Times New Roman" w:hAnsi="Times New Roman"/>
          <w:sz w:val="24"/>
        </w:rPr>
        <w:t>в срок не более 5 (пяти) рабочих дней с момента получения письменного уведомления от Заказчика (в том числе посредством электронной почты)</w:t>
      </w:r>
      <w:r>
        <w:rPr>
          <w:rFonts w:ascii="Times New Roman" w:hAnsi="Times New Roman"/>
          <w:sz w:val="24"/>
        </w:rPr>
        <w:t>. Гарантийный срок на товар в данном случае продлевается на период устранения дефектов.</w:t>
      </w:r>
    </w:p>
    <w:p w14:paraId="70000000">
      <w:pPr>
        <w:widowControl w:val="0"/>
        <w:tabs>
          <w:tab w:leader="none" w:pos="0" w:val="left"/>
        </w:tabs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14:paraId="71000000">
      <w:pPr>
        <w:widowControl w:val="0"/>
        <w:spacing w:after="0" w:line="240" w:lineRule="auto"/>
        <w:ind w:firstLine="143" w:left="70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 </w:t>
      </w:r>
      <w:r>
        <w:rPr>
          <w:rFonts w:ascii="Times New Roman" w:hAnsi="Times New Roman"/>
          <w:b w:val="1"/>
          <w:sz w:val="24"/>
        </w:rPr>
        <w:t>Порядок приемки и оплаты Товара</w:t>
      </w:r>
    </w:p>
    <w:p w14:paraId="72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Одновременно с Товаром Поставщик передает Заказчику следующие документы:</w:t>
      </w:r>
    </w:p>
    <w:p w14:paraId="73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товарную накладную формы № ТОРГ-12 или универсальный передаточный документ </w:t>
      </w:r>
      <w:r>
        <w:rPr>
          <w:rFonts w:ascii="Times New Roman" w:hAnsi="Times New Roman"/>
          <w:sz w:val="24"/>
        </w:rPr>
        <w:t>в соответствии с письмом ФНС России от 21 октября 2013 г. № ММВ-20-3/96</w:t>
      </w:r>
      <w:r>
        <w:rPr>
          <w:rFonts w:ascii="Times New Roman" w:hAnsi="Times New Roman"/>
          <w:sz w:val="24"/>
        </w:rPr>
        <w:t xml:space="preserve"> (далее – УПД) в 2-х экземплярах (один экземпляр – для Заказчика и один экземпляр – для Поставщика);</w:t>
      </w:r>
    </w:p>
    <w:p w14:paraId="74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счет на оплату;</w:t>
      </w:r>
    </w:p>
    <w:p w14:paraId="75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иные относящиеся к Товару документы (при наличии).</w:t>
      </w:r>
    </w:p>
    <w:p w14:paraId="76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Приемка Товара осуществляется в течение 20 (двадцати) рабочих дней с момента поставки Товара путем подписания Сторонами универсального передаточного документа или товарной накладной с приложением иных относящихся к Товару документов (при наличии). В случае обнаружения каких-либо недостатков в количестве, качестве и т.д. Заказчик составляет мотивированный отказ от подписания универсального передаточного документа или товарной накладной с указанием сроков устранения обнаруженных недостатков.</w:t>
      </w:r>
    </w:p>
    <w:p w14:paraId="77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Оплата производится на основании подписанного Сторонами универсального передаточного документа или товарной накладной и предоставления Поставщиком всех относящихся к Товару документов. </w:t>
      </w:r>
    </w:p>
    <w:p w14:paraId="78000000">
      <w:pPr>
        <w:pStyle w:val="Style_3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8" w:gutter="0" w:header="708" w:left="850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st Paragraph"/>
    <w:basedOn w:val="Style_2"/>
    <w:link w:val="Style_12_ch"/>
    <w:pPr>
      <w:widowControl w:val="0"/>
      <w:ind w:firstLine="0"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2_ch"/>
    <w:link w:val="Style_21"/>
    <w:rPr>
      <w:rFonts w:ascii="Segoe UI" w:hAnsi="Segoe UI"/>
      <w:sz w:val="18"/>
    </w:rPr>
  </w:style>
  <w:style w:styleId="Style_3" w:type="paragraph">
    <w:name w:val="No Spacing"/>
    <w:link w:val="Style_3_ch"/>
    <w:pPr>
      <w:widowControl w:val="0"/>
      <w:spacing w:after="0" w:line="240" w:lineRule="auto"/>
      <w:ind/>
    </w:pPr>
  </w:style>
  <w:style w:styleId="Style_3_ch" w:type="character">
    <w:name w:val="No Spacing"/>
    <w:link w:val="Style_3"/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2025-03-06T07:54:30Z</dcterms:created>
  <dcterms:modified xsi:type="dcterms:W3CDTF">2026-06-22T12:52:55Z</dcterms:modified>
</cp:coreProperties>
</file>