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</w:p>
    <w:p>
      <w:pPr>
        <w:ind w:firstLine="709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 xml:space="preserve">Положения закупочной сессии </w:t>
      </w: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MS Mincho"/>
          <w:b/>
          <w:spacing w:val="-6"/>
        </w:rPr>
        <w:t xml:space="preserve">                                                                                                                ИКЗ </w:t>
      </w:r>
      <w:r>
        <w:rPr>
          <w:rFonts w:ascii="Tahoma" w:hAnsi="Tahoma" w:eastAsia="Tahoma" w:cs="Tahoma"/>
          <w:color w:val="000000"/>
          <w:sz w:val="20"/>
          <w:highlight w:val="none"/>
        </w:rPr>
        <w:t xml:space="preserve"> </w:t>
      </w:r>
      <w:r>
        <w:rPr>
          <w:rFonts w:ascii="Tahoma" w:hAnsi="Tahoma" w:eastAsia="Tahoma" w:cs="Tahoma"/>
          <w:color w:val="000000"/>
          <w:sz w:val="20"/>
          <w:highlight w:val="none"/>
        </w:rPr>
        <w:t xml:space="preserve">261773301215177330100100280000000244</w:t>
      </w:r>
      <w:r>
        <w:rPr>
          <w:rFonts w:ascii="Tahoma" w:hAnsi="Tahoma" w:eastAsia="Tahoma" w:cs="Tahoma"/>
          <w:color w:val="000000"/>
          <w:sz w:val="20"/>
          <w:highlight w:val="none"/>
        </w:rPr>
      </w:r>
      <w:r/>
    </w:p>
    <w:p>
      <w:pPr>
        <w:ind w:firstLine="709"/>
        <w:jc w:val="center"/>
        <w:rPr>
          <w:b/>
          <w:bCs/>
          <w:sz w:val="28"/>
          <w:szCs w:val="28"/>
        </w:rPr>
      </w:pPr>
      <w:r>
        <w:rPr>
          <w:rFonts w:eastAsia="MS Mincho"/>
          <w:b/>
          <w:spacing w:val="-6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6"/>
        <w:contextualSpacing/>
        <w:ind w:left="0" w:right="-40"/>
        <w:widowControl w:val="off"/>
        <w:tabs>
          <w:tab w:val="left" w:pos="910" w:leader="none"/>
          <w:tab w:val="left" w:pos="9458" w:leader="none"/>
        </w:tabs>
        <w:rPr>
          <w:rFonts w:ascii="Times New Roman" w:hAnsi="Times New Roman" w:eastAsia="Batang" w:cs="Times New Roman"/>
        </w:rPr>
        <w:outlineLvl w:val="3"/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eastAsia="Batang" w:cs="Times New Roman"/>
        </w:rPr>
      </w:r>
      <w:r>
        <w:rPr>
          <w:rFonts w:ascii="Times New Roman" w:hAnsi="Times New Roman" w:eastAsia="Batang" w:cs="Times New Roman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1. Предмет настоящего Контракта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         1.1. Поставщик обязуется</w:t>
      </w:r>
      <w:r>
        <w:rPr>
          <w:b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 xml:space="preserve">поставить</w:t>
      </w:r>
      <w:r>
        <w:rPr>
          <w:b w:val="0"/>
          <w:bCs w:val="0"/>
          <w:sz w:val="22"/>
          <w:szCs w:val="22"/>
        </w:rPr>
        <w:t xml:space="preserve"> набор реагентов и антитела</w:t>
      </w:r>
      <w:r>
        <w:rPr>
          <w:b w:val="0"/>
          <w:bCs w:val="0"/>
          <w:sz w:val="23"/>
          <w:szCs w:val="23"/>
        </w:rPr>
        <w:t xml:space="preserve"> для научных целей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0"/>
          <w:position w:val="0"/>
          <w:sz w:val="22"/>
          <w:szCs w:val="22"/>
          <w:shd w:val="clear" w:color="auto" w:fill="auto"/>
          <w:lang w:val="en-US" w:eastAsia="en-US" w:bidi="en-US"/>
        </w:rPr>
        <w:t xml:space="preserve">,</w:t>
      </w:r>
      <w:r>
        <w:rPr>
          <w:b w:val="0"/>
          <w:bCs w:val="0"/>
          <w:sz w:val="22"/>
          <w:szCs w:val="22"/>
        </w:rPr>
        <w:t xml:space="preserve"> а Заказчик обязуется принять и оплатить товар в порядке и на условиях, предусмотренных электронным Контрактом. </w:t>
      </w:r>
      <w:r>
        <w:rPr>
          <w:b w:val="0"/>
          <w:bCs w:val="0"/>
          <w:sz w:val="22"/>
          <w:szCs w:val="22"/>
        </w:rPr>
      </w:r>
      <w:r>
        <w:rPr>
          <w:b w:val="0"/>
          <w:bCs w:val="0"/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rFonts w:eastAsia="Batang"/>
          <w:b w:val="0"/>
          <w:bCs w:val="0"/>
          <w:sz w:val="22"/>
          <w:szCs w:val="22"/>
        </w:rPr>
        <w:t xml:space="preserve">         1.2. </w:t>
      </w:r>
      <w:r>
        <w:rPr>
          <w:b w:val="0"/>
          <w:bCs w:val="0"/>
          <w:sz w:val="22"/>
          <w:szCs w:val="22"/>
        </w:rPr>
        <w:t xml:space="preserve">Наименование, количество </w:t>
      </w:r>
      <w:r>
        <w:rPr>
          <w:sz w:val="22"/>
          <w:szCs w:val="22"/>
        </w:rPr>
        <w:t xml:space="preserve">и иные характеристики поставляемого Товара указаны в спецификации и электронном Контракте.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         1.3. Настоящим Контрактом Поставщик гарантирует, что Товар принадлежит ему на праве собственности, не заложен, не является предметом ареста, свободен от права третьих лиц.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2. Качество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Batang"/>
          <w:sz w:val="22"/>
          <w:szCs w:val="22"/>
        </w:rPr>
        <w:t xml:space="preserve">2.1. </w:t>
      </w:r>
      <w:r>
        <w:rPr>
          <w:rFonts w:eastAsia="Calibri"/>
          <w:sz w:val="22"/>
          <w:szCs w:val="22"/>
          <w:lang w:eastAsia="en-US"/>
        </w:rPr>
        <w:t xml:space="preserve">Поставщик гарантирует, что поставляемый Товар соответствует требованиям, установленным </w:t>
      </w:r>
      <w:r>
        <w:rPr>
          <w:rFonts w:eastAsia="Calibri"/>
          <w:sz w:val="22"/>
          <w:szCs w:val="22"/>
          <w:lang w:eastAsia="en-US"/>
        </w:rPr>
        <w:t xml:space="preserve">Контракт</w:t>
      </w:r>
      <w:r>
        <w:rPr>
          <w:rFonts w:eastAsia="Calibri"/>
          <w:sz w:val="22"/>
          <w:szCs w:val="22"/>
          <w:lang w:eastAsia="en-US"/>
        </w:rPr>
        <w:t xml:space="preserve">ом.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4.2. Поставщик гарантирует безопасность Товара в соответствии с требованиями, установленным</w:t>
      </w:r>
      <w:r>
        <w:rPr>
          <w:rFonts w:eastAsia="Calibri"/>
          <w:sz w:val="22"/>
          <w:szCs w:val="22"/>
          <w:lang w:eastAsia="en-US"/>
        </w:rPr>
        <w:t xml:space="preserve">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>
        <w:rPr>
          <w:rFonts w:eastAsia="Calibri"/>
          <w:sz w:val="22"/>
          <w:szCs w:val="22"/>
          <w:lang w:eastAsia="en-US"/>
        </w:rPr>
        <w:t xml:space="preserve">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4.3. </w:t>
      </w:r>
      <w:r>
        <w:rPr>
          <w:rFonts w:eastAsia="Calibri"/>
          <w:sz w:val="22"/>
          <w:szCs w:val="22"/>
        </w:rPr>
        <w:t xml:space="preserve">Товар не должен представлять опасности для жизни и здоровья граждан.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4.4. </w:t>
      </w:r>
      <w:r>
        <w:rPr>
          <w:rFonts w:eastAsia="Calibri"/>
          <w:sz w:val="22"/>
          <w:szCs w:val="22"/>
        </w:rPr>
        <w:t xml:space="preserve">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4.5. </w:t>
      </w:r>
      <w:r>
        <w:rPr>
          <w:rFonts w:eastAsia="Calibri"/>
          <w:sz w:val="22"/>
          <w:szCs w:val="22"/>
        </w:rPr>
        <w:t xml:space="preserve">Поставщик обязан за св</w:t>
      </w:r>
      <w:r>
        <w:rPr>
          <w:rFonts w:eastAsia="Calibri"/>
          <w:sz w:val="22"/>
          <w:szCs w:val="22"/>
        </w:rPr>
        <w:t xml:space="preserve">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3 (трех) рабочих дней с момента уведомления Заказчиком Поставщика.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 случае если выявлено нарушение условий настоящего Контракта в части качества и безопасности Товара и (или)</w:t>
      </w:r>
      <w:r>
        <w:rPr>
          <w:rFonts w:eastAsia="Calibri"/>
          <w:sz w:val="22"/>
          <w:szCs w:val="22"/>
        </w:rPr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4.</w:t>
      </w:r>
      <w:r>
        <w:rPr>
          <w:rFonts w:eastAsia="Calibri"/>
          <w:sz w:val="22"/>
          <w:szCs w:val="22"/>
          <w:lang w:eastAsia="en-US"/>
        </w:rPr>
        <w:t xml:space="preserve">6</w:t>
      </w:r>
      <w:r>
        <w:rPr>
          <w:rFonts w:eastAsia="Calibri"/>
          <w:sz w:val="22"/>
          <w:szCs w:val="22"/>
          <w:lang w:eastAsia="en-US"/>
        </w:rPr>
        <w:t xml:space="preserve">. Товар должен быть упакован и замаркирован в соответствии с действующими стандартами. Поставщик поставляет Товар в у</w:t>
      </w:r>
      <w:r>
        <w:rPr>
          <w:rFonts w:eastAsia="Calibri"/>
          <w:sz w:val="22"/>
          <w:szCs w:val="22"/>
          <w:lang w:eastAsia="en-US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4.</w:t>
      </w:r>
      <w:r>
        <w:rPr>
          <w:rFonts w:eastAsia="Calibri"/>
          <w:sz w:val="22"/>
          <w:szCs w:val="22"/>
          <w:lang w:eastAsia="en-US"/>
        </w:rPr>
        <w:t xml:space="preserve">7</w:t>
      </w:r>
      <w:r>
        <w:rPr>
          <w:rFonts w:eastAsia="Calibri"/>
          <w:sz w:val="22"/>
          <w:szCs w:val="22"/>
          <w:lang w:eastAsia="en-US"/>
        </w:rPr>
        <w:t xml:space="preserve">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4.</w:t>
      </w:r>
      <w:r>
        <w:rPr>
          <w:rFonts w:eastAsia="Calibri"/>
          <w:sz w:val="22"/>
          <w:szCs w:val="22"/>
          <w:lang w:eastAsia="en-US"/>
        </w:rPr>
        <w:t xml:space="preserve">8</w:t>
      </w:r>
      <w:r>
        <w:rPr>
          <w:rFonts w:eastAsia="Calibri"/>
          <w:sz w:val="22"/>
          <w:szCs w:val="22"/>
          <w:lang w:eastAsia="en-US"/>
        </w:rPr>
        <w:t xml:space="preserve">. Требования к предоставлению гарантии производителя и (или) Поставщика Товара и к сроку действия такой гарантии указаны в спецификации.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</w:r>
      <w:bookmarkStart w:id="6" w:name="Par162"/>
      <w:r>
        <w:rPr>
          <w:sz w:val="22"/>
          <w:szCs w:val="22"/>
        </w:rPr>
      </w:r>
      <w:bookmarkEnd w:id="6"/>
      <w:r>
        <w:rPr>
          <w:rFonts w:eastAsia="Calibri"/>
          <w:sz w:val="22"/>
          <w:szCs w:val="22"/>
          <w:lang w:eastAsia="en-US"/>
        </w:rPr>
        <w:t xml:space="preserve">4.</w:t>
      </w:r>
      <w:r>
        <w:rPr>
          <w:rFonts w:eastAsia="Calibri"/>
          <w:sz w:val="22"/>
          <w:szCs w:val="22"/>
          <w:lang w:eastAsia="en-US"/>
        </w:rPr>
        <w:t xml:space="preserve">9</w:t>
      </w:r>
      <w:r>
        <w:rPr>
          <w:rFonts w:eastAsia="Calibri"/>
          <w:sz w:val="22"/>
          <w:szCs w:val="22"/>
          <w:lang w:eastAsia="en-US"/>
        </w:rPr>
        <w:t xml:space="preserve">. Товар поставляется в комплекте с технической документацией на русском языке (паспорт изготовителя, инструкция по эксплуатации и т.п.) при наличии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3. Условия и сроки поставки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  <w:highlight w:val="white"/>
        </w:rPr>
      </w:pPr>
      <w:r>
        <w:rPr>
          <w:rFonts w:eastAsia="Batang"/>
          <w:sz w:val="22"/>
          <w:szCs w:val="22"/>
          <w:highlight w:val="white"/>
        </w:rPr>
        <w:t xml:space="preserve">3.1. </w:t>
      </w:r>
      <w:r>
        <w:rPr>
          <w:rFonts w:ascii="Times New Roman" w:hAnsi="Times New Roman"/>
          <w:sz w:val="22"/>
          <w:szCs w:val="22"/>
          <w:highlight w:val="white"/>
        </w:rPr>
        <w:t xml:space="preserve">Поставщик осуществляет </w:t>
      </w:r>
      <w:r>
        <w:rPr>
          <w:rFonts w:ascii="Times New Roman" w:hAnsi="Times New Roman"/>
          <w:sz w:val="22"/>
          <w:szCs w:val="22"/>
          <w:highlight w:val="white"/>
        </w:rPr>
        <w:t xml:space="preserve">поставку</w:t>
      </w:r>
      <w:r>
        <w:rPr>
          <w:rFonts w:ascii="Times New Roman" w:hAnsi="Times New Roman"/>
          <w:sz w:val="22"/>
          <w:szCs w:val="22"/>
          <w:highlight w:val="white"/>
        </w:rPr>
        <w:t xml:space="preserve"> товара с даты заключения </w:t>
      </w:r>
      <w:r>
        <w:rPr>
          <w:rFonts w:ascii="Times New Roman" w:hAnsi="Times New Roman"/>
          <w:sz w:val="22"/>
          <w:szCs w:val="22"/>
          <w:highlight w:val="white"/>
        </w:rPr>
        <w:t xml:space="preserve">Контракт</w:t>
      </w:r>
      <w:r>
        <w:rPr>
          <w:rFonts w:ascii="Times New Roman" w:hAnsi="Times New Roman"/>
          <w:sz w:val="22"/>
          <w:szCs w:val="22"/>
          <w:highlight w:val="white"/>
        </w:rPr>
        <w:t xml:space="preserve">а, </w:t>
      </w:r>
      <w:r>
        <w:rPr>
          <w:rFonts w:ascii="Times New Roman" w:hAnsi="Times New Roman"/>
          <w:sz w:val="22"/>
          <w:szCs w:val="22"/>
          <w:highlight w:val="white"/>
        </w:rPr>
        <w:t xml:space="preserve">до 15.12.2026 года</w:t>
      </w:r>
      <w:r>
        <w:rPr>
          <w:rFonts w:ascii="Times New Roman" w:hAnsi="Times New Roman"/>
          <w:sz w:val="22"/>
          <w:szCs w:val="22"/>
          <w:highlight w:val="white"/>
        </w:rPr>
        <w:t xml:space="preserve">. Поставка осуществляется партиями по заявке Заказчика</w:t>
      </w:r>
      <w:r>
        <w:rPr>
          <w:rFonts w:ascii="Times New Roman" w:hAnsi="Times New Roman"/>
          <w:sz w:val="22"/>
          <w:szCs w:val="22"/>
          <w:highlight w:val="white"/>
        </w:rPr>
        <w:t xml:space="preserve"> в течение 3 (трех) рабочих дней с даты </w:t>
      </w:r>
      <w:r>
        <w:rPr>
          <w:rFonts w:ascii="Times New Roman" w:hAnsi="Times New Roman"/>
          <w:sz w:val="22"/>
          <w:szCs w:val="22"/>
          <w:highlight w:val="white"/>
        </w:rPr>
        <w:t xml:space="preserve">получения Поставщиком Заявки на поставку товара, в которой Заказчик указывает наименование, количество поставляемого товара и адрес доставки. Заявка оформляется Заказчиком в зависимости от </w:t>
      </w:r>
      <w:r>
        <w:rPr>
          <w:rFonts w:ascii="Times New Roman" w:hAnsi="Times New Roman"/>
          <w:sz w:val="22"/>
          <w:szCs w:val="22"/>
          <w:highlight w:val="white"/>
        </w:rPr>
        <w:t xml:space="preserve">его потребности в товаре и передается по электронной почте.</w:t>
      </w:r>
      <w:r>
        <w:rPr>
          <w:rFonts w:eastAsia="Batang"/>
          <w:sz w:val="22"/>
          <w:szCs w:val="22"/>
          <w:highlight w:val="white"/>
        </w:rPr>
      </w:r>
      <w:r>
        <w:rPr>
          <w:rFonts w:eastAsia="Batang"/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3.2. </w:t>
      </w:r>
      <w:r>
        <w:rPr>
          <w:sz w:val="22"/>
          <w:szCs w:val="22"/>
        </w:rPr>
        <w:t xml:space="preserve">Поставка товара осуществляется в рабочие дни (по предварительной </w:t>
      </w:r>
      <w:r>
        <w:rPr>
          <w:sz w:val="22"/>
          <w:szCs w:val="22"/>
        </w:rPr>
        <w:t xml:space="preserve">договоре</w:t>
      </w:r>
      <w:r>
        <w:rPr>
          <w:sz w:val="22"/>
          <w:szCs w:val="22"/>
        </w:rPr>
        <w:t xml:space="preserve">нности) с 09:00 до 15:00 часов по адрес</w:t>
      </w:r>
      <w:r>
        <w:rPr>
          <w:sz w:val="22"/>
          <w:szCs w:val="22"/>
        </w:rPr>
        <w:t xml:space="preserve">у: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 Москва, пер. Обуха, д.5 -  Институт Мозга </w:t>
      </w:r>
      <w:r>
        <w:rPr>
          <w:sz w:val="22"/>
          <w:szCs w:val="22"/>
        </w:rPr>
        <w:t xml:space="preserve"> (далее </w:t>
      </w:r>
      <w:r>
        <w:rPr>
          <w:sz w:val="22"/>
          <w:szCs w:val="22"/>
        </w:rPr>
        <w:t xml:space="preserve">–</w:t>
      </w:r>
      <w:r>
        <w:rPr>
          <w:sz w:val="22"/>
          <w:szCs w:val="22"/>
        </w:rPr>
        <w:t xml:space="preserve"> место доставки).</w:t>
      </w:r>
      <w:r>
        <w:rPr>
          <w:iCs/>
          <w:sz w:val="22"/>
          <w:szCs w:val="22"/>
        </w:rPr>
        <w:tab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iCs/>
          <w:sz w:val="22"/>
          <w:szCs w:val="22"/>
        </w:rPr>
      </w:r>
      <w:r>
        <w:rPr>
          <w:sz w:val="22"/>
          <w:szCs w:val="22"/>
        </w:rPr>
        <w:t xml:space="preserve">3.3. Поставка Товара осуществляется путем передачи Поставщиком Товара и следующих документов: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Счета;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Товарной накладной, счета фактуры, универсального передаточного документа (УПД);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сертификат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соответствия или деклараци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 о соответствии</w:t>
      </w:r>
      <w:r>
        <w:rPr>
          <w:sz w:val="22"/>
          <w:szCs w:val="22"/>
        </w:rPr>
        <w:t xml:space="preserve"> (при наличии).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.4. Упаковка товара и грузовая тара должны обеспечивать сохранность товара при транспортировке к конечному месту эксплуатации и хранения, а также при осуществлении</w:t>
      </w:r>
      <w:r>
        <w:rPr>
          <w:sz w:val="22"/>
          <w:szCs w:val="22"/>
        </w:rPr>
        <w:t xml:space="preserve"> погрузочно-разгрузочных работ.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.5. Упаковка и маркировка товара должны соответствовать требованиям </w:t>
      </w:r>
      <w:r>
        <w:rPr>
          <w:sz w:val="22"/>
          <w:szCs w:val="22"/>
        </w:rPr>
        <w:t xml:space="preserve">ГОСТ 17527-2020 </w:t>
      </w:r>
      <w:r>
        <w:rPr>
          <w:sz w:val="22"/>
          <w:szCs w:val="22"/>
        </w:rPr>
        <w:t xml:space="preserve">«Упаковка. Термины и опре</w:t>
      </w:r>
      <w:r>
        <w:rPr>
          <w:sz w:val="22"/>
          <w:szCs w:val="22"/>
        </w:rPr>
        <w:t xml:space="preserve">деления», ГОСТ 14192-96 «Маркировка грузов», импортного товара – международным стандартам упаковки.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3.6. Право собственности и риск случайной гибели или порчи Товара переходит от Поставщика к Заказчику с момента приемки Товара 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3.7. Доставка, погрузочно-разгрузочные работы на склад Заказчика и вывоз мусора (коробки, упаковки, тара) производится за счет Поставщика.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3.9.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b/>
          <w:bCs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         4. Цена Контракта и порядок расчетов</w:t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4.1. </w:t>
      </w:r>
      <w:r>
        <w:rPr>
          <w:rFonts w:eastAsia="MS Mincho"/>
          <w:sz w:val="22"/>
          <w:szCs w:val="22"/>
        </w:rPr>
        <w:t xml:space="preserve">Цена Контракта установлена в электронном контракте, в российских рублях и остается неизменной на весь срок исполнения Контракта. </w:t>
      </w:r>
      <w:r>
        <w:rPr>
          <w:sz w:val="22"/>
          <w:szCs w:val="22"/>
        </w:rPr>
        <w:t xml:space="preserve">Цена Контракта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и сборов, установленных законодательством РФ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4.2. Расчеты за поставляемую продукцию производятся между Заказчиком и Поставщиком в соответствии с условиями настоящего Контракта.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4.3. Поставляемый Товар Заказчик оплачивает по ценам, указанным в </w:t>
      </w:r>
      <w:r>
        <w:rPr>
          <w:rFonts w:eastAsia="Batang"/>
          <w:sz w:val="22"/>
          <w:szCs w:val="22"/>
        </w:rPr>
        <w:t xml:space="preserve">Счетах,  выставленным</w:t>
      </w:r>
      <w:r>
        <w:rPr>
          <w:rFonts w:eastAsia="Batang"/>
          <w:sz w:val="22"/>
          <w:szCs w:val="22"/>
        </w:rPr>
        <w:t xml:space="preserve"> к оплате, в форме безналичного денежного расчета в российских рублях.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</w:rPr>
      </w:pPr>
      <w:r>
        <w:rPr>
          <w:rFonts w:eastAsia="Batang"/>
          <w:sz w:val="22"/>
          <w:szCs w:val="22"/>
        </w:rPr>
        <w:t xml:space="preserve">4.4. </w:t>
      </w:r>
      <w:r>
        <w:rPr>
          <w:sz w:val="22"/>
          <w:szCs w:val="22"/>
        </w:rPr>
        <w:t xml:space="preserve">Оплата за поставленный товар осуществляется Заказчиком в течение 7 (семи) рабочих дней с момента подписания Заказчиком </w:t>
      </w:r>
      <w:r>
        <w:rPr>
          <w:color w:val="000000"/>
          <w:sz w:val="22"/>
          <w:szCs w:val="22"/>
          <w:highlight w:val="white"/>
        </w:rPr>
        <w:t xml:space="preserve">Акта по форме ОКУД 0510452 (Приказ Минфина РФ от 15.04.2021 г. № 61н)</w:t>
      </w:r>
      <w:r>
        <w:rPr>
          <w:sz w:val="22"/>
          <w:szCs w:val="22"/>
        </w:rPr>
        <w:t xml:space="preserve">, на основании выставленного Поставщиком счёта на оплату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Batang"/>
          <w:sz w:val="22"/>
          <w:szCs w:val="22"/>
        </w:rPr>
        <w:t xml:space="preserve">4.5.</w:t>
      </w:r>
      <w:r>
        <w:rPr>
          <w:sz w:val="22"/>
          <w:szCs w:val="22"/>
        </w:rPr>
        <w:t xml:space="preserve"> Оплата осуществляется по безналичному расчету платежными поручениями путем перечисления Заказчиком денежных средств на расчетный счет Поставщика. </w:t>
      </w:r>
      <w:r>
        <w:rPr>
          <w:rFonts w:eastAsia="MS Mincho"/>
          <w:sz w:val="22"/>
          <w:szCs w:val="22"/>
        </w:rPr>
        <w:t xml:space="preserve">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4.6. </w:t>
      </w:r>
      <w:r>
        <w:rPr>
          <w:sz w:val="22"/>
          <w:szCs w:val="22"/>
        </w:rPr>
        <w:t xml:space="preserve">Обязанности Заказчика по оплате считаются исполненными после списания денежных средств с расчетного счета Заказчика</w:t>
      </w:r>
      <w:r>
        <w:rPr>
          <w:rFonts w:eastAsia="MS Mincho"/>
          <w:sz w:val="22"/>
          <w:szCs w:val="22"/>
        </w:rPr>
        <w:t xml:space="preserve">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  <w:highlight w:val="none"/>
        </w:rPr>
      </w:pPr>
      <w:r>
        <w:rPr>
          <w:rFonts w:eastAsia="MS Mincho"/>
          <w:sz w:val="22"/>
          <w:szCs w:val="22"/>
        </w:rPr>
        <w:t xml:space="preserve">4.7.</w:t>
      </w:r>
      <w:r>
        <w:rPr>
          <w:sz w:val="22"/>
          <w:szCs w:val="22"/>
        </w:rPr>
        <w:t xml:space="preserve">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</w:t>
      </w:r>
      <w:r>
        <w:rPr>
          <w:sz w:val="22"/>
          <w:szCs w:val="22"/>
        </w:rPr>
        <w:t xml:space="preserve">вычета</w:t>
      </w:r>
      <w:r>
        <w:rPr>
          <w:sz w:val="22"/>
          <w:szCs w:val="22"/>
        </w:rPr>
        <w:t xml:space="preserve"> рассчитанного в установленном законодательством Российской Федерации порядке размера неустойки (пени, штрафа).</w:t>
      </w:r>
      <w:r>
        <w:rPr>
          <w:rFonts w:eastAsia="Batang"/>
          <w:b/>
          <w:bCs/>
          <w:sz w:val="22"/>
          <w:szCs w:val="22"/>
          <w:highlight w:val="none"/>
        </w:rPr>
      </w:r>
      <w:r>
        <w:rPr>
          <w:rFonts w:eastAsia="Batang"/>
          <w:b/>
          <w:bCs/>
          <w:sz w:val="22"/>
          <w:szCs w:val="22"/>
          <w:highlight w:val="none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  <w:highlight w:val="none"/>
        </w:rPr>
      </w:pPr>
      <w:r>
        <w:rPr>
          <w:rFonts w:eastAsia="Batang"/>
          <w:b/>
          <w:bCs/>
          <w:sz w:val="22"/>
          <w:szCs w:val="22"/>
          <w:highlight w:val="none"/>
        </w:rPr>
        <w:t xml:space="preserve">5. Порядок Приемки товара</w:t>
      </w:r>
      <w:r>
        <w:rPr>
          <w:rFonts w:eastAsia="Batang"/>
          <w:b/>
          <w:bCs/>
          <w:sz w:val="22"/>
          <w:szCs w:val="22"/>
          <w:highlight w:val="none"/>
        </w:rPr>
      </w:r>
      <w:r>
        <w:rPr>
          <w:rFonts w:eastAsia="Batang"/>
          <w:b/>
          <w:bCs/>
          <w:sz w:val="22"/>
          <w:szCs w:val="22"/>
          <w:highlight w:val="none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В день отгрузки Товара Поставщик обязан передать Заказчику оригина</w:t>
      </w:r>
      <w:r>
        <w:rPr>
          <w:sz w:val="22"/>
          <w:szCs w:val="22"/>
        </w:rPr>
        <w:t xml:space="preserve">лы следующих документов: товарной</w:t>
      </w:r>
      <w:r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 xml:space="preserve">ой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товарно-транспортной накладной, </w:t>
      </w:r>
      <w:r>
        <w:rPr>
          <w:sz w:val="22"/>
          <w:szCs w:val="22"/>
        </w:rPr>
        <w:t xml:space="preserve">счета, счета-фактуры</w:t>
      </w:r>
      <w:r>
        <w:rPr>
          <w:sz w:val="22"/>
          <w:szCs w:val="22"/>
        </w:rPr>
        <w:t xml:space="preserve"> (в соответствии с налоговым законодательством РФ)</w:t>
      </w:r>
      <w:r>
        <w:rPr>
          <w:sz w:val="22"/>
          <w:szCs w:val="22"/>
        </w:rPr>
        <w:t xml:space="preserve">, сертификат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соответствия (декларации о соответствии),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5.1.1. Приемка Товара оформляется Актом приемки. Акт приемки оформляется по форме</w:t>
      </w:r>
      <w:r>
        <w:rPr>
          <w:sz w:val="22"/>
          <w:szCs w:val="22"/>
        </w:rPr>
        <w:t xml:space="preserve"> ОКУД 0510452 (Приказ Минфина от 15.04.2021 г. № 61н). При этом срок оплаты по настоящему договору исчисляется с даты приемки по Акту приемки по форме ОКУД 0510452. Заказчик вправе подписать Акт приемки по форме ОКУД 0510452 в одностороннем поряд</w:t>
      </w:r>
      <w:r>
        <w:rPr>
          <w:sz w:val="22"/>
          <w:szCs w:val="22"/>
        </w:rPr>
        <w:t xml:space="preserve">ке, за исключением случаев выявления качественных или количественных расхождений поставленного товара (оказанных услуг, выполненных работ) с условиями договора. В случае выявления качественных или количественных расхождений поставленного товара (оказанных </w:t>
      </w:r>
      <w:r>
        <w:rPr>
          <w:sz w:val="22"/>
          <w:szCs w:val="22"/>
        </w:rPr>
        <w:t xml:space="preserve">услуг, выполненных работ) с условиями догов</w:t>
      </w:r>
      <w:r>
        <w:rPr>
          <w:sz w:val="22"/>
          <w:szCs w:val="22"/>
        </w:rPr>
        <w:t xml:space="preserve">ора, приемка осуществляется с участием представителя Поставщика (Подрядчика, Исполнителя), а при его отсутствии при приемке подписанный со стороны Заказчика Акт приемки по форме ОКУД 0510452 направляется Поставщику (Подрядчику, Исполнителю) на подписание. </w:t>
      </w:r>
      <w:r>
        <w:rPr>
          <w:sz w:val="22"/>
          <w:szCs w:val="22"/>
        </w:rPr>
        <w:t xml:space="preserve">Если Поставщик (Подрядчик, Исполнитель) в течение 3 дней не направит Заказчику подписанный Акт приемки по форме ОКУД 0510452 с качественными или количественными расхождениями, такой Акт приемки считается подписанным Поставщиком (Подрядчиком, Исполнителем).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В случае если Поставщик некорректно о</w:t>
      </w:r>
      <w:r>
        <w:rPr>
          <w:sz w:val="22"/>
          <w:szCs w:val="22"/>
        </w:rPr>
        <w:t xml:space="preserve">формил счет, товарную накладную или</w:t>
      </w:r>
      <w:r>
        <w:rPr>
          <w:sz w:val="22"/>
          <w:szCs w:val="22"/>
        </w:rPr>
        <w:t xml:space="preserve"> счет-фактуру в предоставляемом комплекте документов, Заказчик вправе приостановить приемку отгруженного Товара до устранения Поставщиком замечаний к оформлению указанных документов.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Для проверки предоставленных Поставщиком результатов,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в части их соответствия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5.3.1. Результаты экспертизы, проведённой без привлечения экспертов (собственными силами Заказчика), оформляются путём подписания ответственным за экспе</w:t>
      </w:r>
      <w:r>
        <w:rPr>
          <w:sz w:val="22"/>
          <w:szCs w:val="22"/>
        </w:rPr>
        <w:t xml:space="preserve">ртизу товара должностным лицом (работником) Заказчика товаросопроводительных документов, в том числе товарной накладной. Наличие подписи указанного должностного лица является основанием для признания товаров, поставка которых является предметом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соответствующими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и подписания приёма-передачи товара Заказчиком.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5.3.2. Результаты экспертизы, проведённой экспертами, экспертными организациями оформляются в виде заключения, которое должно быть объективным, обоснова</w:t>
      </w:r>
      <w:r>
        <w:rPr>
          <w:sz w:val="22"/>
          <w:szCs w:val="22"/>
        </w:rPr>
        <w:t xml:space="preserve">нным и соответствовать законодательству РФ. Такое заключение подписывается экспертом, уполномоченным представителем экспертной организации. Наличие в указанном экспертном заключении вывода о соответствии фактически поставленных товаров условиям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является основанием для признания товаров, поставка которых является предметом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соответствующими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и подписания </w:t>
      </w:r>
      <w:r>
        <w:rPr>
          <w:sz w:val="22"/>
          <w:szCs w:val="22"/>
        </w:rPr>
        <w:t xml:space="preserve">товарной накладной </w:t>
      </w:r>
      <w:r>
        <w:rPr>
          <w:sz w:val="22"/>
          <w:szCs w:val="22"/>
        </w:rPr>
        <w:t xml:space="preserve">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Проверка соответствия Товара требованиям, установленным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осуществляется в следующем порядке: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соответствия информации, указанно</w:t>
      </w:r>
      <w:r>
        <w:rPr>
          <w:sz w:val="22"/>
          <w:szCs w:val="22"/>
        </w:rPr>
        <w:t xml:space="preserve">й в товарной накладной,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е </w:t>
      </w:r>
      <w:r>
        <w:rPr>
          <w:sz w:val="22"/>
          <w:szCs w:val="22"/>
        </w:rPr>
        <w:t xml:space="preserve">или заявке;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наличия и правильности оформления сопроводительных документов на Товар (п. 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соблюдения Поставщиком требований к условиям транспортировки, установленных действующим законодательством;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соответствия количества Товара, указанного в товарной накладной и фактически доставленного;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целостности упаковки и срока годности Товара, вскрытие упаковки, осмотр Товара на наличие сколов, трещин, внешних повреждений и недостатков.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Одновреме</w:t>
      </w:r>
      <w:r>
        <w:rPr>
          <w:sz w:val="22"/>
          <w:szCs w:val="22"/>
        </w:rPr>
        <w:t xml:space="preserve">нно проверяется соответствие наименования, ассортимента и комплектности Товара, указанного в Спецификации или заявке, с фактическим наименованием, ассортиментом и комплектностью товара, и со сведениями, содержащимися в сопроводительных документах на Товар.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 Принятие и разгрузка товара осуществляется в соответствии с пунктом 2 статьи 484 и пунктом 1 статьи 513 Гражданского кодекса Российской Федерации. Осмотр и проверка Товара на соответствие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по количеству, качеству, ассортименту и другим характеристикам производится в порядке, установленном пунктом 2 статьи 513 Гражданского кодекса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Поставщик обязан согласовать с Заказчиком точное время и дату поставки.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5.7. Поставщик поставляет Товар Заказ</w:t>
      </w:r>
      <w:r>
        <w:rPr>
          <w:sz w:val="22"/>
          <w:szCs w:val="22"/>
        </w:rPr>
        <w:t xml:space="preserve">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5.8.</w:t>
      </w:r>
      <w:r>
        <w:rPr>
          <w:sz w:val="22"/>
          <w:szCs w:val="22"/>
        </w:rPr>
        <w:t xml:space="preserve"> Уборка помещений и вывоз транспортировочной упаковки/тары (при ее наличии) производятся силами Поставщика и за его счет в течение не более 1 (одного) дня после дня поставки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5.9.</w:t>
      </w:r>
      <w:r>
        <w:rPr>
          <w:sz w:val="22"/>
          <w:szCs w:val="22"/>
        </w:rPr>
        <w:t xml:space="preserve"> Заказчик в течение 5 рабочих дней со дня получения от Поставщика документов, предусмотренных пунктом </w:t>
      </w:r>
      <w:r>
        <w:rPr>
          <w:sz w:val="22"/>
          <w:szCs w:val="22"/>
        </w:rPr>
        <w:t xml:space="preserve">3.3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направляет Поставщику подписанный экземпляр документа о приемке или мотивированный отказ от подписания, в котором указываются недостатки и сроки их устранения.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5.10.</w:t>
      </w:r>
      <w:r>
        <w:rPr>
          <w:sz w:val="22"/>
          <w:szCs w:val="22"/>
        </w:rPr>
        <w:t xml:space="preserve"> Приемка Товара не производится до момента устранения причины отказа в приемке, при этом сторонами составляется соответствующий акт с указанием перечня недостатков, необходимых доработок и сроков их исправления.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5.11. В качестве подтвержд</w:t>
      </w:r>
      <w:r>
        <w:rPr>
          <w:sz w:val="22"/>
          <w:szCs w:val="22"/>
        </w:rPr>
        <w:t xml:space="preserve">ения фактов неисполнения и (или) ненадлежащего исполнения обязательств, Заказчик может предъявить фото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5.12. В случае поставки некачественного Товара Поставщик обязан безвозмездно устранить недостатки Товара в течение 3 (трех) рабочих дней с момента заявления о них Заказчиком либо возместить расходы Заказчика на устранение недостатков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5.13. </w:t>
      </w:r>
      <w:r>
        <w:rPr>
          <w:sz w:val="22"/>
          <w:szCs w:val="22"/>
        </w:rPr>
        <w:t xml:space="preserve">В случае недопоставки Товара Поставщик обязан допоставить Товар в соответствии с заявкой Заказчика в течение 3 (трех) рабочих дней с момента заявления Заказчиком такого требования.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5.14. </w:t>
      </w:r>
      <w:r>
        <w:rPr>
          <w:sz w:val="22"/>
          <w:szCs w:val="22"/>
        </w:rPr>
        <w:t xml:space="preserve">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5.15. </w:t>
      </w:r>
      <w:r>
        <w:rPr>
          <w:sz w:val="22"/>
          <w:szCs w:val="22"/>
        </w:rPr>
        <w:t xml:space="preserve">В случае устранения Поставщиком замечаний, указанных в мотивированном отказе от подписания, Заказчик осуществляет приемку Товара и подписывает документ о приемке.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5.16. </w:t>
      </w:r>
      <w:r>
        <w:rPr>
          <w:sz w:val="22"/>
          <w:szCs w:val="22"/>
        </w:rPr>
        <w:t xml:space="preserve">В случае, если Поставщик не согласен с предъявляемой Заказчиком претензией о некачественной поставке, Поставщик обя</w:t>
      </w:r>
      <w:r>
        <w:rPr>
          <w:sz w:val="22"/>
          <w:szCs w:val="22"/>
        </w:rPr>
        <w:t xml:space="preserve">зан самостоятельно подтвердить качество Товара экспертным заключением органа государственного надзора в соответствии с компетенцией. Оплата услуг экспертизы, а также всех расходов, в том числе связанных с транспортировкой Товара осуществляется Поставщиком.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5.17. </w:t>
      </w:r>
      <w:r>
        <w:rPr>
          <w:sz w:val="22"/>
          <w:szCs w:val="22"/>
        </w:rPr>
        <w:t xml:space="preserve">Поставщик в установленный в мотивированном отказе от подписания срок обязан уст</w:t>
      </w:r>
      <w:r>
        <w:rPr>
          <w:sz w:val="22"/>
          <w:szCs w:val="22"/>
        </w:rPr>
        <w:t xml:space="preserve">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по соглашению сторон (и (или) принять решение об одностороннем отказе от исполнения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), в случае, если</w:t>
      </w:r>
      <w:r>
        <w:rPr>
          <w:sz w:val="22"/>
          <w:szCs w:val="22"/>
        </w:rPr>
        <w:t xml:space="preserve"> устранение нарушений потребует больших временных затрат, в связи с чем Заказчик утрачивает интерес к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</w:rPr>
      </w:pPr>
      <w:r>
        <w:rPr>
          <w:sz w:val="22"/>
          <w:szCs w:val="22"/>
        </w:rPr>
        <w:t xml:space="preserve">5.18. </w:t>
      </w:r>
      <w:r>
        <w:rPr>
          <w:sz w:val="22"/>
          <w:szCs w:val="22"/>
        </w:rPr>
        <w:t xml:space="preserve">Риск случайной гибели или повреждения Товара и право собственности на Товар переходит на Заказчика после подписания Сторонами товарной накладной</w:t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6. Обязательства Сторон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6.1. Поставщик обязуется: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6.1.1. Поставить Товар в соответствии с условиями настоящего Контракта.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6.1.2. Поставщик гарантирует соответствие поставляемого Товара требованиям настоящего Контракта и несет все расходы по замене некачественного или дефектного Товара, выявленного Заказчиком в течение всего срока годности Товара.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eastAsia="Batang" w:cs="Times New Roman"/>
          <w:sz w:val="22"/>
          <w:szCs w:val="22"/>
        </w:rPr>
      </w:pPr>
      <w:r>
        <w:rPr>
          <w:rFonts w:ascii="Times New Roman" w:hAnsi="Times New Roman" w:eastAsia="Batang" w:cs="Times New Roman"/>
          <w:sz w:val="22"/>
          <w:szCs w:val="22"/>
        </w:rPr>
        <w:t xml:space="preserve">6.2. Заказчик обязуется принять и оплатить Товар в соответствии с условиями настоящего Контракта.                      </w:t>
      </w:r>
      <w:r>
        <w:rPr>
          <w:rFonts w:ascii="Times New Roman" w:hAnsi="Times New Roman" w:eastAsia="Batang" w:cs="Times New Roman"/>
          <w:sz w:val="22"/>
          <w:szCs w:val="22"/>
        </w:rPr>
      </w:r>
      <w:r>
        <w:rPr>
          <w:rFonts w:ascii="Times New Roman" w:hAnsi="Times New Roman" w:eastAsia="Batang" w:cs="Times New Roman"/>
          <w:sz w:val="22"/>
          <w:szCs w:val="22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Batang" w:cs="Times New Roman"/>
          <w:sz w:val="22"/>
          <w:szCs w:val="22"/>
        </w:rPr>
        <w:t xml:space="preserve">6.3.</w:t>
      </w:r>
      <w:r>
        <w:rPr>
          <w:rFonts w:ascii="Times New Roman" w:hAnsi="Times New Roman" w:cs="Times New Roman"/>
          <w:sz w:val="22"/>
          <w:szCs w:val="22"/>
        </w:rPr>
        <w:t xml:space="preserve"> Стороны обязуются сохранять в тайне информацию служебного и частного характера, ставшую известной в ходе исполнения обязательств по настоящему договору, касаемую предмета Контракта, не разглашать третьим лицам конфиденциальную информацию (любую информацию</w:t>
      </w:r>
      <w:r>
        <w:rPr>
          <w:rFonts w:ascii="Times New Roman" w:hAnsi="Times New Roman" w:cs="Times New Roman"/>
          <w:sz w:val="22"/>
          <w:szCs w:val="22"/>
        </w:rPr>
        <w:t xml:space="preserve">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Сторон, не обнародованную или иным образом не пе</w:t>
      </w:r>
      <w:r>
        <w:rPr>
          <w:rFonts w:ascii="Times New Roman" w:hAnsi="Times New Roman" w:cs="Times New Roman"/>
          <w:sz w:val="22"/>
          <w:szCs w:val="22"/>
        </w:rPr>
        <w:t xml:space="preserve">реданную для свободного доступа и ставшую известной Сторонам в ходе исполнения настоящего договора, и не использовать ее любым другим способом, а также предпринимать необходимые меры для предотвращения разглашения конфиденциальной информации.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06"/>
        <w:ind w:left="0"/>
        <w:jc w:val="both"/>
        <w:tabs>
          <w:tab w:val="left" w:pos="1276" w:leader="none"/>
          <w:tab w:val="left" w:pos="156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tabs>
          <w:tab w:val="left" w:pos="-426" w:leader="none"/>
        </w:tabs>
        <w:rPr>
          <w:rFonts w:eastAsia="Batang"/>
          <w:b/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>
        <w:rPr>
          <w:rFonts w:eastAsia="Batang"/>
          <w:b/>
          <w:sz w:val="22"/>
          <w:szCs w:val="22"/>
        </w:rPr>
        <w:t xml:space="preserve">7. Ответственность Сторон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7.1. </w:t>
      </w:r>
      <w:r>
        <w:rPr>
          <w:sz w:val="22"/>
          <w:szCs w:val="22"/>
        </w:rPr>
        <w:t xml:space="preserve">В случае просрочки исполнения, неисполнения или ненадлежащего исполнения своих обязате</w:t>
      </w:r>
      <w:r>
        <w:rPr>
          <w:sz w:val="22"/>
          <w:szCs w:val="22"/>
        </w:rPr>
        <w:t xml:space="preserve">льств по Контракту Стороны несут ответственность в соответствии с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7.2. Сторона, не исполнившая или исполнившая ненадлежащим образом обязательства по Контракту, обязана в полном объеме возместить убытки, возникшие по ее вине.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7.3. За каждый факт неисполнения или ненадлежащего исполнения </w:t>
      </w:r>
      <w:r>
        <w:rPr>
          <w:iCs/>
          <w:sz w:val="22"/>
          <w:szCs w:val="22"/>
        </w:rPr>
        <w:t xml:space="preserve">Поставщиком </w:t>
      </w:r>
      <w:r>
        <w:rPr>
          <w:sz w:val="22"/>
          <w:szCs w:val="22"/>
          <w:lang w:eastAsia="zh-CN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  <w:r>
        <w:rPr>
          <w:sz w:val="22"/>
          <w:szCs w:val="22"/>
        </w:rPr>
        <w:t xml:space="preserve">10 процентов цены Контракта (этапа) в случае, если цена Контракта (этапа) не превышает 3 млн. рублей;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7.4. Заказчик получает право требования уплаты штрафа в следующих случаях неисполнения (ненадлежащего исполнения) Контракта: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а) если Поставщик не поставил Заказчику полностью или частично товар, являющийся предметом Контракта;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б) если Поставщик поставил товар, не соответствующий требования Контракта по качеству 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/или количеству, спецификации и/или комплектности, техническим и функциональным характеристикам (потребительским свойствам), предусмотренным Контрактом, и не осуществил в течение 30 дней замену такого товара на товар, соответствующий требованиям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Cs/>
          <w:sz w:val="22"/>
          <w:szCs w:val="22"/>
        </w:rPr>
        <w:t xml:space="preserve">7.5.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следующем порядке: 1000 рублей, если цена Контракта не превышает 3 млн. рублей;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7.6.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определяется в следующем порядке: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widowControl w:val="off"/>
        <w:rPr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  <w:lang w:eastAsia="zh-CN"/>
        </w:rPr>
        <w:t xml:space="preserve">7.8.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З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аказчиком обязательств, предусмотренных Контрактом, не может превышать цену Контракта.</w:t>
      </w:r>
      <w:r>
        <w:rPr>
          <w:color w:val="000000"/>
          <w:sz w:val="22"/>
          <w:szCs w:val="22"/>
          <w:shd w:val="clear" w:color="auto" w:fill="ffffff"/>
        </w:rPr>
      </w:r>
      <w:r>
        <w:rPr>
          <w:color w:val="000000"/>
          <w:sz w:val="22"/>
          <w:szCs w:val="22"/>
          <w:shd w:val="clear" w:color="auto" w:fill="ffffff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7.8</w:t>
      </w:r>
      <w:r>
        <w:rPr>
          <w:sz w:val="22"/>
          <w:szCs w:val="22"/>
          <w:shd w:val="clear" w:color="auto" w:fill="ffffff"/>
          <w:lang w:eastAsia="zh-CN"/>
        </w:rPr>
        <w:t xml:space="preserve">.1.</w:t>
      </w:r>
      <w:r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Поставщиком обязательств, предусмотренных Конт</w:t>
      </w:r>
      <w:r>
        <w:rPr>
          <w:sz w:val="22"/>
          <w:szCs w:val="22"/>
          <w:shd w:val="clear" w:color="auto" w:fill="ffffff"/>
          <w:lang w:eastAsia="zh-CN"/>
        </w:rPr>
        <w:t xml:space="preserve">рактом, не может превышать цену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7.9. Уплата штрафных санкций не освобождает стороны от выполнения обязательств по настоящему Контракту.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7.10.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</w:t>
      </w:r>
      <w:r>
        <w:rPr>
          <w:sz w:val="22"/>
          <w:szCs w:val="22"/>
          <w:shd w:val="clear" w:color="auto" w:fill="ffffff"/>
        </w:rPr>
        <w:t xml:space="preserve">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</w:t>
      </w:r>
      <w:r>
        <w:rPr>
          <w:sz w:val="22"/>
          <w:szCs w:val="22"/>
          <w:shd w:val="clear" w:color="auto" w:fill="ffffff"/>
        </w:rPr>
        <w:t xml:space="preserve">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7.11.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</w:t>
      </w:r>
      <w:r>
        <w:rPr>
          <w:sz w:val="22"/>
          <w:szCs w:val="22"/>
          <w:shd w:val="clear" w:color="auto" w:fill="ffffff"/>
        </w:rPr>
        <w:t xml:space="preserve">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 Пеня начисляется за каждый день просрочки исполнения Поставщиком (подрядчиком, исполнителем) обязател</w:t>
      </w:r>
      <w:r>
        <w:rPr>
          <w:sz w:val="22"/>
          <w:szCs w:val="22"/>
          <w:shd w:val="clear" w:color="auto" w:fill="ffffff"/>
        </w:rPr>
        <w:t xml:space="preserve">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</w:t>
      </w:r>
      <w:r>
        <w:rPr>
          <w:sz w:val="22"/>
          <w:szCs w:val="22"/>
          <w:shd w:val="clear" w:color="auto" w:fill="ffffff"/>
        </w:rPr>
        <w:t xml:space="preserve">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</w:t>
      </w:r>
      <w:r>
        <w:rPr>
          <w:sz w:val="22"/>
          <w:szCs w:val="22"/>
          <w:shd w:val="clear" w:color="auto" w:fill="ffffff"/>
        </w:rPr>
        <w:t xml:space="preserve">й Федерации установлен иной порядок начисления пени.</w:t>
      </w:r>
      <w:r>
        <w:rPr>
          <w:rFonts w:eastAsia="Batang"/>
          <w:sz w:val="22"/>
          <w:szCs w:val="22"/>
        </w:rPr>
        <w:t xml:space="preserve">                           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left="709" w:right="27" w:firstLine="11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     8. Действие обстоятельств непреодолимой силы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8.1.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8.2. Сторона, которая не исполняет своего обязательства вследствие действия непреодолимой силы, должна незамед</w:t>
      </w:r>
      <w:r>
        <w:rPr>
          <w:rFonts w:eastAsia="Batang"/>
          <w:sz w:val="22"/>
          <w:szCs w:val="22"/>
        </w:rPr>
        <w:t xml:space="preserve">лительно известить другую Сторону о таких обстоятельствах и их влиянии на исполнение обязательств по договору,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8.3. Если обстоятельства непреодолимой силы действуют на протяжении 3 (трех) последовательных месяцев, настоящий договор может быть расторгнут любой из Сторон путем направления письменного уведомления другой Стороне.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8.4. </w:t>
      </w:r>
      <w:r>
        <w:rPr>
          <w:rFonts w:eastAsia="Batang"/>
          <w:sz w:val="22"/>
          <w:szCs w:val="22"/>
        </w:rPr>
        <w:t xml:space="preserve">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sz w:val="22"/>
          <w:szCs w:val="22"/>
        </w:rPr>
      </w:r>
      <w:bookmarkStart w:id="0" w:name="bookmark0"/>
      <w:r>
        <w:rPr>
          <w:rFonts w:eastAsia="Batang"/>
          <w:b/>
          <w:sz w:val="22"/>
          <w:szCs w:val="22"/>
        </w:rPr>
        <w:t xml:space="preserve">9. Порядок разрешения споров</w:t>
      </w:r>
      <w:bookmarkEnd w:id="0"/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9.1. Все споры или разногласия, возникающие между Сторонами по настоящему Договору, разрешаются путем переговоров между ними.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9.2.</w:t>
      </w:r>
      <w:r>
        <w:rPr>
          <w:sz w:val="22"/>
          <w:szCs w:val="22"/>
        </w:rPr>
        <w:t xml:space="preserve"> После принятия сторонами мер по досудебному урегулированию споров Сторона договора имеет право передать спор на разрешение </w:t>
      </w:r>
      <w:r>
        <w:rPr>
          <w:sz w:val="22"/>
          <w:szCs w:val="22"/>
        </w:rPr>
        <w:t xml:space="preserve">Арбитражого</w:t>
      </w:r>
      <w:r>
        <w:rPr>
          <w:sz w:val="22"/>
          <w:szCs w:val="22"/>
        </w:rPr>
        <w:t xml:space="preserve"> суда по истечении 10 рабочих дней со дня получения претензии (требования) другой Стороной. При невозможности </w:t>
      </w:r>
      <w:r>
        <w:rPr>
          <w:sz w:val="22"/>
          <w:szCs w:val="22"/>
        </w:rPr>
        <w:t xml:space="preserve">разрешения  споров</w:t>
      </w:r>
      <w:r>
        <w:rPr>
          <w:sz w:val="22"/>
          <w:szCs w:val="22"/>
        </w:rPr>
        <w:t xml:space="preserve"> путем переговоров или в претензионном порядке спорный вопрос передается                         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на рассмотрение в Арбитражный суд, где он</w:t>
      </w:r>
      <w:r>
        <w:rPr>
          <w:rFonts w:eastAsia="Batang"/>
          <w:sz w:val="22"/>
          <w:szCs w:val="22"/>
        </w:rPr>
        <w:t xml:space="preserve"> </w:t>
      </w:r>
      <w:r>
        <w:rPr>
          <w:rFonts w:eastAsia="Batang"/>
          <w:sz w:val="22"/>
          <w:szCs w:val="22"/>
        </w:rPr>
        <w:t xml:space="preserve">разрешается  в</w:t>
      </w:r>
      <w:r>
        <w:rPr>
          <w:rFonts w:eastAsia="Batang"/>
          <w:sz w:val="22"/>
          <w:szCs w:val="22"/>
        </w:rPr>
        <w:t xml:space="preserve"> порядке, установленном действующим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10. Прочие условия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10.1. Настоящий Договор вступает в силу с момента его </w:t>
      </w:r>
      <w:r>
        <w:rPr>
          <w:rFonts w:eastAsia="Batang"/>
          <w:sz w:val="22"/>
          <w:szCs w:val="22"/>
        </w:rPr>
        <w:t xml:space="preserve">подписания  и</w:t>
      </w:r>
      <w:r>
        <w:rPr>
          <w:rFonts w:eastAsia="Batang"/>
          <w:sz w:val="22"/>
          <w:szCs w:val="22"/>
        </w:rPr>
        <w:t xml:space="preserve">  действует до полного исполнения сторонами своих обязательств по настоящему Договору, но не позднее 31.12.2026 г.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10.2. Настоящий Договор может быть расторгнут досрочно по соглашению Сторон при полном взаиморасчете.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 10.3. В случае изменения у како</w:t>
      </w:r>
      <w:r>
        <w:rPr>
          <w:rFonts w:eastAsia="Batang"/>
          <w:sz w:val="22"/>
          <w:szCs w:val="22"/>
        </w:rPr>
        <w:t xml:space="preserve">й-либо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10.4. 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11.5. Во всем остальном, что не предусмотрено настоящим Договором, Стороны обязаны руководствоваться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tabs>
          <w:tab w:val="left" w:pos="4815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Антикоррупционная оговорка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11.1. При исполнении своих обязательств по Договору, Стороны, их аффилированные лица, работники или посредники не выплачивают, не п</w:t>
      </w:r>
      <w:r>
        <w:rPr>
          <w:rFonts w:ascii="Times New Roman" w:hAnsi="Times New Roman" w:cs="Times New Roman"/>
          <w:sz w:val="22"/>
          <w:szCs w:val="22"/>
        </w:rPr>
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11.2. При исполнении своих обязательств по Договору, Стороны, их аффилированные лица, работники или посредники не осуществляют действия, квалифиц</w:t>
      </w:r>
      <w:r>
        <w:rPr>
          <w:rFonts w:ascii="Times New Roman" w:hAnsi="Times New Roman" w:cs="Times New Roman"/>
          <w:sz w:val="22"/>
          <w:szCs w:val="22"/>
        </w:rPr>
        <w:t xml:space="preserve">ируемые применимым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11.3. В случае возникновения у Стороны подозрений, что произошло или может произойти нарушение каких-либо положений настоящей части Договора, соответствующая Сторона обязуется уведомить другую Сторону в письменной форме. В письменном уведомлении Сторона об</w:t>
      </w:r>
      <w:r>
        <w:rPr>
          <w:rFonts w:ascii="Times New Roman" w:hAnsi="Times New Roman" w:cs="Times New Roman"/>
          <w:sz w:val="22"/>
          <w:szCs w:val="22"/>
        </w:rPr>
        <w:t xml:space="preserve">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части Договора контрагентом, его аффилированными лицами, работникам</w:t>
      </w:r>
      <w:r>
        <w:rPr>
          <w:rFonts w:ascii="Times New Roman" w:hAnsi="Times New Roman" w:cs="Times New Roman"/>
          <w:sz w:val="22"/>
          <w:szCs w:val="22"/>
        </w:rPr>
        <w:t xml:space="preserve">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</w:t>
      </w:r>
      <w:r>
        <w:rPr>
          <w:rFonts w:ascii="Times New Roman" w:hAnsi="Times New Roman" w:cs="Times New Roman"/>
          <w:sz w:val="22"/>
          <w:szCs w:val="22"/>
        </w:rPr>
        <w:t xml:space="preserve">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</w:t>
      </w:r>
      <w:r>
        <w:rPr>
          <w:rFonts w:ascii="Times New Roman" w:hAnsi="Times New Roman" w:cs="Times New Roman"/>
          <w:sz w:val="22"/>
          <w:szCs w:val="22"/>
        </w:rPr>
        <w:t xml:space="preserve">должно быть направлено в течение 10 (десяти) рабочих дней с момента направления письменного уведомления.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11.4. В случае нарушения одной Стороной обязательств воздерживаться от запрещенных в данной части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</w:t>
      </w:r>
      <w:r>
        <w:rPr>
          <w:sz w:val="22"/>
          <w:szCs w:val="22"/>
        </w:rPr>
        <w:t xml:space="preserve">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был, расторгнут Договор в соответствии с положениями настоящей части Договора, вправе требовать возме</w:t>
      </w:r>
      <w:r>
        <w:rPr>
          <w:sz w:val="22"/>
          <w:szCs w:val="22"/>
        </w:rPr>
        <w:t xml:space="preserve">щения реального ущерба, возникшего в результате такого расторжения.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pStyle w:val="915"/>
        <w:jc w:val="both"/>
        <w:rPr>
          <w:rFonts w:ascii="Times New Roman" w:hAnsi="Times New Roman" w:eastAsia="MS Mincho"/>
          <w:b/>
          <w:bCs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 </w:t>
      </w:r>
      <w:r>
        <w:rPr>
          <w:rFonts w:ascii="Times New Roman" w:hAnsi="Times New Roman" w:eastAsia="MS Mincho"/>
          <w:b/>
          <w:bCs/>
          <w:sz w:val="22"/>
          <w:szCs w:val="22"/>
        </w:rPr>
        <w:t xml:space="preserve">11. Контактная информация Заказчика</w:t>
      </w: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Юр</w:t>
      </w:r>
      <w:r>
        <w:rPr>
          <w:color w:val="000000" w:themeColor="text1"/>
          <w:sz w:val="22"/>
          <w:szCs w:val="22"/>
        </w:rPr>
        <w:t xml:space="preserve">идический адрес: 125367, г. Москва, Волоколамское шоссе, д. 80,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rStyle w:val="853"/>
          <w:color w:val="000000" w:themeColor="text1"/>
          <w:sz w:val="22"/>
          <w:szCs w:val="22"/>
          <w:highlight w:val="none"/>
        </w:rPr>
      </w:pPr>
      <w:r>
        <w:rPr>
          <w:color w:val="000000" w:themeColor="text1"/>
          <w:sz w:val="22"/>
          <w:szCs w:val="22"/>
        </w:rPr>
        <w:t xml:space="preserve">Заключение контракта: </w:t>
      </w:r>
      <w:r>
        <w:rPr>
          <w:color w:val="000000" w:themeColor="text1"/>
          <w:sz w:val="22"/>
          <w:szCs w:val="22"/>
        </w:rPr>
        <w:t xml:space="preserve">(495) 4902230 (474) </w:t>
      </w:r>
      <w:r>
        <w:rPr>
          <w:rStyle w:val="853"/>
          <w:color w:val="000000" w:themeColor="text1"/>
          <w:sz w:val="22"/>
          <w:szCs w:val="22"/>
          <w:highlight w:val="none"/>
        </w:rPr>
      </w:r>
      <w:r>
        <w:rPr>
          <w:rStyle w:val="853"/>
          <w:color w:val="000000" w:themeColor="text1"/>
          <w:sz w:val="22"/>
          <w:szCs w:val="22"/>
          <w:highlight w:val="none"/>
        </w:rPr>
      </w:r>
    </w:p>
    <w:p>
      <w:pPr>
        <w:contextualSpacing/>
        <w:jc w:val="both"/>
        <w:rPr>
          <w:rStyle w:val="853"/>
          <w:color w:val="000000" w:themeColor="text1"/>
          <w:sz w:val="22"/>
          <w:szCs w:val="22"/>
        </w:rPr>
      </w:pPr>
      <w:r>
        <w:rPr>
          <w:rStyle w:val="853"/>
          <w:color w:val="000000" w:themeColor="text1"/>
          <w:sz w:val="22"/>
          <w:szCs w:val="22"/>
          <w:highlight w:val="none"/>
        </w:rPr>
        <w:t xml:space="preserve">Контактное лицо: Сухоруков Владимир Сергеевич, 8495 490 24 15 д.273</w:t>
      </w:r>
      <w:r>
        <w:rPr>
          <w:rStyle w:val="853"/>
          <w:color w:val="000000" w:themeColor="text1"/>
          <w:sz w:val="22"/>
          <w:szCs w:val="22"/>
        </w:rPr>
      </w:r>
      <w:r>
        <w:rPr>
          <w:rStyle w:val="853"/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ОГРН 1027739766812 от 16.04.1993 г.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ИНН 7733012151, КПП 773301001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ОКПО 01897653, ОКТМО 45368000, ОКОПФ 75103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Банковские реквизиты: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УФК по г. Москве (ФГБНУ РЦНН л/с 20736У94110)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Единый казначейский счет (счет банка получателя) 40102810545370000003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Казначейский счет (расчетн</w:t>
      </w:r>
      <w:r>
        <w:rPr>
          <w:sz w:val="22"/>
          <w:szCs w:val="22"/>
        </w:rPr>
        <w:t xml:space="preserve">ый счет) 03214643000000017300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hd w:val="clear" w:color="auto" w:fill="ffffff"/>
        <w:rPr>
          <w:color w:val="000000"/>
          <w:spacing w:val="5"/>
          <w:highlight w:val="white"/>
        </w:rPr>
      </w:pPr>
      <w:r>
        <w:rPr>
          <w:sz w:val="22"/>
          <w:szCs w:val="22"/>
        </w:rPr>
      </w:r>
      <w:r>
        <w:rPr>
          <w:sz w:val="22"/>
          <w:szCs w:val="22"/>
          <w:highlight w:val="white"/>
        </w:rPr>
        <w:t xml:space="preserve"> </w:t>
      </w:r>
      <w:r>
        <w:rPr>
          <w:color w:val="000000"/>
          <w:spacing w:val="5"/>
          <w:sz w:val="22"/>
          <w:szCs w:val="22"/>
          <w:highlight w:val="white"/>
        </w:rPr>
        <w:t xml:space="preserve">ОКЦ № 1 ГУ БАНКА РОССИИ ПО ЦФО//УФК</w:t>
      </w:r>
      <w:r>
        <w:rPr>
          <w:color w:val="000000"/>
          <w:spacing w:val="5"/>
          <w:highlight w:val="white"/>
        </w:rPr>
      </w:r>
      <w:r>
        <w:rPr>
          <w:color w:val="000000"/>
          <w:spacing w:val="5"/>
          <w:highlight w:val="white"/>
        </w:rPr>
      </w:r>
    </w:p>
    <w:p>
      <w:pPr>
        <w:contextualSpacing/>
        <w:jc w:val="both"/>
        <w:rPr>
          <w:sz w:val="22"/>
          <w:szCs w:val="22"/>
        </w:rPr>
      </w:pPr>
      <w:r>
        <w:rPr>
          <w:color w:val="000000"/>
          <w:spacing w:val="5"/>
          <w:sz w:val="22"/>
          <w:szCs w:val="22"/>
          <w:highlight w:val="white"/>
        </w:rPr>
        <w:t xml:space="preserve">ПО Г. МОСКВЕ г. Москв</w:t>
      </w:r>
      <w:r>
        <w:rPr>
          <w:color w:val="000000"/>
          <w:spacing w:val="5"/>
          <w:sz w:val="22"/>
          <w:szCs w:val="22"/>
          <w:highlight w:val="white"/>
        </w:rPr>
        <w:t xml:space="preserve">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БИК 004525988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</w:t>
      </w:r>
      <w:r>
        <w:rPr>
          <w:highlight w:val="none"/>
        </w:rPr>
      </w:r>
    </w:p>
    <w:p>
      <w:pPr>
        <w:contextualSpacing/>
        <w:jc w:val="both"/>
        <w:rPr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СПЕЦИФИКАЦИЯ</w:t>
      </w:r>
      <w:r/>
      <w:r/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tbl>
      <w:tblPr>
        <w:tblStyle w:val="727"/>
        <w:tblpPr w:horzAnchor="text" w:tblpXSpec="left" w:vertAnchor="text" w:tblpY="1" w:leftFromText="180" w:topFromText="0" w:rightFromText="180" w:bottomFromText="0"/>
        <w:tblW w:w="14707" w:type="dxa"/>
        <w:tblLayout w:type="fixed"/>
        <w:tblLook w:val="04A0" w:firstRow="1" w:lastRow="0" w:firstColumn="1" w:lastColumn="0" w:noHBand="0" w:noVBand="1"/>
      </w:tblPr>
      <w:tblGrid>
        <w:gridCol w:w="644"/>
        <w:gridCol w:w="1530"/>
        <w:gridCol w:w="2361"/>
        <w:gridCol w:w="5383"/>
        <w:gridCol w:w="2551"/>
        <w:gridCol w:w="1356"/>
        <w:gridCol w:w="882"/>
      </w:tblGrid>
      <w:tr>
        <w:tblPrEx/>
        <w:trPr>
          <w:trHeight w:val="1769"/>
        </w:trPr>
        <w:tc>
          <w:tcPr>
            <w:tcW w:w="6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Код КТРУ </w:t>
            </w:r>
            <w:r>
              <w:rPr>
                <w:rFonts w:ascii="Times New Roman" w:hAnsi="Times New Roman" w:eastAsia="Times New Roman" w:cs="Times New Roman"/>
                <w:lang w:val="en-US"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ОКПД2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lang w:val="en-US"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Характеристики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Значение параметра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Единица измерения товара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699"/>
        </w:trPr>
        <w:tc>
          <w:tcPr>
            <w:tcW w:w="6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21.20.23.110-00001302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Конъюгированные вторичные антитела для иммуногистохимии ИВД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Описание: Одно или множество конъюгированных ан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тител, способных связываться со специфическими антигенными детерминантами, предназначенных для использования при определении первичных антител, связанных со специфическими клеточными маркерами, при тестировании биологических тканей или клинических образцов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 соответствии с КТРУ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набор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61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Назначение: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Для ручной постановки анализа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534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Объем реагента: 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≥ 10 Кубический сантиметр;^миллилитр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86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Дополнительные характеристики: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86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Набор реагентов для визуализации на основе полимера и пероксидазы, в состав набора входит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Отработанный протокол исследований, реализует возможность точного анализа препаратов для проведения исследования и постановки диагноза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86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протеиновый блок, 2 шт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 мл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86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пероксидазный блок, 2 шт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 мл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86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усилитель проникновения полимера, 2 шт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 мл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86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вторичные антитела меченные полимером, 2 шт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 мл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86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ДАБ хромоген, 1 шт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 мл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86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ДАБ буфер, 2 шт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30 мл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86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Гематоксилин, 2 шт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 мл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86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набор рассчитан на выполнение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500 тестов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86"/>
        </w:trPr>
        <w:tc>
          <w:tcPr>
            <w:tcW w:w="6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21.20.23.110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Антитела к beta Amyloid (1-42)*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Поликлональные кроличьи антитела к beta Amyloid (1-42)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Отработанный протокол исследований, реализует </w:t>
            </w:r>
            <w:r>
              <w:rPr>
                <w:rFonts w:ascii="Times New Roman" w:hAnsi="Times New Roman" w:cs="Times New Roman"/>
              </w:rPr>
              <w:t xml:space="preserve">возможность точного анализа препаратов для проведения исследования и постановки диагноза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86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Предназначены для проведения иммуногистохимического окрашивания на  парафиновых срезах фиксированного в формалине материала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Потребность Заказчика, для выполнения задачи по окрашиванию материала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86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Жидкий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концентрат, разведение 1:500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Концентрация реагента обеспечивает проведение большого объема исследований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286"/>
        </w:trPr>
        <w:tc>
          <w:tcPr>
            <w:tcW w:w="6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3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3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Объем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100 мл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Потребность Заказчика, для обеспечения бесперебойной работы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</w:tbl>
    <w:p>
      <w:pPr>
        <w:jc w:val="both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 xml:space="preserve">* - </w:t>
      </w:r>
      <w:r>
        <w:rPr>
          <w:rFonts w:ascii="Times New Roman" w:hAnsi="Times New Roman" w:eastAsia="Times New Roman" w:cs="Times New Roman"/>
          <w:b/>
          <w:color w:val="ff0000"/>
          <w:shd w:val="clear" w:color="auto" w:fill="ffffff"/>
          <w:lang w:eastAsia="ru-RU"/>
        </w:rPr>
        <w:t xml:space="preserve">Данный товар является медицинским изделием</w:t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 xml:space="preserve">. Указанный товар подлежит государственной регистрации в качестве медицинского изделия, </w:t>
      </w:r>
      <w:r>
        <w:rPr>
          <w:rFonts w:ascii="Times New Roman" w:hAnsi="Times New Roman" w:eastAsia="Times New Roman" w:cs="Times New Roman"/>
          <w:b/>
          <w:color w:val="ff0000"/>
          <w:shd w:val="clear" w:color="auto" w:fill="ffffff"/>
          <w:lang w:eastAsia="ru-RU"/>
        </w:rPr>
        <w:t xml:space="preserve">обязательное предоставление </w:t>
      </w:r>
      <w:r>
        <w:rPr>
          <w:rFonts w:ascii="Times New Roman" w:hAnsi="Times New Roman" w:eastAsia="Times New Roman" w:cs="Times New Roman"/>
          <w:b/>
          <w:color w:val="ff0000"/>
          <w:shd w:val="clear" w:color="auto" w:fill="ffffff"/>
          <w:lang w:eastAsia="ru-RU"/>
        </w:rPr>
        <w:t xml:space="preserve">регистрационно</w:t>
      </w:r>
      <w:r>
        <w:rPr>
          <w:rFonts w:ascii="Times New Roman" w:hAnsi="Times New Roman" w:eastAsia="Times New Roman" w:cs="Times New Roman"/>
          <w:b/>
          <w:color w:val="ff0000"/>
          <w:shd w:val="clear" w:color="auto" w:fill="ffffff"/>
          <w:lang w:eastAsia="ru-RU"/>
        </w:rPr>
        <w:t xml:space="preserve">го</w:t>
      </w:r>
      <w:r>
        <w:rPr>
          <w:rFonts w:ascii="Times New Roman" w:hAnsi="Times New Roman" w:eastAsia="Times New Roman" w:cs="Times New Roman"/>
          <w:b/>
          <w:color w:val="ff0000"/>
          <w:shd w:val="clear" w:color="auto" w:fill="ffffff"/>
          <w:lang w:eastAsia="ru-RU"/>
        </w:rPr>
        <w:t xml:space="preserve"> удостоверени</w:t>
      </w:r>
      <w:r>
        <w:rPr>
          <w:rFonts w:ascii="Times New Roman" w:hAnsi="Times New Roman" w:eastAsia="Times New Roman" w:cs="Times New Roman"/>
          <w:b/>
          <w:color w:val="ff0000"/>
          <w:shd w:val="clear" w:color="auto" w:fill="ffffff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b/>
          <w:color w:val="ff0000"/>
          <w:shd w:val="clear" w:color="auto" w:fill="ffffff"/>
          <w:lang w:eastAsia="ru-RU"/>
        </w:rPr>
        <w:t xml:space="preserve"> на указанный товар</w:t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 xml:space="preserve"> Товар использ</w:t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 xml:space="preserve">ует</w:t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 xml:space="preserve">ся как медицинское изделие и применя</w:t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 xml:space="preserve">ет</w:t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 xml:space="preserve">ся в медицинских целях.</w:t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</w:r>
    </w:p>
    <w:p>
      <w:pPr>
        <w:jc w:val="both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 xml:space="preserve">*</w:t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 xml:space="preserve">*</w:t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b/>
          <w:color w:val="ff0000"/>
          <w:shd w:val="clear" w:color="auto" w:fill="ffffff"/>
          <w:lang w:eastAsia="ru-RU"/>
        </w:rPr>
        <w:t xml:space="preserve">Данный товар не является медицинским изделием</w:t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 xml:space="preserve">. Указанный товар не подлежит государственной регистрации в качестве медицинского изделия, регистрационное удостоверение на указанный товар отсутствует. Товар не может использоваться как медицинское изделие и применяться в медицинских целях</w:t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 xml:space="preserve"> (только для научных целей)</w:t>
      </w:r>
      <w:bookmarkStart w:id="0" w:name="undefined"/>
      <w:r/>
      <w:bookmarkEnd w:id="0"/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6838" w:h="11906" w:orient="landscape"/>
      <w:pgMar w:top="1134" w:right="993" w:bottom="397" w:left="709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MS Mincho">
    <w:panose1 w:val="02020503050405090304"/>
  </w:font>
  <w:font w:name="Symbol">
    <w:panose1 w:val="05050102010706020507"/>
  </w:font>
  <w:font w:name="Verdana">
    <w:panose1 w:val="020B0604030504040204"/>
  </w:font>
  <w:font w:name="SimSun">
    <w:panose1 w:val="02010600030101010101"/>
  </w:font>
  <w:font w:name="Calibri">
    <w:panose1 w:val="020F0502020204030204"/>
  </w:font>
  <w:font w:name="Batang">
    <w:panose1 w:val="02010600030101010101"/>
  </w:font>
  <w:font w:name="Times New Roman">
    <w:panose1 w:val="02020603050405020304"/>
  </w:font>
  <w:font w:name="Arial Narrow">
    <w:panose1 w:val="020B0604020202020204"/>
  </w:font>
  <w:font w:name="Microsoft YaHei">
    <w:panose1 w:val="020B0503020204020204"/>
  </w:font>
  <w:font w:name="Courier New">
    <w:panose1 w:val="02070309020205020404"/>
  </w:font>
  <w:font w:name="Mangal">
    <w:panose1 w:val="02040503050406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8371" w:hanging="432"/>
        <w:tabs>
          <w:tab w:val="num" w:pos="2693" w:leader="none"/>
        </w:tabs>
      </w:pPr>
      <w:rPr>
        <w:rFonts w:ascii="Times New Roman" w:hAnsi="Times New Roman" w:cs="Times New Roman"/>
        <w:b/>
        <w:bCs/>
        <w:color w:val="00000a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899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  <w:rPr>
        <w:b/>
        <w:i w:val="0"/>
      </w:rPr>
    </w:lvl>
    <w:lvl w:ilvl="1">
      <w:start w:val="1"/>
      <w:numFmt w:val="decimal"/>
      <w:pStyle w:val="900"/>
      <w:isLgl w:val="false"/>
      <w:suff w:val="tab"/>
      <w:lvlText w:val="%1.%2"/>
      <w:lvlJc w:val="left"/>
      <w:pPr>
        <w:ind w:left="2269" w:hanging="851"/>
        <w:tabs>
          <w:tab w:val="num" w:pos="2269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901"/>
      <w:isLgl w:val="false"/>
      <w:suff w:val="tab"/>
      <w:lvlText w:val="%1.%2.%3"/>
      <w:lvlJc w:val="left"/>
      <w:pPr>
        <w:ind w:left="851" w:hanging="851"/>
        <w:tabs>
          <w:tab w:val="num" w:pos="851" w:leader="none"/>
        </w:tabs>
      </w:pPr>
      <w:rPr>
        <w:b w:val="0"/>
        <w:bCs w:val="0"/>
        <w:i w:val="0"/>
        <w:iCs w:val="0"/>
      </w:rPr>
    </w:lvl>
    <w:lvl w:ilvl="3">
      <w:start w:val="1"/>
      <w:numFmt w:val="lowerLetter"/>
      <w:pStyle w:val="902"/>
      <w:isLgl w:val="false"/>
      <w:suff w:val="tab"/>
      <w:lvlText w:val="%4)"/>
      <w:lvlJc w:val="left"/>
      <w:pPr>
        <w:ind w:left="1418" w:hanging="567"/>
        <w:tabs>
          <w:tab w:val="num" w:pos="1418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isLgl w:val="false"/>
      <w:suff w:val="tab"/>
      <w:lvlText w:val="%5)"/>
      <w:lvlJc w:val="left"/>
      <w:pPr>
        <w:ind w:left="1134" w:hanging="567"/>
        <w:tabs>
          <w:tab w:val="num" w:pos="1134" w:leader="none"/>
        </w:tabs>
      </w:pPr>
    </w:lvl>
    <w:lvl w:ilvl="5">
      <w:start w:val="1"/>
      <w:numFmt w:val="bullet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ascii="Symbol" w:hAnsi="Symbol"/>
      </w:rPr>
    </w:lvl>
    <w:lvl w:ilvl="6">
      <w:start w:val="1"/>
      <w:numFmt w:val="lowerLetter"/>
      <w:isLgl w:val="false"/>
      <w:suff w:val="tab"/>
      <w:lvlText w:val="%5%6%7)"/>
      <w:lvlJc w:val="left"/>
      <w:pPr>
        <w:ind w:left="2268" w:hanging="567"/>
        <w:tabs>
          <w:tab w:val="num" w:pos="226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2" w:hanging="1224"/>
        <w:tabs>
          <w:tab w:val="num" w:pos="397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98" w:hanging="1440"/>
        <w:tabs>
          <w:tab w:val="num" w:pos="4698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3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4">
    <w:name w:val="Heading 2 Char"/>
    <w:basedOn w:val="700"/>
    <w:link w:val="692"/>
    <w:uiPriority w:val="9"/>
    <w:rPr>
      <w:rFonts w:ascii="Arial" w:hAnsi="Arial" w:eastAsia="Arial" w:cs="Arial"/>
      <w:sz w:val="34"/>
    </w:rPr>
  </w:style>
  <w:style w:type="character" w:styleId="675">
    <w:name w:val="Heading 3 Char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676">
    <w:name w:val="Heading 4 Char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677">
    <w:name w:val="Heading 5 Char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678">
    <w:name w:val="Heading 6 Char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679">
    <w:name w:val="Heading 7 Char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8 Char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681">
    <w:name w:val="Heading 9 Char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682">
    <w:name w:val="Title Char"/>
    <w:basedOn w:val="700"/>
    <w:link w:val="713"/>
    <w:uiPriority w:val="10"/>
    <w:rPr>
      <w:sz w:val="48"/>
      <w:szCs w:val="48"/>
    </w:rPr>
  </w:style>
  <w:style w:type="character" w:styleId="683">
    <w:name w:val="Subtitle Char"/>
    <w:basedOn w:val="700"/>
    <w:link w:val="715"/>
    <w:uiPriority w:val="11"/>
    <w:rPr>
      <w:sz w:val="24"/>
      <w:szCs w:val="24"/>
    </w:rPr>
  </w:style>
  <w:style w:type="character" w:styleId="684">
    <w:name w:val="Quote Char"/>
    <w:link w:val="717"/>
    <w:uiPriority w:val="29"/>
    <w:rPr>
      <w:i/>
    </w:rPr>
  </w:style>
  <w:style w:type="character" w:styleId="685">
    <w:name w:val="Intense Quote Char"/>
    <w:link w:val="719"/>
    <w:uiPriority w:val="30"/>
    <w:rPr>
      <w:i/>
    </w:rPr>
  </w:style>
  <w:style w:type="character" w:styleId="686">
    <w:name w:val="Header Char"/>
    <w:basedOn w:val="700"/>
    <w:link w:val="721"/>
    <w:uiPriority w:val="99"/>
  </w:style>
  <w:style w:type="character" w:styleId="687">
    <w:name w:val="Caption Char"/>
    <w:basedOn w:val="725"/>
    <w:link w:val="723"/>
    <w:uiPriority w:val="99"/>
  </w:style>
  <w:style w:type="character" w:styleId="688">
    <w:name w:val="Footnote Text Char"/>
    <w:link w:val="854"/>
    <w:uiPriority w:val="99"/>
    <w:rPr>
      <w:sz w:val="18"/>
    </w:rPr>
  </w:style>
  <w:style w:type="character" w:styleId="689">
    <w:name w:val="Endnote Text Char"/>
    <w:link w:val="857"/>
    <w:uiPriority w:val="99"/>
    <w:rPr>
      <w:sz w:val="20"/>
    </w:rPr>
  </w:style>
  <w:style w:type="paragraph" w:styleId="690" w:default="1">
    <w:name w:val="Normal"/>
    <w:rPr>
      <w:sz w:val="24"/>
      <w:szCs w:val="24"/>
      <w:lang w:eastAsia="ar-SA"/>
    </w:rPr>
  </w:style>
  <w:style w:type="paragraph" w:styleId="691">
    <w:name w:val="Heading 1"/>
    <w:basedOn w:val="690"/>
    <w:link w:val="907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692">
    <w:name w:val="Heading 2"/>
    <w:basedOn w:val="690"/>
    <w:next w:val="690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3">
    <w:name w:val="Heading 3"/>
    <w:basedOn w:val="690"/>
    <w:next w:val="690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4">
    <w:name w:val="Heading 4"/>
    <w:basedOn w:val="690"/>
    <w:next w:val="690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690"/>
    <w:next w:val="690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96">
    <w:name w:val="Heading 6"/>
    <w:basedOn w:val="690"/>
    <w:next w:val="690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7">
    <w:name w:val="Heading 7"/>
    <w:basedOn w:val="690"/>
    <w:next w:val="690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690"/>
    <w:next w:val="690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9">
    <w:name w:val="Heading 9"/>
    <w:basedOn w:val="690"/>
    <w:next w:val="690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link w:val="692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link w:val="693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No Spacing"/>
    <w:rPr>
      <w:sz w:val="24"/>
      <w:szCs w:val="24"/>
      <w:lang w:eastAsia="ru-RU"/>
    </w:rPr>
  </w:style>
  <w:style w:type="paragraph" w:styleId="713">
    <w:name w:val="Title"/>
    <w:basedOn w:val="690"/>
    <w:next w:val="889"/>
    <w:link w:val="714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character" w:styleId="714" w:customStyle="1">
    <w:name w:val="Заголовок Знак"/>
    <w:link w:val="713"/>
    <w:uiPriority w:val="10"/>
    <w:rPr>
      <w:sz w:val="48"/>
      <w:szCs w:val="48"/>
    </w:rPr>
  </w:style>
  <w:style w:type="paragraph" w:styleId="715">
    <w:name w:val="Subtitle"/>
    <w:basedOn w:val="690"/>
    <w:next w:val="690"/>
    <w:link w:val="716"/>
    <w:uiPriority w:val="11"/>
    <w:qFormat/>
    <w:pPr>
      <w:spacing w:before="200" w:after="200"/>
    </w:pPr>
  </w:style>
  <w:style w:type="character" w:styleId="716" w:customStyle="1">
    <w:name w:val="Подзаголовок Знак"/>
    <w:link w:val="715"/>
    <w:uiPriority w:val="11"/>
    <w:rPr>
      <w:sz w:val="24"/>
      <w:szCs w:val="24"/>
    </w:rPr>
  </w:style>
  <w:style w:type="paragraph" w:styleId="717">
    <w:name w:val="Quote"/>
    <w:basedOn w:val="690"/>
    <w:next w:val="690"/>
    <w:link w:val="718"/>
    <w:uiPriority w:val="29"/>
    <w:qFormat/>
    <w:pPr>
      <w:ind w:left="720" w:right="720"/>
    </w:pPr>
    <w:rPr>
      <w:i/>
    </w:rPr>
  </w:style>
  <w:style w:type="character" w:styleId="718" w:customStyle="1">
    <w:name w:val="Цитата 2 Знак"/>
    <w:link w:val="717"/>
    <w:uiPriority w:val="29"/>
    <w:rPr>
      <w:i/>
    </w:rPr>
  </w:style>
  <w:style w:type="paragraph" w:styleId="719">
    <w:name w:val="Intense Quote"/>
    <w:basedOn w:val="690"/>
    <w:next w:val="690"/>
    <w:link w:val="72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 w:customStyle="1">
    <w:name w:val="Выделенная цитата Знак"/>
    <w:link w:val="719"/>
    <w:uiPriority w:val="30"/>
    <w:rPr>
      <w:i/>
    </w:rPr>
  </w:style>
  <w:style w:type="paragraph" w:styleId="721">
    <w:name w:val="Header"/>
    <w:basedOn w:val="690"/>
    <w:link w:val="72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2" w:customStyle="1">
    <w:name w:val="Верхний колонтитул Знак"/>
    <w:link w:val="721"/>
    <w:uiPriority w:val="99"/>
  </w:style>
  <w:style w:type="paragraph" w:styleId="723">
    <w:name w:val="Footer"/>
    <w:basedOn w:val="690"/>
    <w:link w:val="72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4" w:customStyle="1">
    <w:name w:val="Footer Char"/>
    <w:uiPriority w:val="99"/>
  </w:style>
  <w:style w:type="paragraph" w:styleId="725">
    <w:name w:val="Caption"/>
    <w:basedOn w:val="690"/>
    <w:next w:val="690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 w:customStyle="1">
    <w:name w:val="Нижний колонтитул Знак"/>
    <w:link w:val="723"/>
    <w:uiPriority w:val="99"/>
  </w:style>
  <w:style w:type="table" w:styleId="727">
    <w:name w:val="Table Grid"/>
    <w:basedOn w:val="701"/>
    <w:tblPr/>
  </w:style>
  <w:style w:type="table" w:styleId="728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7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8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9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0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1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2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9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0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1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2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3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4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5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6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9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0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1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2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3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4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5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0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1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2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3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4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5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6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7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8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9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0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1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2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3">
    <w:name w:val="Hyperlink"/>
    <w:basedOn w:val="878"/>
    <w:rPr>
      <w:color w:val="0000ff"/>
      <w:u w:val="single"/>
    </w:rPr>
  </w:style>
  <w:style w:type="paragraph" w:styleId="854">
    <w:name w:val="footnote text"/>
    <w:basedOn w:val="690"/>
    <w:link w:val="855"/>
    <w:uiPriority w:val="99"/>
    <w:semiHidden/>
    <w:unhideWhenUsed/>
    <w:pPr>
      <w:spacing w:after="40"/>
    </w:pPr>
    <w:rPr>
      <w:sz w:val="18"/>
    </w:rPr>
  </w:style>
  <w:style w:type="character" w:styleId="855" w:customStyle="1">
    <w:name w:val="Текст сноски Знак"/>
    <w:link w:val="854"/>
    <w:uiPriority w:val="99"/>
    <w:rPr>
      <w:sz w:val="18"/>
    </w:rPr>
  </w:style>
  <w:style w:type="character" w:styleId="856">
    <w:name w:val="footnote reference"/>
    <w:uiPriority w:val="99"/>
    <w:unhideWhenUsed/>
    <w:rPr>
      <w:vertAlign w:val="superscript"/>
    </w:rPr>
  </w:style>
  <w:style w:type="paragraph" w:styleId="857">
    <w:name w:val="endnote text"/>
    <w:basedOn w:val="690"/>
    <w:link w:val="858"/>
    <w:uiPriority w:val="99"/>
    <w:semiHidden/>
    <w:unhideWhenUsed/>
    <w:rPr>
      <w:sz w:val="20"/>
    </w:rPr>
  </w:style>
  <w:style w:type="character" w:styleId="858" w:customStyle="1">
    <w:name w:val="Текст концевой сноски Знак"/>
    <w:link w:val="857"/>
    <w:uiPriority w:val="99"/>
    <w:rPr>
      <w:sz w:val="20"/>
    </w:rPr>
  </w:style>
  <w:style w:type="character" w:styleId="859">
    <w:name w:val="endnote reference"/>
    <w:uiPriority w:val="99"/>
    <w:semiHidden/>
    <w:unhideWhenUsed/>
    <w:rPr>
      <w:vertAlign w:val="superscript"/>
    </w:rPr>
  </w:style>
  <w:style w:type="paragraph" w:styleId="860">
    <w:name w:val="toc 1"/>
    <w:basedOn w:val="690"/>
    <w:next w:val="690"/>
    <w:uiPriority w:val="39"/>
    <w:unhideWhenUsed/>
    <w:pPr>
      <w:spacing w:after="57"/>
    </w:pPr>
  </w:style>
  <w:style w:type="paragraph" w:styleId="861">
    <w:name w:val="toc 2"/>
    <w:basedOn w:val="690"/>
    <w:next w:val="690"/>
    <w:uiPriority w:val="39"/>
    <w:unhideWhenUsed/>
    <w:pPr>
      <w:ind w:left="283"/>
      <w:spacing w:after="57"/>
    </w:pPr>
  </w:style>
  <w:style w:type="paragraph" w:styleId="862">
    <w:name w:val="toc 3"/>
    <w:basedOn w:val="690"/>
    <w:next w:val="690"/>
    <w:uiPriority w:val="39"/>
    <w:unhideWhenUsed/>
    <w:pPr>
      <w:ind w:left="567"/>
      <w:spacing w:after="57"/>
    </w:pPr>
  </w:style>
  <w:style w:type="paragraph" w:styleId="863">
    <w:name w:val="toc 4"/>
    <w:basedOn w:val="690"/>
    <w:next w:val="690"/>
    <w:uiPriority w:val="39"/>
    <w:unhideWhenUsed/>
    <w:pPr>
      <w:ind w:left="850"/>
      <w:spacing w:after="57"/>
    </w:pPr>
  </w:style>
  <w:style w:type="paragraph" w:styleId="864">
    <w:name w:val="toc 5"/>
    <w:basedOn w:val="690"/>
    <w:next w:val="690"/>
    <w:uiPriority w:val="39"/>
    <w:unhideWhenUsed/>
    <w:pPr>
      <w:ind w:left="1134"/>
      <w:spacing w:after="57"/>
    </w:pPr>
  </w:style>
  <w:style w:type="paragraph" w:styleId="865">
    <w:name w:val="toc 6"/>
    <w:basedOn w:val="690"/>
    <w:next w:val="690"/>
    <w:uiPriority w:val="39"/>
    <w:unhideWhenUsed/>
    <w:pPr>
      <w:ind w:left="1417"/>
      <w:spacing w:after="57"/>
    </w:pPr>
  </w:style>
  <w:style w:type="paragraph" w:styleId="866">
    <w:name w:val="toc 7"/>
    <w:basedOn w:val="690"/>
    <w:next w:val="690"/>
    <w:uiPriority w:val="39"/>
    <w:unhideWhenUsed/>
    <w:pPr>
      <w:ind w:left="1701"/>
      <w:spacing w:after="57"/>
    </w:pPr>
  </w:style>
  <w:style w:type="paragraph" w:styleId="867">
    <w:name w:val="toc 8"/>
    <w:basedOn w:val="690"/>
    <w:next w:val="690"/>
    <w:uiPriority w:val="39"/>
    <w:unhideWhenUsed/>
    <w:pPr>
      <w:ind w:left="1984"/>
      <w:spacing w:after="57"/>
    </w:pPr>
  </w:style>
  <w:style w:type="paragraph" w:styleId="868">
    <w:name w:val="toc 9"/>
    <w:basedOn w:val="690"/>
    <w:next w:val="690"/>
    <w:uiPriority w:val="39"/>
    <w:unhideWhenUsed/>
    <w:pPr>
      <w:ind w:left="2268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690"/>
    <w:next w:val="690"/>
    <w:uiPriority w:val="99"/>
    <w:unhideWhenUsed/>
  </w:style>
  <w:style w:type="character" w:styleId="871" w:customStyle="1">
    <w:name w:val="Absatz-Standardschriftart"/>
  </w:style>
  <w:style w:type="character" w:styleId="872" w:customStyle="1">
    <w:name w:val="WW8Num1z0"/>
    <w:rPr>
      <w:rFonts w:ascii="Batang" w:hAnsi="Batang" w:cs="Batang"/>
      <w:b/>
      <w:bCs/>
      <w:i w:val="0"/>
      <w:iCs w:val="0"/>
      <w:caps w:val="0"/>
      <w:smallCaps w:val="0"/>
      <w:strike w:val="0"/>
      <w:color w:val="000000"/>
      <w:spacing w:val="8"/>
      <w:position w:val="0"/>
      <w:sz w:val="18"/>
      <w:szCs w:val="18"/>
      <w:u w:val="none"/>
      <w:vertAlign w:val="baseline"/>
    </w:rPr>
  </w:style>
  <w:style w:type="character" w:styleId="873" w:customStyle="1">
    <w:name w:val="WW8Num1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4" w:customStyle="1">
    <w:name w:val="WW8Num2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5" w:customStyle="1">
    <w:name w:val="WW8Num3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6" w:customStyle="1">
    <w:name w:val="WW8Num4z0"/>
    <w:rPr>
      <w:rFonts w:ascii="Batang" w:hAnsi="Batang" w:cs="Batang"/>
      <w:b w:val="0"/>
      <w:bCs w:val="0"/>
      <w:i/>
      <w:iCs/>
      <w:caps w:val="0"/>
      <w:smallCaps w:val="0"/>
      <w:strike w:val="0"/>
      <w:color w:val="000000"/>
      <w:spacing w:val="-34"/>
      <w:position w:val="0"/>
      <w:sz w:val="18"/>
      <w:szCs w:val="18"/>
      <w:u w:val="none"/>
      <w:vertAlign w:val="baseline"/>
    </w:rPr>
  </w:style>
  <w:style w:type="character" w:styleId="877" w:customStyle="1">
    <w:name w:val="WW8Num4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18"/>
      <w:szCs w:val="18"/>
      <w:u w:val="none"/>
      <w:vertAlign w:val="baseline"/>
    </w:rPr>
  </w:style>
  <w:style w:type="character" w:styleId="878" w:customStyle="1">
    <w:name w:val="Основной шрифт абзаца1"/>
  </w:style>
  <w:style w:type="character" w:styleId="879" w:customStyle="1">
    <w:name w:val="Основной текст (2)_"/>
    <w:basedOn w:val="878"/>
    <w:rPr>
      <w:rFonts w:ascii="Batang" w:hAnsi="Batang" w:eastAsia="Batang"/>
      <w:b/>
      <w:bCs/>
      <w:spacing w:val="6"/>
      <w:sz w:val="18"/>
      <w:szCs w:val="18"/>
      <w:lang w:eastAsia="ar-SA" w:bidi="ar-SA"/>
    </w:rPr>
  </w:style>
  <w:style w:type="character" w:styleId="880" w:customStyle="1">
    <w:name w:val="Основной текст (2) + Интервал 0 pt"/>
    <w:basedOn w:val="879"/>
    <w:rPr>
      <w:rFonts w:ascii="Batang" w:hAnsi="Batang" w:eastAsia="Batang"/>
      <w:b/>
      <w:bCs/>
      <w:spacing w:val="8"/>
      <w:sz w:val="18"/>
      <w:szCs w:val="18"/>
      <w:lang w:eastAsia="ar-SA" w:bidi="ar-SA"/>
    </w:rPr>
  </w:style>
  <w:style w:type="character" w:styleId="881" w:customStyle="1">
    <w:name w:val="Основной текст_"/>
    <w:basedOn w:val="878"/>
    <w:link w:val="916"/>
    <w:rPr>
      <w:rFonts w:ascii="Batang" w:hAnsi="Batang" w:eastAsia="Batang"/>
      <w:spacing w:val="2"/>
      <w:sz w:val="18"/>
      <w:szCs w:val="18"/>
      <w:lang w:eastAsia="ar-SA" w:bidi="ar-SA"/>
    </w:rPr>
  </w:style>
  <w:style w:type="character" w:styleId="882" w:customStyle="1">
    <w:name w:val="Основной текст + Интервал 0 pt"/>
    <w:basedOn w:val="881"/>
    <w:rPr>
      <w:rFonts w:ascii="Batang" w:hAnsi="Batang" w:eastAsia="Batang"/>
      <w:spacing w:val="3"/>
      <w:sz w:val="18"/>
      <w:szCs w:val="18"/>
      <w:lang w:eastAsia="ar-SA" w:bidi="ar-SA"/>
    </w:rPr>
  </w:style>
  <w:style w:type="character" w:styleId="883" w:customStyle="1">
    <w:name w:val="Основной текст + Интервал 2 pt"/>
    <w:basedOn w:val="881"/>
    <w:rPr>
      <w:rFonts w:ascii="Batang" w:hAnsi="Batang" w:eastAsia="Batang"/>
      <w:spacing w:val="43"/>
      <w:sz w:val="18"/>
      <w:szCs w:val="18"/>
      <w:lang w:eastAsia="ar-SA" w:bidi="ar-SA"/>
    </w:rPr>
  </w:style>
  <w:style w:type="character" w:styleId="884" w:customStyle="1">
    <w:name w:val="Основной текст (2) + Интервал 0 pt1"/>
    <w:basedOn w:val="879"/>
    <w:rPr>
      <w:rFonts w:ascii="Batang" w:hAnsi="Batang" w:eastAsia="Batang" w:cs="Batang"/>
      <w:b w:val="0"/>
      <w:bCs w:val="0"/>
      <w:spacing w:val="5"/>
      <w:sz w:val="18"/>
      <w:szCs w:val="18"/>
      <w:u w:val="none"/>
      <w:lang w:eastAsia="ar-SA" w:bidi="ar-SA"/>
    </w:rPr>
  </w:style>
  <w:style w:type="character" w:styleId="885" w:customStyle="1">
    <w:name w:val="Основной текст + Arial Narrow"/>
    <w:basedOn w:val="881"/>
    <w:rPr>
      <w:rFonts w:ascii="Arial Narrow" w:hAnsi="Arial Narrow" w:eastAsia="Batang" w:cs="Arial Narrow"/>
      <w:b/>
      <w:bCs/>
      <w:spacing w:val="0"/>
      <w:sz w:val="15"/>
      <w:szCs w:val="15"/>
      <w:u w:val="none"/>
      <w:lang w:eastAsia="ar-SA" w:bidi="ar-SA"/>
    </w:rPr>
  </w:style>
  <w:style w:type="character" w:styleId="886" w:customStyle="1">
    <w:name w:val="Заголовок №1_"/>
    <w:basedOn w:val="878"/>
    <w:rPr>
      <w:rFonts w:ascii="Arial Narrow" w:hAnsi="Arial Narrow"/>
      <w:b/>
      <w:bCs/>
      <w:i/>
      <w:iCs/>
      <w:spacing w:val="2"/>
      <w:sz w:val="39"/>
      <w:szCs w:val="39"/>
      <w:lang w:eastAsia="ar-SA" w:bidi="ar-SA"/>
    </w:rPr>
  </w:style>
  <w:style w:type="character" w:styleId="887" w:customStyle="1">
    <w:name w:val="Заголовок №1 + Batang"/>
    <w:basedOn w:val="886"/>
    <w:rPr>
      <w:rFonts w:ascii="Batang" w:hAnsi="Batang" w:eastAsia="Batang" w:cs="Batang"/>
      <w:b/>
      <w:bCs/>
      <w:i/>
      <w:iCs/>
      <w:spacing w:val="6"/>
      <w:sz w:val="18"/>
      <w:szCs w:val="18"/>
      <w:lang w:eastAsia="ar-SA" w:bidi="ar-SA"/>
    </w:rPr>
  </w:style>
  <w:style w:type="character" w:styleId="888" w:customStyle="1">
    <w:name w:val="Основной текст + Интервал 0 pt1"/>
    <w:basedOn w:val="881"/>
    <w:rPr>
      <w:rFonts w:ascii="Batang" w:hAnsi="Batang" w:eastAsia="Batang"/>
      <w:spacing w:val="2"/>
      <w:sz w:val="21"/>
      <w:szCs w:val="21"/>
      <w:lang w:eastAsia="ar-SA" w:bidi="ar-SA"/>
    </w:rPr>
  </w:style>
  <w:style w:type="paragraph" w:styleId="889">
    <w:name w:val="Body Text"/>
    <w:basedOn w:val="690"/>
    <w:link w:val="903"/>
    <w:pPr>
      <w:jc w:val="both"/>
      <w:spacing w:before="300" w:after="300" w:line="240" w:lineRule="atLeast"/>
      <w:shd w:val="clear" w:color="auto" w:fill="ffffff"/>
      <w:widowControl w:val="off"/>
    </w:pPr>
    <w:rPr>
      <w:rFonts w:ascii="Batang" w:hAnsi="Batang" w:eastAsia="Batang"/>
      <w:spacing w:val="2"/>
      <w:sz w:val="18"/>
      <w:szCs w:val="18"/>
    </w:rPr>
  </w:style>
  <w:style w:type="paragraph" w:styleId="890">
    <w:name w:val="List"/>
    <w:basedOn w:val="889"/>
    <w:rPr>
      <w:rFonts w:ascii="Arial" w:hAnsi="Arial" w:cs="Mangal"/>
    </w:rPr>
  </w:style>
  <w:style w:type="paragraph" w:styleId="891" w:customStyle="1">
    <w:name w:val="Название1"/>
    <w:basedOn w:val="690"/>
    <w:pPr>
      <w:spacing w:before="120" w:after="120"/>
      <w:suppressLineNumbers/>
    </w:pPr>
    <w:rPr>
      <w:rFonts w:ascii="Arial" w:hAnsi="Arial" w:cs="Mangal"/>
      <w:i/>
      <w:iCs/>
      <w:sz w:val="20"/>
    </w:rPr>
  </w:style>
  <w:style w:type="paragraph" w:styleId="892" w:customStyle="1">
    <w:name w:val="Указатель1"/>
    <w:basedOn w:val="690"/>
    <w:pPr>
      <w:suppressLineNumbers/>
    </w:pPr>
    <w:rPr>
      <w:rFonts w:ascii="Arial" w:hAnsi="Arial" w:cs="Mangal"/>
    </w:rPr>
  </w:style>
  <w:style w:type="paragraph" w:styleId="893" w:customStyle="1">
    <w:name w:val="Основной текст (2)"/>
    <w:basedOn w:val="690"/>
    <w:pPr>
      <w:spacing w:before="60" w:after="300" w:line="240" w:lineRule="atLeast"/>
      <w:shd w:val="clear" w:color="auto" w:fill="ffffff"/>
      <w:widowControl w:val="off"/>
    </w:pPr>
    <w:rPr>
      <w:rFonts w:ascii="Batang" w:hAnsi="Batang" w:eastAsia="Batang"/>
      <w:b/>
      <w:bCs/>
      <w:spacing w:val="6"/>
      <w:sz w:val="18"/>
      <w:szCs w:val="18"/>
    </w:rPr>
  </w:style>
  <w:style w:type="paragraph" w:styleId="894" w:customStyle="1">
    <w:name w:val="Заголовок №1"/>
    <w:basedOn w:val="690"/>
    <w:pPr>
      <w:jc w:val="both"/>
      <w:spacing w:line="461" w:lineRule="exact"/>
      <w:shd w:val="clear" w:color="auto" w:fill="ffffff"/>
      <w:widowControl w:val="off"/>
    </w:pPr>
    <w:rPr>
      <w:rFonts w:ascii="Arial Narrow" w:hAnsi="Arial Narrow"/>
      <w:b/>
      <w:bCs/>
      <w:i/>
      <w:iCs/>
      <w:spacing w:val="2"/>
      <w:sz w:val="39"/>
      <w:szCs w:val="39"/>
    </w:rPr>
  </w:style>
  <w:style w:type="paragraph" w:styleId="895" w:customStyle="1">
    <w:name w:val="western"/>
    <w:basedOn w:val="690"/>
    <w:pPr>
      <w:spacing w:before="280" w:after="280"/>
    </w:pPr>
  </w:style>
  <w:style w:type="paragraph" w:styleId="896" w:customStyle="1">
    <w:name w:val="Содержимое таблицы"/>
    <w:basedOn w:val="690"/>
    <w:pPr>
      <w:suppressLineNumbers/>
    </w:pPr>
  </w:style>
  <w:style w:type="paragraph" w:styleId="897" w:customStyle="1">
    <w:name w:val="Заголовок таблицы"/>
    <w:basedOn w:val="896"/>
    <w:pPr>
      <w:jc w:val="center"/>
    </w:pPr>
    <w:rPr>
      <w:b/>
      <w:bCs/>
    </w:rPr>
  </w:style>
  <w:style w:type="character" w:styleId="898" w:customStyle="1">
    <w:name w:val="Основной текст + 4.5 pt;Интервал 0 pt4"/>
    <w:basedOn w:val="881"/>
    <w:rPr>
      <w:rFonts w:ascii="Arial Unicode MS" w:hAnsi="Batang" w:eastAsia="Arial Unicode MS"/>
      <w:spacing w:val="1"/>
      <w:sz w:val="9"/>
      <w:szCs w:val="9"/>
      <w:lang w:eastAsia="ar-SA" w:bidi="ar-SA"/>
    </w:rPr>
  </w:style>
  <w:style w:type="paragraph" w:styleId="899" w:customStyle="1">
    <w:name w:val="Контракт-раздел"/>
    <w:basedOn w:val="690"/>
    <w:next w:val="900"/>
    <w:pPr>
      <w:numPr>
        <w:ilvl w:val="0"/>
        <w:numId w:val="1"/>
      </w:numPr>
      <w:jc w:val="center"/>
      <w:keepNext/>
      <w:spacing w:before="360" w:after="120"/>
      <w:tabs>
        <w:tab w:val="left" w:pos="540" w:leader="none"/>
      </w:tabs>
      <w:outlineLvl w:val="3"/>
    </w:pPr>
    <w:rPr>
      <w:b/>
      <w:bCs/>
      <w:caps/>
      <w:smallCaps/>
      <w:lang w:eastAsia="ru-RU"/>
    </w:rPr>
  </w:style>
  <w:style w:type="paragraph" w:styleId="900" w:customStyle="1">
    <w:name w:val="Контракт-пункт"/>
    <w:basedOn w:val="690"/>
    <w:pPr>
      <w:numPr>
        <w:ilvl w:val="1"/>
        <w:numId w:val="1"/>
      </w:numPr>
      <w:jc w:val="both"/>
    </w:pPr>
    <w:rPr>
      <w:lang w:eastAsia="ru-RU"/>
    </w:rPr>
  </w:style>
  <w:style w:type="paragraph" w:styleId="901" w:customStyle="1">
    <w:name w:val="Контракт-подпункт"/>
    <w:basedOn w:val="690"/>
    <w:pPr>
      <w:numPr>
        <w:ilvl w:val="2"/>
        <w:numId w:val="1"/>
      </w:numPr>
      <w:jc w:val="both"/>
    </w:pPr>
    <w:rPr>
      <w:lang w:eastAsia="ru-RU"/>
    </w:rPr>
  </w:style>
  <w:style w:type="paragraph" w:styleId="902" w:customStyle="1">
    <w:name w:val="Контракт-подподпункт"/>
    <w:basedOn w:val="690"/>
    <w:pPr>
      <w:numPr>
        <w:ilvl w:val="3"/>
        <w:numId w:val="1"/>
      </w:numPr>
      <w:jc w:val="both"/>
    </w:pPr>
    <w:rPr>
      <w:lang w:eastAsia="ru-RU"/>
    </w:rPr>
  </w:style>
  <w:style w:type="character" w:styleId="903" w:customStyle="1">
    <w:name w:val="Основной текст Знак"/>
    <w:link w:val="889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04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paragraph" w:styleId="905" w:customStyle="1">
    <w:name w:val="ConsNormal"/>
    <w:pPr>
      <w:ind w:right="19772" w:firstLine="720"/>
      <w:widowControl w:val="off"/>
    </w:pPr>
    <w:rPr>
      <w:rFonts w:ascii="Arial" w:hAnsi="Arial" w:cs="Arial"/>
      <w:lang w:eastAsia="ru-RU"/>
    </w:rPr>
  </w:style>
  <w:style w:type="paragraph" w:styleId="906">
    <w:name w:val="List Paragraph"/>
    <w:basedOn w:val="690"/>
    <w:link w:val="913"/>
    <w:pPr>
      <w:ind w:left="720"/>
      <w:jc w:val="both"/>
    </w:pPr>
    <w:rPr>
      <w:rFonts w:ascii="Arial Unicode MS" w:hAnsi="Arial Unicode MS" w:eastAsia="Arial Unicode MS" w:cs="Arial Unicode MS"/>
      <w:color w:val="000000"/>
    </w:rPr>
  </w:style>
  <w:style w:type="character" w:styleId="907" w:customStyle="1">
    <w:name w:val="Заголовок 1 Знак"/>
    <w:basedOn w:val="700"/>
    <w:link w:val="691"/>
    <w:rPr>
      <w:b/>
      <w:bCs/>
      <w:sz w:val="48"/>
      <w:szCs w:val="48"/>
      <w:lang w:val="ru-RU" w:eastAsia="ru-RU" w:bidi="ar-SA"/>
    </w:rPr>
  </w:style>
  <w:style w:type="paragraph" w:styleId="908">
    <w:name w:val="annotation text"/>
    <w:basedOn w:val="690"/>
    <w:semiHidden/>
    <w:rPr>
      <w:sz w:val="20"/>
      <w:szCs w:val="20"/>
    </w:rPr>
  </w:style>
  <w:style w:type="paragraph" w:styleId="909">
    <w:name w:val="annotation subject"/>
    <w:basedOn w:val="908"/>
    <w:next w:val="908"/>
    <w:link w:val="910"/>
    <w:semiHidden/>
    <w:pPr>
      <w:spacing w:after="160"/>
    </w:pPr>
    <w:rPr>
      <w:rFonts w:ascii="Calibri" w:hAnsi="Calibri"/>
      <w:b/>
      <w:bCs/>
      <w:lang w:eastAsia="en-US"/>
    </w:rPr>
  </w:style>
  <w:style w:type="character" w:styleId="910" w:customStyle="1">
    <w:name w:val="Тема примечания Знак"/>
    <w:basedOn w:val="700"/>
    <w:link w:val="909"/>
    <w:semiHidden/>
    <w:rPr>
      <w:rFonts w:ascii="Calibri" w:hAnsi="Calibri"/>
      <w:b/>
      <w:bCs/>
      <w:lang w:val="ru-RU" w:eastAsia="en-US" w:bidi="ar-SA"/>
    </w:rPr>
  </w:style>
  <w:style w:type="character" w:styleId="911" w:customStyle="1">
    <w:name w:val="Знак Знак2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12" w:customStyle="1">
    <w:name w:val="ConsPlusNormal"/>
    <w:pPr>
      <w:widowControl w:val="off"/>
    </w:pPr>
    <w:rPr>
      <w:rFonts w:ascii="Arial" w:hAnsi="Arial" w:eastAsia="SimSun" w:cs="Arial"/>
      <w:lang w:eastAsia="ru-RU"/>
    </w:rPr>
  </w:style>
  <w:style w:type="character" w:styleId="913" w:customStyle="1">
    <w:name w:val="Абзац списка Знак"/>
    <w:link w:val="906"/>
    <w:rPr>
      <w:rFonts w:ascii="Arial Unicode MS" w:hAnsi="Arial Unicode MS" w:eastAsia="Arial Unicode MS" w:cs="Arial Unicode MS"/>
      <w:color w:val="000000"/>
      <w:sz w:val="24"/>
      <w:szCs w:val="24"/>
      <w:lang w:val="ru-RU" w:eastAsia="ar-SA" w:bidi="ar-SA"/>
    </w:rPr>
  </w:style>
  <w:style w:type="paragraph" w:styleId="914" w:customStyle="1">
    <w:name w:val="ConsNonformat"/>
    <w:pPr>
      <w:ind w:right="19772"/>
      <w:widowControl w:val="off"/>
    </w:pPr>
    <w:rPr>
      <w:rFonts w:ascii="Courier New" w:hAnsi="Courier New" w:cs="Courier New"/>
    </w:rPr>
  </w:style>
  <w:style w:type="paragraph" w:styleId="915" w:customStyle="1">
    <w:name w:val="Текст1"/>
    <w:uiPriority w:val="99"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  <w:lang w:eastAsia="ru-RU"/>
    </w:rPr>
  </w:style>
  <w:style w:type="paragraph" w:styleId="916" w:customStyle="1">
    <w:name w:val="Другое"/>
    <w:link w:val="881"/>
    <w:pPr>
      <w:jc w:val="center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Verdana" w:hAnsi="Verdana" w:eastAsia="Verdana" w:cs="Verdana"/>
      <w:color w:val="000000"/>
      <w:sz w:val="15"/>
      <w:szCs w:val="15"/>
      <w:lang w:eastAsia="ru-RU" w:bidi="ru-RU"/>
    </w:rPr>
  </w:style>
  <w:style w:type="table" w:styleId="917" w:customStyle="1">
    <w:name w:val="Сетка таблицы6"/>
    <w:basedOn w:val="729"/>
    <w:next w:val="731"/>
    <w:uiPriority w:val="5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OEM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636</dc:title>
  <dc:creator>Skazka</dc:creator>
  <cp:lastModifiedBy>ilyushina.a.yu</cp:lastModifiedBy>
  <cp:revision>25</cp:revision>
  <dcterms:created xsi:type="dcterms:W3CDTF">2025-02-03T06:54:00Z</dcterms:created>
  <dcterms:modified xsi:type="dcterms:W3CDTF">2026-08-13T09:31:00Z</dcterms:modified>
  <cp:version>730895</cp:version>
</cp:coreProperties>
</file>