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wmf" ContentType="image/x-wmf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544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7"/>
        <w:gridCol w:w="2816"/>
        <w:gridCol w:w="684"/>
        <w:gridCol w:w="750"/>
        <w:gridCol w:w="1584"/>
        <w:gridCol w:w="1417"/>
        <w:gridCol w:w="1466"/>
        <w:gridCol w:w="1534"/>
        <w:gridCol w:w="1317"/>
        <w:gridCol w:w="1299"/>
        <w:gridCol w:w="2108"/>
      </w:tblGrid>
      <w:tr>
        <w:trPr>
          <w:trHeight w:val="276" w:hRule="atLeast"/>
        </w:trPr>
        <w:tc>
          <w:tcPr>
            <w:tcW w:w="15542" w:type="dxa"/>
            <w:gridSpan w:val="11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Nimbus Roman" w:hAnsi="Nimbus Roman"/>
                <w:sz w:val="24"/>
                <w:szCs w:val="24"/>
              </w:rPr>
            </w:pPr>
            <w:r>
              <w:rPr>
                <w:rFonts w:ascii="Nimbus Roman" w:hAnsi="Nimbus Roman"/>
                <w:b/>
                <w:bCs/>
                <w:sz w:val="24"/>
                <w:szCs w:val="24"/>
              </w:rPr>
              <w:t xml:space="preserve">Обоснование НМЦК </w:t>
            </w:r>
            <w:r>
              <w:rPr>
                <w:rFonts w:ascii="Nimbus Roman" w:hAnsi="Nimbus Roman"/>
                <w:b/>
                <w:bCs/>
                <w:color w:val="auto"/>
                <w:kern w:val="0"/>
                <w:sz w:val="24"/>
                <w:szCs w:val="24"/>
                <w:lang w:val="ru-RU" w:bidi="ar-SA"/>
              </w:rPr>
              <w:t xml:space="preserve">на оказание </w:t>
            </w:r>
            <w:r>
              <w:rPr>
                <w:rFonts w:ascii="Nimbus Roman" w:hAnsi="Nimbus Roman"/>
                <w:b/>
                <w:bCs/>
                <w:color w:val="auto"/>
                <w:spacing w:val="-4"/>
                <w:kern w:val="0"/>
                <w:sz w:val="24"/>
                <w:szCs w:val="24"/>
                <w:lang w:val="ru-RU" w:bidi="ar-SA"/>
              </w:rPr>
              <w:t xml:space="preserve"> услуги по разработке проектно-сметной документации на капитальный ремонт электропроводки  в здании </w:t>
            </w:r>
            <w:r>
              <w:rPr>
                <w:rFonts w:eastAsia="Calibri" w:ascii="Nimbus Roman" w:hAnsi="Nimbus Roman" w:eastAsiaTheme="minorHAnsi"/>
                <w:b/>
                <w:bCs/>
                <w:color w:val="auto"/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ОСП по Сеймскому округу  по адресу: </w:t>
            </w:r>
            <w:r>
              <w:rPr>
                <w:rFonts w:ascii="Nimbus Roman" w:hAnsi="Nimbus Roman"/>
                <w:b/>
                <w:bCs/>
                <w:color w:val="auto"/>
                <w:spacing w:val="-4"/>
                <w:kern w:val="0"/>
                <w:sz w:val="24"/>
                <w:szCs w:val="24"/>
                <w:lang w:val="ru-RU" w:bidi="ar-SA"/>
              </w:rPr>
              <w:t>г. Курск, ул. Белгородская, 22</w:t>
            </w:r>
          </w:p>
        </w:tc>
      </w:tr>
      <w:tr>
        <w:trPr>
          <w:trHeight w:val="60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4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Цена товаров (Работ, услуг) поставщиков (подрядчиков, исполнителей), руб.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Средняя арифметическая цена за единицу, руб.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Среднее квадратичное отклонение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Коэффициент вариации, %               (не должен превышать 33%)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Цена, определенная методом сопоставимых рыночных цен (анализа рынка)</w:t>
            </w:r>
          </w:p>
        </w:tc>
      </w:tr>
      <w:tr>
        <w:trPr>
          <w:trHeight w:val="1341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8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6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7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Коммерческое предложение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№ </w:t>
            </w: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posOffset>5594350</wp:posOffset>
                  </wp:positionH>
                  <wp:positionV relativeFrom="paragraph">
                    <wp:posOffset>-13970</wp:posOffset>
                  </wp:positionV>
                  <wp:extent cx="984885" cy="508635"/>
                  <wp:effectExtent l="0" t="0" r="0" b="0"/>
                  <wp:wrapNone/>
                  <wp:docPr id="1" name="Рисунок 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85" cy="50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Коммерческое предложение №2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Коммерческое предложение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34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17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9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1880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 w:eastAsiaTheme="minorHAnsi"/>
                <w:b/>
                <w:bCs/>
                <w:i w:val="false"/>
                <w:caps w:val="false"/>
                <w:smallCaps w:val="false"/>
                <w:color w:val="auto"/>
                <w:spacing w:val="-4"/>
                <w:kern w:val="0"/>
                <w:sz w:val="22"/>
                <w:szCs w:val="22"/>
                <w:lang w:val="ru-RU" w:eastAsia="en-US" w:bidi="ar-SA"/>
              </w:rPr>
              <w:t>услуги по разработке проектно-сметной документации на капитальный ремонт электропроводки  в здании ОСП по Сеймскому округу  по адресу: г. Курск, ул. Белгородская, 22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Усл.ед.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firstLine="22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78 000,00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firstLine="22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80 000,00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before="0" w:after="200"/>
              <w:ind w:firstLine="220"/>
              <w:jc w:val="center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82 000,00</w:t>
            </w:r>
          </w:p>
        </w:tc>
        <w:tc>
          <w:tcPr>
            <w:tcW w:w="15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80 000,00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2 000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bidi w:val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2,5</w:t>
            </w:r>
          </w:p>
          <w:p>
            <w:pPr>
              <w:pStyle w:val="Normal"/>
              <w:spacing w:before="0" w:after="200"/>
              <w:ind w:firstLine="2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    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80 000,00</w:t>
            </w:r>
          </w:p>
        </w:tc>
      </w:tr>
      <w:tr>
        <w:trPr>
          <w:trHeight w:val="379" w:hRule="atLeast"/>
        </w:trPr>
        <w:tc>
          <w:tcPr>
            <w:tcW w:w="134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1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2"/>
                <w:szCs w:val="22"/>
                <w:u w:val="none"/>
                <w:em w:val="none"/>
                <w:lang w:val="ru-RU" w:eastAsia="en-US" w:bidi="ar-SA"/>
              </w:rPr>
              <w:t>80 000,00</w:t>
            </w:r>
          </w:p>
        </w:tc>
      </w:tr>
      <w:tr>
        <w:trPr>
          <w:trHeight w:val="960" w:hRule="atLeast"/>
        </w:trPr>
        <w:tc>
          <w:tcPr>
            <w:tcW w:w="15542" w:type="dxa"/>
            <w:gridSpan w:val="11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spacing w:before="0" w:after="20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Метод сопоставимых рыночных цен (анализа рынка), применен в соответствии с ч. 6 ст. 22 Федерального закона от 5 апреля 2013 года № 44-ФЗ  «О контрактной системе в сфере закупок товаров, работ, услуг для обеспечения государственных и муниципальных нужд» путем изучения и использования  ценовой информации. 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Источник информации: коммерческие предложения Исполнителей, осуществляющих оказание соответствующих услуг.                                                          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 учетом полученных коммерческих предложений начальная (максимальная) цена контракта составляет 80 000 (восемьдесят тысяч)  рублей  00 копеек.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Цена контракта  включает в себя все расходы Исполнителя в связи с исполнением контракта, уплате налогов и других обязательных платежей.  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Дата подготовки расчета: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24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.0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.2026 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headerReference w:type="default" r:id="rId3"/>
      <w:type w:val="nextPage"/>
      <w:pgSz w:orient="landscape" w:w="16838" w:h="11906"/>
      <w:pgMar w:left="1134" w:right="1134" w:gutter="0" w:header="142" w:top="93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Nimbus Roman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9a5bce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Колонтитул"/>
    <w:basedOn w:val="Normal"/>
    <w:qFormat/>
    <w:pPr>
      <w:suppressLineNumbers/>
      <w:tabs>
        <w:tab w:val="clear" w:pos="708"/>
        <w:tab w:val="center" w:pos="7285" w:leader="none"/>
        <w:tab w:val="right" w:pos="14570" w:leader="none"/>
      </w:tabs>
    </w:pPr>
    <w:rPr/>
  </w:style>
  <w:style w:type="paragraph" w:styleId="Header">
    <w:name w:val="Header"/>
    <w:basedOn w:val="Style16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Application>LibreOffice/7.6.7.2$Linux_X86_64 LibreOffice_project/60$Build-2</Application>
  <AppVersion>15.0000</AppVersion>
  <Pages>1</Pages>
  <Words>239</Words>
  <Characters>1595</Characters>
  <CharactersWithSpaces>2312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2023-02-28T09:35:00Z</dcterms:created>
  <dc:creator>of9</dc:creator>
  <dc:description/>
  <dc:language>ru-RU</dc:language>
  <cp:lastModifiedBy/>
  <cp:lastPrinted>2026-06-19T12:54:50Z</cp:lastPrinted>
  <dcterms:modified xsi:type="dcterms:W3CDTF">2026-08-25T13:40:49Z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