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t xml:space="preserve"> </w:t>
      </w:r>
      <w:r>
        <w:rPr>
          <w:sz w:val="18"/>
          <w:szCs w:val="18"/>
        </w:rPr>
        <w:t>КОНТРАКТ  №</w:t>
      </w:r>
      <w:r>
        <w:rPr>
          <w:rFonts w:ascii="DejaVuSans-Bold" w:hAnsi="DejaVuSans-Bold"/>
          <w:sz w:val="18"/>
          <w:szCs w:val="18"/>
        </w:rPr>
        <w:t xml:space="preserve"> </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right"/>
        <w:rPr>
          <w:rFonts w:ascii="Times New Roman" w:hAnsi="Times New Roman"/>
          <w:sz w:val="20"/>
          <w:szCs w:val="20"/>
        </w:rPr>
      </w:pPr>
      <w:r>
        <w:rPr>
          <w:sz w:val="20"/>
          <w:szCs w:val="20"/>
        </w:rPr>
        <w:t xml:space="preserve">  </w:t>
      </w:r>
      <w:r>
        <w:rPr>
          <w:sz w:val="20"/>
          <w:szCs w:val="20"/>
        </w:rPr>
        <w:t>2025 г</w:t>
      </w:r>
    </w:p>
    <w:p>
      <w:pPr>
        <w:pStyle w:val="BodyTextIndent"/>
        <w:tabs>
          <w:tab w:val="clear" w:pos="708"/>
          <w:tab w:val="left" w:pos="2250" w:leader="none"/>
        </w:tabs>
        <w:spacing w:before="0" w:after="0"/>
        <w:ind w:hanging="0" w:left="0" w:right="0"/>
        <w:jc w:val="both"/>
        <w:rPr/>
      </w:pPr>
      <w:r>
        <w:rPr>
          <w:rStyle w:val="Style26"/>
          <w:rFonts w:eastAsia="Calibri" w:cs="Times New Roman CYR" w:ascii="Times New Roman" w:hAnsi="Times New Roman"/>
          <w:b/>
          <w:bCs/>
          <w:i w:val="false"/>
          <w:color w:val="00000A"/>
          <w:sz w:val="18"/>
          <w:szCs w:val="18"/>
          <w:shd w:fill="FFFFFF" w:val="clear"/>
          <w:lang w:val="ru-RU"/>
        </w:rPr>
        <w:t xml:space="preserve"> </w:t>
      </w:r>
      <w:r>
        <w:rPr>
          <w:rStyle w:val="Style26"/>
          <w:rFonts w:eastAsia="Calibri" w:cs="Times New Roman CYR" w:ascii="Times New Roman" w:hAnsi="Times New Roman"/>
          <w:b/>
          <w:bCs/>
          <w:i w:val="false"/>
          <w:caps w:val="false"/>
          <w:smallCaps w:val="false"/>
          <w:color w:val="334059"/>
          <w:spacing w:val="0"/>
          <w:sz w:val="20"/>
          <w:szCs w:val="20"/>
          <w:shd w:fill="FFFFFF" w:val="clear"/>
          <w:lang w:val="ru-RU"/>
        </w:rPr>
        <w:t>_____________</w:t>
      </w:r>
      <w:r>
        <w:rPr>
          <w:rStyle w:val="Style26"/>
          <w:rFonts w:eastAsia="Calibri" w:cs="Times New Roman CYR" w:ascii="Times New Roman" w:hAnsi="Times New Roman"/>
          <w:b/>
          <w:bCs/>
          <w:i w:val="false"/>
          <w:color w:val="00000A"/>
          <w:sz w:val="20"/>
          <w:szCs w:val="20"/>
          <w:shd w:fill="FFFFFF" w:val="clear"/>
          <w:lang w:val="ru-RU"/>
        </w:rPr>
        <w:t xml:space="preserve"> </w:t>
      </w:r>
      <w:r>
        <w:rPr>
          <w:rStyle w:val="Style26"/>
          <w:rFonts w:eastAsia="Times New Roman" w:cs="Times New Roman" w:ascii="Times New Roman" w:hAnsi="Times New Roman"/>
          <w:b/>
          <w:bCs/>
          <w:i w:val="false"/>
          <w:sz w:val="20"/>
          <w:szCs w:val="20"/>
          <w:shd w:fill="FFFFFF" w:val="clear"/>
          <w:lang w:val="ru-RU"/>
        </w:rPr>
        <w:t xml:space="preserve"> именуемый в дальнейшем "Поставщик", в</w:t>
      </w:r>
      <w:r>
        <w:rPr>
          <w:rStyle w:val="Style26"/>
          <w:rFonts w:eastAsia="Times New Roman" w:cs="Times New Roman" w:ascii="Times New Roman" w:hAnsi="Times New Roman"/>
          <w:b w:val="false"/>
          <w:bCs w:val="false"/>
          <w:i w:val="false"/>
          <w:sz w:val="20"/>
          <w:szCs w:val="20"/>
          <w:shd w:fill="FFFFFF" w:val="clear"/>
          <w:lang w:val="ru-RU"/>
        </w:rPr>
        <w:t xml:space="preserve"> лице </w:t>
      </w:r>
      <w:r>
        <w:rPr>
          <w:rStyle w:val="Style26"/>
          <w:rFonts w:eastAsia="Times New Roman" w:cs="Times New Roman" w:ascii="Times New Roman" w:hAnsi="Times New Roman"/>
          <w:b/>
          <w:bCs/>
          <w:i w:val="false"/>
          <w:sz w:val="20"/>
          <w:szCs w:val="20"/>
          <w:shd w:fill="FFFFFF" w:val="clear"/>
          <w:lang w:val="ru-RU"/>
        </w:rPr>
        <w:t>_________________</w:t>
      </w:r>
      <w:r>
        <w:rPr>
          <w:rStyle w:val="Style26"/>
          <w:rFonts w:eastAsia="Calibri" w:cs="Times New Roman" w:ascii="Times New Roman" w:hAnsi="Times New Roman"/>
          <w:sz w:val="20"/>
          <w:szCs w:val="20"/>
        </w:rPr>
        <w:t xml:space="preserve"> действующего на основании _____ с одной стороны, и</w:t>
      </w:r>
      <w:r>
        <w:rPr>
          <w:rStyle w:val="Style26"/>
          <w:rFonts w:eastAsia="Calibri" w:cs="Times New Roman" w:ascii="Times New Roman" w:hAnsi="Times New Roman"/>
          <w:b/>
          <w:bCs/>
          <w:sz w:val="20"/>
          <w:szCs w:val="20"/>
        </w:rPr>
        <w:t xml:space="preserve">  </w:t>
      </w:r>
      <w:r>
        <w:rPr>
          <w:rStyle w:val="Style26"/>
          <w:rFonts w:eastAsia="Times New Roman" w:cs="PT Astra Serif" w:ascii="Times New Roman" w:hAnsi="Times New Roman"/>
          <w:b/>
          <w:bCs/>
          <w:color w:val="000000"/>
          <w:kern w:val="2"/>
          <w:sz w:val="18"/>
          <w:szCs w:val="18"/>
        </w:rPr>
        <w:t xml:space="preserve"> </w:t>
      </w:r>
      <w:r>
        <w:rPr>
          <w:rStyle w:val="Style26"/>
          <w:rFonts w:eastAsia="Times New Roman" w:cs="PT Astra Serif" w:ascii="Times New Roman" w:hAnsi="Times New Roman"/>
          <w:b/>
          <w:bCs/>
          <w:color w:val="000000"/>
          <w:kern w:val="2"/>
          <w:sz w:val="18"/>
          <w:szCs w:val="18"/>
          <w:lang w:val="ru-RU"/>
        </w:rPr>
        <w:t>Муниципальное дошкольное образовательное учреждение</w:t>
      </w:r>
      <w:r>
        <w:rPr>
          <w:rStyle w:val="Style26"/>
          <w:rFonts w:eastAsia="Times New Roman" w:cs="PT Astra Serif" w:ascii="Times New Roman" w:hAnsi="Times New Roman"/>
          <w:b/>
          <w:bCs/>
          <w:color w:val="000000"/>
          <w:kern w:val="2"/>
          <w:sz w:val="18"/>
          <w:szCs w:val="18"/>
        </w:rPr>
        <w:t xml:space="preserve"> Цильнинский детский сад  «Терем-Теремок» </w:t>
      </w:r>
      <w:r>
        <w:rPr>
          <w:rStyle w:val="Style26"/>
          <w:rFonts w:eastAsia="Times New Roman" w:cs="PT Astra Serif" w:ascii="Times New Roman" w:hAnsi="Times New Roman"/>
          <w:b/>
          <w:bCs/>
          <w:color w:val="000000"/>
          <w:kern w:val="2"/>
          <w:sz w:val="18"/>
          <w:szCs w:val="18"/>
          <w:lang w:val="ru-RU"/>
        </w:rPr>
        <w:t>муниципального образования</w:t>
      </w:r>
      <w:r>
        <w:rPr>
          <w:rStyle w:val="Style26"/>
          <w:rFonts w:eastAsia="Times New Roman" w:cs="PT Astra Serif" w:ascii="Times New Roman" w:hAnsi="Times New Roman"/>
          <w:b/>
          <w:bCs/>
          <w:color w:val="000000"/>
          <w:kern w:val="2"/>
          <w:sz w:val="18"/>
          <w:szCs w:val="18"/>
        </w:rPr>
        <w:t xml:space="preserve"> «Цильнинский район» </w:t>
      </w:r>
      <w:r>
        <w:rPr>
          <w:rStyle w:val="Style26"/>
          <w:rFonts w:eastAsia="Times New Roman" w:cs="PT Astra Serif" w:ascii="Times New Roman" w:hAnsi="Times New Roman"/>
          <w:b/>
          <w:bCs/>
          <w:color w:val="000000"/>
          <w:kern w:val="2"/>
          <w:sz w:val="18"/>
          <w:szCs w:val="18"/>
          <w:lang w:val="ru-RU"/>
        </w:rPr>
        <w:t>Ульяновской области</w:t>
      </w:r>
      <w:r>
        <w:rPr>
          <w:rStyle w:val="Style26"/>
          <w:rFonts w:eastAsia="Times New Roman" w:cs="PT Astra Serif" w:ascii="Times New Roman" w:hAnsi="Times New Roman"/>
          <w:b/>
          <w:bCs/>
          <w:color w:val="000000"/>
          <w:kern w:val="2"/>
          <w:sz w:val="18"/>
          <w:szCs w:val="18"/>
        </w:rPr>
        <w:t xml:space="preserve">.   </w:t>
      </w:r>
      <w:r>
        <w:rPr>
          <w:rStyle w:val="Style26"/>
          <w:rFonts w:eastAsia="Times New Roman" w:cs="Times New Roman" w:ascii="Times New Roman" w:hAnsi="Times New Roman"/>
          <w:b/>
          <w:bCs/>
          <w:color w:val="000000"/>
          <w:sz w:val="18"/>
          <w:szCs w:val="18"/>
        </w:rPr>
        <w:t>, именуемое в дальнейшем «Заказчик», в лице врио заведующего  Курочкиной Натальи Игоревны</w:t>
      </w:r>
      <w:r>
        <w:rPr>
          <w:rStyle w:val="Style26"/>
          <w:rFonts w:eastAsia="Calibri" w:cs="Times New Roman" w:ascii="Times New Roman" w:hAnsi="Times New Roman"/>
          <w:b/>
          <w:bCs/>
          <w:sz w:val="20"/>
          <w:szCs w:val="20"/>
        </w:rPr>
        <w:t xml:space="preserve"> </w:t>
      </w:r>
      <w:r>
        <w:rPr>
          <w:rStyle w:val="Style26"/>
          <w:rFonts w:eastAsia="Calibri" w:cs="Times New Roman" w:ascii="Times New Roman" w:hAnsi="Times New Roman"/>
          <w:sz w:val="20"/>
          <w:szCs w:val="20"/>
        </w:rPr>
        <w:t>с другой стороны, заключили настоящий контракт в соответствии  п.5ч.1 ст. 93 ФЗ от 05.04.2013г. № 44-ФЗ «</w:t>
      </w:r>
      <w:r>
        <w:rPr>
          <w:rStyle w:val="Style26"/>
          <w:rFonts w:eastAsia="Calibri" w:cs="Times New Roman" w:ascii="PT Astra Serif" w:hAnsi="PT Astra Serif"/>
          <w:b w:val="false"/>
          <w:bCs w:val="false"/>
          <w:i w:val="false"/>
          <w:color w:val="00000A"/>
          <w:sz w:val="20"/>
          <w:szCs w:val="20"/>
          <w:shd w:fill="FFFFFF" w:val="clear"/>
          <w:lang w:val="ru-RU"/>
        </w:rPr>
        <w:t xml:space="preserve"> </w:t>
      </w:r>
      <w:r>
        <w:rPr>
          <w:rStyle w:val="Style26"/>
          <w:rFonts w:eastAsia="Times New Roman" w:cs="Times New Roman" w:ascii="PT Astra Serif" w:hAnsi="PT Astra Serif"/>
          <w:b w:val="false"/>
          <w:bCs w:val="false"/>
          <w:i w:val="false"/>
          <w:color w:val="000000"/>
          <w:sz w:val="20"/>
          <w:szCs w:val="20"/>
          <w:shd w:fill="FFFFFF" w:val="clear"/>
          <w:lang w:val="ru-RU" w:eastAsia="ru-RU"/>
        </w:rPr>
        <w:t>О контрактной системе в сфере закупок товаров, работ, услуг для обеспечения государственных и муниципальных нужд</w:t>
      </w:r>
      <w:r>
        <w:rPr>
          <w:rStyle w:val="Style26"/>
          <w:rFonts w:eastAsia="Calibri" w:cs="Times New Roman" w:ascii="PT Astra Serif" w:hAnsi="PT Astra Serif"/>
          <w:b w:val="false"/>
          <w:bCs w:val="false"/>
          <w:i w:val="false"/>
          <w:color w:val="00000A"/>
          <w:sz w:val="20"/>
          <w:szCs w:val="20"/>
          <w:shd w:fill="FFFFFF" w:val="clear"/>
          <w:lang w:val="ru-RU"/>
        </w:rPr>
        <w:t>» (далее контракт) о нижеследующем</w:t>
      </w:r>
      <w:r>
        <w:rPr>
          <w:rStyle w:val="Style26"/>
          <w:rFonts w:eastAsia="Times New Roman" w:cs="Times New Roman" w:ascii="PT Astra Serif" w:hAnsi="PT Astra Serif"/>
          <w:b w:val="false"/>
          <w:bCs w:val="false"/>
          <w:i w:val="false"/>
          <w:color w:val="00000A"/>
          <w:sz w:val="20"/>
          <w:szCs w:val="20"/>
          <w:shd w:fill="FFFFFF" w:val="clear"/>
          <w:lang w:val="ru-RU"/>
        </w:rPr>
        <w:t xml:space="preserve">: </w:t>
      </w:r>
      <w:r>
        <w:rPr>
          <w:rStyle w:val="Style26"/>
          <w:rFonts w:eastAsia="Calibri" w:cs="Times New Roman" w:ascii="PT Astra Serif" w:hAnsi="PT Astra Serif"/>
          <w:b w:val="false"/>
          <w:bCs w:val="false"/>
          <w:i w:val="false"/>
          <w:color w:val="00000A"/>
          <w:sz w:val="20"/>
          <w:szCs w:val="20"/>
          <w:shd w:fill="FFFFFF" w:val="clear"/>
          <w:lang w:val="ru-RU"/>
        </w:rPr>
        <w:t xml:space="preserve"> </w:t>
      </w:r>
    </w:p>
    <w:p>
      <w:pPr>
        <w:pStyle w:val="BodyTextIndent"/>
        <w:tabs>
          <w:tab w:val="clear" w:pos="708"/>
          <w:tab w:val="left" w:pos="2250" w:leader="none"/>
        </w:tabs>
        <w:spacing w:before="0" w:after="0"/>
        <w:ind w:hanging="0" w:left="0" w:right="0"/>
        <w:jc w:val="both"/>
        <w:rPr>
          <w:rStyle w:val="Style26"/>
          <w:rFonts w:ascii="PT Astra Serif" w:hAnsi="PT Astra Serif" w:eastAsia="Calibri" w:cs="Times New Roman CYR"/>
          <w:b/>
          <w:bCs/>
          <w:i w:val="false"/>
          <w:color w:val="00000A"/>
          <w:sz w:val="20"/>
          <w:szCs w:val="20"/>
          <w:shd w:fill="FFFFFF" w:val="clear"/>
          <w:lang w:val="ru-RU"/>
        </w:rPr>
      </w:pPr>
      <w:r>
        <w:rPr>
          <w:rFonts w:eastAsia="Calibri" w:cs="Times New Roman CYR" w:ascii="PT Astra Serif" w:hAnsi="PT Astra Serif"/>
          <w:b/>
          <w:bCs/>
          <w:i w:val="false"/>
          <w:color w:val="00000A"/>
          <w:sz w:val="20"/>
          <w:szCs w:val="20"/>
          <w:shd w:fill="FFFFFF" w:val="clear"/>
          <w:lang w:val="ru-RU"/>
        </w:rPr>
      </w:r>
    </w:p>
    <w:p>
      <w:pPr>
        <w:pStyle w:val="ConsPlusNormal1"/>
        <w:ind w:firstLine="540" w:left="0" w:right="0"/>
        <w:jc w:val="both"/>
        <w:rPr>
          <w:rFonts w:ascii="Times New Roman" w:hAnsi="Times New Roman"/>
          <w:sz w:val="20"/>
          <w:szCs w:val="20"/>
        </w:rPr>
      </w:pPr>
      <w:r>
        <w:rPr>
          <w:sz w:val="20"/>
          <w:szCs w:val="20"/>
        </w:rPr>
      </w:r>
    </w:p>
    <w:p>
      <w:pPr>
        <w:pStyle w:val="ConsPlusNormal1"/>
        <w:numPr>
          <w:ilvl w:val="0"/>
          <w:numId w:val="0"/>
        </w:numPr>
        <w:ind w:hanging="0" w:left="0"/>
        <w:jc w:val="center"/>
        <w:outlineLvl w:val="0"/>
        <w:rPr>
          <w:rFonts w:ascii="Times New Roman" w:hAnsi="Times New Roman"/>
          <w:sz w:val="20"/>
          <w:szCs w:val="20"/>
        </w:rPr>
      </w:pPr>
      <w:r>
        <w:rPr>
          <w:sz w:val="20"/>
          <w:szCs w:val="20"/>
        </w:rPr>
        <w:t>1. ПРЕДМЕТ КОНТРАКТА</w:t>
      </w:r>
    </w:p>
    <w:p>
      <w:pPr>
        <w:pStyle w:val="ConsPlusNormal1"/>
        <w:ind w:firstLine="540" w:left="0" w:right="0"/>
        <w:jc w:val="both"/>
        <w:rPr/>
      </w:pPr>
      <w:r>
        <w:rPr>
          <w:sz w:val="20"/>
          <w:szCs w:val="20"/>
        </w:rPr>
        <w:t>1.1. Поставщик обязуется передать в собственность</w:t>
      </w:r>
      <w:r>
        <w:rPr>
          <w:b/>
          <w:bCs/>
          <w:sz w:val="20"/>
          <w:szCs w:val="20"/>
        </w:rPr>
        <w:t xml:space="preserve"> </w:t>
      </w:r>
      <w:r>
        <w:rPr>
          <w:rFonts w:cs="PT Astra Serif"/>
          <w:b/>
          <w:bCs/>
          <w:kern w:val="2"/>
          <w:sz w:val="18"/>
          <w:szCs w:val="18"/>
          <w:shd w:fill="FFFFFF" w:val="clear"/>
          <w:lang w:bidi="hi-IN"/>
        </w:rPr>
        <w:t xml:space="preserve">мясо сельскохозяйственной птицы замороженное ,в том числе для детского питания, минтай </w:t>
      </w:r>
      <w:r>
        <w:rPr>
          <w:b/>
          <w:bCs/>
          <w:kern w:val="2"/>
          <w:sz w:val="20"/>
          <w:szCs w:val="20"/>
          <w:shd w:fill="FFFFFF" w:val="clear"/>
          <w:lang w:eastAsia="hi-IN" w:bidi="hi-IN"/>
        </w:rPr>
        <w:t xml:space="preserve"> </w:t>
      </w:r>
      <w:r>
        <w:rPr>
          <w:sz w:val="20"/>
          <w:szCs w:val="20"/>
        </w:rPr>
        <w:t xml:space="preserve"> (далее - Товар) Заказчику в обусловленный настоящим Контрактом срок, согласно Спецификации (</w:t>
      </w:r>
      <w:hyperlink w:anchor="P326">
        <w:r>
          <w:rPr>
            <w:rStyle w:val="Style6"/>
            <w:sz w:val="20"/>
            <w:szCs w:val="20"/>
          </w:rPr>
          <w:t>Приложение N 1</w:t>
        </w:r>
      </w:hyperlink>
      <w:r>
        <w:rPr>
          <w:sz w:val="20"/>
          <w:szCs w:val="20"/>
        </w:rPr>
        <w:t xml:space="preserve"> к настоящему Контракту) и Техническому заданию (</w:t>
      </w:r>
      <w:hyperlink w:anchor="P389">
        <w:r>
          <w:rPr>
            <w:rStyle w:val="Style6"/>
            <w:sz w:val="20"/>
            <w:szCs w:val="20"/>
          </w:rPr>
          <w:t>Приложение N 2</w:t>
        </w:r>
      </w:hyperlink>
      <w:r>
        <w:rPr>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sz w:val="20"/>
          <w:szCs w:val="20"/>
        </w:rPr>
        <w:t>1.2. Наименование и количество поставляемого Товара указано в Спецификации (</w:t>
      </w:r>
      <w:hyperlink w:anchor="P326">
        <w:r>
          <w:rPr>
            <w:rStyle w:val="Style6"/>
            <w:sz w:val="20"/>
            <w:szCs w:val="20"/>
          </w:rPr>
          <w:t>Приложение N 1</w:t>
        </w:r>
      </w:hyperlink>
      <w:r>
        <w:rPr>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sz w:val="20"/>
            <w:szCs w:val="20"/>
          </w:rPr>
          <w:t>Приложение N 2</w:t>
        </w:r>
      </w:hyperlink>
      <w:r>
        <w:rPr>
          <w:sz w:val="20"/>
          <w:szCs w:val="20"/>
        </w:rPr>
        <w:t xml:space="preserve"> к настоящему Контракту).</w:t>
      </w:r>
    </w:p>
    <w:p>
      <w:pPr>
        <w:pStyle w:val="ConsPlusNormal1"/>
        <w:ind w:firstLine="540" w:left="0" w:right="0"/>
        <w:jc w:val="both"/>
        <w:rPr>
          <w:sz w:val="18"/>
          <w:szCs w:val="18"/>
        </w:rPr>
      </w:pPr>
      <w:r>
        <w:rPr>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w:t>
      </w:r>
      <w:r>
        <w:rPr>
          <w:sz w:val="18"/>
          <w:szCs w:val="18"/>
        </w:rPr>
        <w:t>даваемым в порядке, установленном пунктом 3.1 настоящего Контракта.</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2. ЦЕНА КОНТРАКТА И ПОРЯДОК РАСЧЕТОВ</w:t>
      </w:r>
    </w:p>
    <w:p>
      <w:pPr>
        <w:pStyle w:val="ConsPlusNormal1"/>
        <w:ind w:firstLine="540" w:left="0" w:right="0"/>
        <w:jc w:val="both"/>
        <w:rPr/>
      </w:pPr>
      <w:r>
        <w:rPr>
          <w:sz w:val="18"/>
          <w:szCs w:val="18"/>
        </w:rPr>
        <w:t>2.1. Цена настоящего контракта составляет ____________</w:t>
      </w:r>
      <w:r>
        <w:rPr>
          <w:b/>
          <w:bCs/>
          <w:sz w:val="18"/>
          <w:szCs w:val="18"/>
        </w:rPr>
        <w:t>(___________--) рублей  00 коп</w:t>
      </w:r>
      <w:r>
        <w:rPr>
          <w:rStyle w:val="FootnoteReference"/>
          <w:b/>
          <w:bCs/>
          <w:sz w:val="18"/>
          <w:szCs w:val="18"/>
        </w:rPr>
        <w:footnoteReference w:id="2"/>
      </w:r>
      <w:r>
        <w:rPr>
          <w:b/>
          <w:bCs/>
          <w:sz w:val="18"/>
          <w:szCs w:val="18"/>
        </w:rPr>
        <w:t>в том числе НДС_________ руб.</w:t>
      </w:r>
      <w:r>
        <w:rPr>
          <w:sz w:val="18"/>
          <w:szCs w:val="18"/>
        </w:rPr>
        <w:t xml:space="preserve"> .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sz w:val="18"/>
          <w:szCs w:val="18"/>
        </w:rPr>
        <w:t>Цена за единицу Товара установлена в Спецификации (</w:t>
      </w:r>
      <w:hyperlink w:anchor="P326">
        <w:r>
          <w:rPr>
            <w:rStyle w:val="Style6"/>
            <w:sz w:val="18"/>
            <w:szCs w:val="18"/>
          </w:rPr>
          <w:t>Приложение N 1</w:t>
        </w:r>
      </w:hyperlink>
      <w:r>
        <w:rPr>
          <w:sz w:val="18"/>
          <w:szCs w:val="18"/>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Times New Roman" w:hAnsi="Times New Roman"/>
          <w:sz w:val="18"/>
          <w:szCs w:val="18"/>
        </w:rPr>
      </w:pPr>
      <w:r>
        <w:rPr>
          <w:rFonts w:ascii="Times New Roman" w:hAnsi="Times New Roman"/>
          <w:sz w:val="18"/>
          <w:szCs w:val="18"/>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sz w:val="18"/>
            <w:szCs w:val="18"/>
          </w:rPr>
          <w:t>статьями 34</w:t>
        </w:r>
      </w:hyperlink>
      <w:r>
        <w:rPr>
          <w:sz w:val="18"/>
          <w:szCs w:val="18"/>
        </w:rPr>
        <w:t xml:space="preserve"> и </w:t>
      </w:r>
      <w:hyperlink r:id="rId3">
        <w:r>
          <w:rPr>
            <w:rStyle w:val="Style6"/>
            <w:sz w:val="18"/>
            <w:szCs w:val="18"/>
          </w:rPr>
          <w:t>95</w:t>
        </w:r>
      </w:hyperlink>
      <w:r>
        <w:rPr>
          <w:sz w:val="18"/>
          <w:szCs w:val="18"/>
        </w:rPr>
        <w:t xml:space="preserve"> Закона N 44-ФЗ.</w:t>
      </w:r>
    </w:p>
    <w:p>
      <w:pPr>
        <w:pStyle w:val="ConsPlusNormal1"/>
        <w:ind w:firstLine="540" w:left="0" w:right="0"/>
        <w:jc w:val="both"/>
        <w:rPr/>
      </w:pPr>
      <w:bookmarkStart w:id="2" w:name="P64"/>
      <w:bookmarkEnd w:id="2"/>
      <w:r>
        <w:rPr>
          <w:sz w:val="18"/>
          <w:szCs w:val="18"/>
        </w:rPr>
        <w:t>2.3.   Источник финансирования Контракта бюджет МО «Цильнинский район»</w:t>
      </w:r>
    </w:p>
    <w:p>
      <w:pPr>
        <w:pStyle w:val="ConsPlusNormal1"/>
        <w:ind w:firstLine="540" w:left="0" w:right="0"/>
        <w:jc w:val="both"/>
        <w:rPr>
          <w:sz w:val="18"/>
          <w:szCs w:val="18"/>
        </w:rPr>
      </w:pPr>
      <w:r>
        <w:rPr>
          <w:sz w:val="18"/>
          <w:szCs w:val="18"/>
        </w:rPr>
        <w:t xml:space="preserve">2.4.  Оплата поставленного Товара производится в течение 10 (десять) рабочих дней с даты подписания Заказчиком электронного документа о приемке. </w:t>
      </w:r>
    </w:p>
    <w:p>
      <w:pPr>
        <w:pStyle w:val="ConsPlusNormal1"/>
        <w:ind w:firstLine="540" w:left="0" w:right="0"/>
        <w:jc w:val="both"/>
        <w:rPr/>
      </w:pPr>
      <w:bookmarkStart w:id="3" w:name="P79"/>
      <w:bookmarkEnd w:id="3"/>
      <w:r>
        <w:rPr>
          <w:sz w:val="18"/>
          <w:szCs w:val="18"/>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sz w:val="18"/>
            <w:szCs w:val="18"/>
          </w:rPr>
          <w:t xml:space="preserve">, в соответствии с разделом </w:t>
        </w:r>
      </w:hyperlink>
      <w:r>
        <w:rPr>
          <w:sz w:val="18"/>
          <w:szCs w:val="18"/>
        </w:rPr>
        <w:t>15 настоящего контракта.</w:t>
      </w:r>
    </w:p>
    <w:p>
      <w:pPr>
        <w:pStyle w:val="ConsPlusNormal1"/>
        <w:ind w:firstLine="540" w:left="0" w:right="0"/>
        <w:jc w:val="both"/>
        <w:rPr>
          <w:sz w:val="18"/>
          <w:szCs w:val="18"/>
        </w:rPr>
      </w:pPr>
      <w:r>
        <w:rPr>
          <w:sz w:val="18"/>
          <w:szCs w:val="18"/>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sz w:val="18"/>
          <w:szCs w:val="18"/>
        </w:rPr>
      </w:pPr>
      <w:r>
        <w:rPr>
          <w:sz w:val="18"/>
          <w:szCs w:val="18"/>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pPr>
      <w:bookmarkStart w:id="4" w:name="P81"/>
      <w:bookmarkEnd w:id="4"/>
      <w:r>
        <w:rPr>
          <w:rFonts w:ascii="Times New Roman" w:hAnsi="Times New Roman"/>
          <w:sz w:val="18"/>
          <w:szCs w:val="18"/>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Times New Roman" w:hAnsi="Times New Roman"/>
          <w:sz w:val="18"/>
          <w:szCs w:val="18"/>
        </w:rPr>
        <w:footnoteReference w:id="3"/>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3. ПОРЯДОК, СРОКИ И УСЛОВИЯ ПОСТАВКИ И ПРИЕМКИ ТОВАРА</w:t>
      </w:r>
    </w:p>
    <w:p>
      <w:pPr>
        <w:pStyle w:val="ConsPlusNormal1"/>
        <w:ind w:firstLine="540" w:left="0" w:right="0"/>
        <w:jc w:val="both"/>
        <w:rPr/>
      </w:pPr>
      <w:r>
        <w:rPr>
          <w:sz w:val="18"/>
          <w:szCs w:val="18"/>
        </w:rPr>
        <w:t>3.1. Товар Заказчику/Получателю</w:t>
      </w:r>
      <w:r>
        <w:rPr>
          <w:rStyle w:val="FootnoteReference"/>
          <w:sz w:val="18"/>
          <w:szCs w:val="18"/>
        </w:rPr>
        <w:footnoteReference w:id="4"/>
      </w:r>
      <w:r>
        <w:rPr>
          <w:sz w:val="18"/>
          <w:szCs w:val="18"/>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b/>
          <w:bCs/>
        </w:rPr>
      </w:pPr>
      <w:r>
        <w:rPr>
          <w:rFonts w:ascii="Times New Roman" w:hAnsi="Times New Roman"/>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b/>
          <w:bCs/>
        </w:rPr>
      </w:pPr>
      <w:r>
        <w:rPr>
          <w:rFonts w:ascii="Times New Roman" w:hAnsi="Times New Roman"/>
          <w:b/>
          <w:bCs/>
          <w:sz w:val="20"/>
          <w:szCs w:val="20"/>
        </w:rPr>
        <w:t xml:space="preserve">Срок поставки товара:   </w:t>
      </w:r>
      <w:r>
        <w:rPr>
          <w:rFonts w:ascii="PT Astra Serif" w:hAnsi="PT Astra Serif"/>
          <w:b/>
          <w:bCs/>
          <w:sz w:val="22"/>
          <w:szCs w:val="22"/>
        </w:rPr>
        <w:t xml:space="preserve">с 01 </w:t>
      </w:r>
      <w:r>
        <w:rPr>
          <w:rFonts w:ascii="PT Astra Serif" w:hAnsi="PT Astra Serif"/>
          <w:b/>
          <w:bCs/>
          <w:sz w:val="22"/>
          <w:szCs w:val="22"/>
        </w:rPr>
        <w:t xml:space="preserve">сентября </w:t>
      </w:r>
      <w:r>
        <w:rPr>
          <w:rFonts w:ascii="PT Astra Serif" w:hAnsi="PT Astra Serif"/>
          <w:b/>
          <w:bCs/>
          <w:sz w:val="22"/>
          <w:szCs w:val="22"/>
        </w:rPr>
        <w:t xml:space="preserve">   </w:t>
      </w:r>
      <w:r>
        <w:rPr>
          <w:rFonts w:ascii="Times New Roman" w:hAnsi="Times New Roman"/>
          <w:b/>
          <w:bCs/>
          <w:sz w:val="20"/>
          <w:szCs w:val="20"/>
        </w:rPr>
        <w:t xml:space="preserve"> по 3</w:t>
      </w:r>
      <w:r>
        <w:rPr>
          <w:rFonts w:ascii="Times New Roman" w:hAnsi="Times New Roman"/>
          <w:b/>
          <w:bCs/>
          <w:sz w:val="20"/>
          <w:szCs w:val="20"/>
        </w:rPr>
        <w:t xml:space="preserve">1 декабря </w:t>
      </w:r>
      <w:r>
        <w:rPr>
          <w:rFonts w:ascii="Times New Roman" w:hAnsi="Times New Roman"/>
          <w:b/>
          <w:bCs/>
          <w:sz w:val="20"/>
          <w:szCs w:val="20"/>
        </w:rPr>
        <w:t xml:space="preserve">   2026 года </w:t>
      </w:r>
    </w:p>
    <w:p>
      <w:pPr>
        <w:pStyle w:val="15"/>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18"/>
          <w:szCs w:val="18"/>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sz w:val="18"/>
          <w:szCs w:val="18"/>
        </w:rPr>
      </w:pPr>
      <w:r>
        <w:rPr>
          <w:sz w:val="18"/>
          <w:szCs w:val="18"/>
        </w:rPr>
        <w:t>3.2. Поставка Товара по Заявке Поставщиком осуществляется по адресу:</w:t>
      </w:r>
    </w:p>
    <w:p>
      <w:pPr>
        <w:pStyle w:val="ConsPlusNormal1"/>
        <w:ind w:firstLine="540" w:left="0" w:right="0"/>
        <w:jc w:val="both"/>
        <w:rPr>
          <w:sz w:val="18"/>
          <w:szCs w:val="18"/>
        </w:rPr>
      </w:pPr>
      <w:r>
        <w:rPr>
          <w:rFonts w:ascii="PT Astra Serif" w:hAnsi="PT Astra Serif"/>
          <w:b/>
          <w:bCs/>
          <w:sz w:val="18"/>
          <w:szCs w:val="18"/>
          <w:shd w:fill="FFFFFF" w:val="clear"/>
        </w:rPr>
        <w:t>Ульяновская область, Цильнинский район,</w:t>
      </w:r>
      <w:r>
        <w:rPr>
          <w:b/>
          <w:bCs/>
          <w:sz w:val="18"/>
          <w:szCs w:val="18"/>
          <w:shd w:fill="FFFFFF" w:val="clear"/>
        </w:rPr>
        <w:t xml:space="preserve"> рабочий поселок Цильна, улица </w:t>
      </w:r>
      <w:r>
        <w:rPr>
          <w:b/>
          <w:bCs/>
          <w:sz w:val="18"/>
          <w:szCs w:val="18"/>
          <w:shd w:fill="FFFFFF" w:val="clear"/>
          <w:lang w:val="ru-RU"/>
        </w:rPr>
        <w:t xml:space="preserve"> Олега Кошевого, дом 17</w:t>
      </w:r>
    </w:p>
    <w:p>
      <w:pPr>
        <w:pStyle w:val="ConsPlusNormal1"/>
        <w:ind w:firstLine="539" w:left="0" w:right="0"/>
        <w:jc w:val="both"/>
        <w:rPr/>
      </w:pPr>
      <w:r>
        <w:rPr>
          <w:sz w:val="18"/>
          <w:szCs w:val="18"/>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sz w:val="18"/>
            <w:szCs w:val="18"/>
          </w:rPr>
          <w:t>форме N ТОРГ-12</w:t>
        </w:r>
      </w:hyperlink>
      <w:r>
        <w:rPr>
          <w:sz w:val="18"/>
          <w:szCs w:val="18"/>
        </w:rPr>
        <w:t xml:space="preserve">  (УПД) в 2 (двух) экземплярах (по 1 (одному) экземпляру для каждой из Сторон) и счет.</w:t>
      </w:r>
    </w:p>
    <w:p>
      <w:pPr>
        <w:pStyle w:val="ConsPlusNormal1"/>
        <w:ind w:firstLine="540" w:left="0" w:right="0"/>
        <w:jc w:val="both"/>
        <w:rPr/>
      </w:pPr>
      <w:r>
        <w:rPr>
          <w:sz w:val="18"/>
          <w:szCs w:val="18"/>
        </w:rPr>
        <w:t xml:space="preserve">Вместе с товарной накладной по </w:t>
      </w:r>
      <w:hyperlink r:id="rId5">
        <w:r>
          <w:rPr>
            <w:rStyle w:val="Style6"/>
            <w:sz w:val="18"/>
            <w:szCs w:val="18"/>
          </w:rPr>
          <w:t>форме N ТОРГ-12</w:t>
        </w:r>
      </w:hyperlink>
      <w:r>
        <w:rPr>
          <w:sz w:val="18"/>
          <w:szCs w:val="18"/>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sz w:val="18"/>
          <w:szCs w:val="18"/>
        </w:rPr>
      </w:pPr>
      <w:r>
        <w:rPr>
          <w:sz w:val="18"/>
          <w:szCs w:val="18"/>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bCs/>
          <w:sz w:val="18"/>
          <w:szCs w:val="18"/>
        </w:rPr>
        <w:t>К документу о приемке могут прилагаться документы, которые считаются его неотъемлемой частью (</w:t>
      </w:r>
      <w:r>
        <w:rPr>
          <w:sz w:val="18"/>
          <w:szCs w:val="18"/>
        </w:rPr>
        <w:t xml:space="preserve">товарная накладная по </w:t>
      </w:r>
      <w:hyperlink r:id="rId6">
        <w:r>
          <w:rPr>
            <w:rStyle w:val="Style6"/>
            <w:sz w:val="18"/>
            <w:szCs w:val="18"/>
          </w:rPr>
          <w:t>форме N ТОРГ-12</w:t>
        </w:r>
      </w:hyperlink>
      <w:r>
        <w:rPr>
          <w:sz w:val="18"/>
          <w:szCs w:val="18"/>
        </w:rPr>
        <w:t xml:space="preserve"> счет-фактура/Акта сдачи-приемки Товара </w:t>
      </w:r>
      <w:r>
        <w:rPr>
          <w:bCs/>
          <w:sz w:val="18"/>
          <w:szCs w:val="18"/>
        </w:rPr>
        <w:t>.</w:t>
      </w:r>
    </w:p>
    <w:p>
      <w:pPr>
        <w:pStyle w:val="ConsPlusNormal1"/>
        <w:ind w:firstLine="540" w:left="0" w:right="0"/>
        <w:jc w:val="both"/>
        <w:rPr/>
      </w:pPr>
      <w:r>
        <w:rPr>
          <w:sz w:val="18"/>
          <w:szCs w:val="18"/>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sz w:val="18"/>
            <w:szCs w:val="18"/>
          </w:rPr>
          <w:t>Законом</w:t>
        </w:r>
      </w:hyperlink>
      <w:r>
        <w:rPr>
          <w:sz w:val="18"/>
          <w:szCs w:val="18"/>
        </w:rPr>
        <w:t xml:space="preserve"> N 44-ФЗ.</w:t>
      </w:r>
    </w:p>
    <w:p>
      <w:pPr>
        <w:pStyle w:val="ConsPlusNormal1"/>
        <w:ind w:firstLine="540" w:left="0" w:right="0"/>
        <w:jc w:val="both"/>
        <w:rPr/>
      </w:pPr>
      <w:r>
        <w:rPr>
          <w:sz w:val="18"/>
          <w:szCs w:val="18"/>
        </w:rPr>
        <w:t xml:space="preserve">3.4.В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sz w:val="18"/>
            <w:szCs w:val="18"/>
          </w:rPr>
          <w:t>Законом</w:t>
        </w:r>
      </w:hyperlink>
      <w:r>
        <w:rPr>
          <w:sz w:val="18"/>
          <w:szCs w:val="18"/>
        </w:rPr>
        <w:t xml:space="preserve"> N 44-ФЗ, не реже 3 раз в течение срока действия Контракта, указанного в </w:t>
      </w:r>
      <w:hyperlink w:anchor="P275">
        <w:r>
          <w:rPr>
            <w:rStyle w:val="Style6"/>
            <w:sz w:val="18"/>
            <w:szCs w:val="18"/>
          </w:rPr>
          <w:t>пункте 12.1</w:t>
        </w:r>
      </w:hyperlink>
      <w:r>
        <w:rPr>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sz w:val="18"/>
          <w:szCs w:val="18"/>
        </w:rPr>
      </w:pPr>
      <w:r>
        <w:rPr>
          <w:sz w:val="18"/>
          <w:szCs w:val="18"/>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sz w:val="18"/>
          <w:szCs w:val="18"/>
        </w:rPr>
      </w:pPr>
      <w:r>
        <w:rPr>
          <w:sz w:val="18"/>
          <w:szCs w:val="18"/>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sz w:val="18"/>
          <w:szCs w:val="18"/>
        </w:rPr>
      </w:pPr>
      <w:r>
        <w:rPr>
          <w:sz w:val="18"/>
          <w:szCs w:val="18"/>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sz w:val="18"/>
          <w:szCs w:val="18"/>
        </w:rPr>
      </w:pPr>
      <w:r>
        <w:rPr>
          <w:sz w:val="18"/>
          <w:szCs w:val="18"/>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sz w:val="18"/>
          <w:szCs w:val="18"/>
        </w:rPr>
      </w:pPr>
      <w:r>
        <w:rPr>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sz w:val="18"/>
          <w:szCs w:val="18"/>
        </w:rPr>
      </w:pPr>
      <w:r>
        <w:rPr>
          <w:sz w:val="18"/>
          <w:szCs w:val="18"/>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Times New Roman" w:hAnsi="Times New Roman"/>
          <w:sz w:val="18"/>
          <w:szCs w:val="18"/>
        </w:rPr>
      </w:pPr>
      <w:r>
        <w:rPr>
          <w:rFonts w:eastAsia="Calibri" w:ascii="Times New Roman" w:hAnsi="Times New Roman"/>
          <w:sz w:val="18"/>
          <w:szCs w:val="18"/>
          <w:lang w:eastAsia="en-US"/>
        </w:rPr>
        <w:t xml:space="preserve">   </w:t>
      </w:r>
      <w:r>
        <w:rPr>
          <w:rFonts w:ascii="Times New Roman" w:hAnsi="Times New Roman"/>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sz w:val="18"/>
          <w:szCs w:val="18"/>
        </w:rPr>
      </w:pPr>
      <w:r>
        <w:rPr>
          <w:sz w:val="18"/>
          <w:szCs w:val="18"/>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sz w:val="18"/>
          <w:szCs w:val="18"/>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sz w:val="18"/>
            <w:szCs w:val="18"/>
          </w:rPr>
          <w:t>форме N ТОРГ-12</w:t>
        </w:r>
      </w:hyperlink>
      <w:r>
        <w:rPr>
          <w:sz w:val="18"/>
          <w:szCs w:val="18"/>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Times New Roman" w:hAnsi="Times New Roman"/>
          <w:sz w:val="18"/>
          <w:szCs w:val="18"/>
        </w:rPr>
      </w:pPr>
      <w:r>
        <w:rPr>
          <w:rFonts w:ascii="Times New Roman" w:hAnsi="Times New Roman"/>
          <w:sz w:val="18"/>
          <w:szCs w:val="18"/>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sz w:val="18"/>
          <w:szCs w:val="18"/>
        </w:rPr>
      </w:pPr>
      <w:r>
        <w:rPr>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bCs/>
          <w:color w:val="000000"/>
          <w:sz w:val="18"/>
          <w:szCs w:val="18"/>
        </w:rPr>
      </w:pPr>
      <w:r>
        <w:rPr>
          <w:bCs/>
          <w:color w:val="000000"/>
          <w:sz w:val="18"/>
          <w:szCs w:val="18"/>
        </w:rPr>
        <w:t>Датой приемки поставленного товара считается дата подписания  документа о приемки  Заказчиком.</w:t>
      </w:r>
    </w:p>
    <w:p>
      <w:pPr>
        <w:pStyle w:val="ConsPlusNormal1"/>
        <w:ind w:firstLine="540" w:left="0" w:right="0"/>
        <w:jc w:val="both"/>
        <w:rPr/>
      </w:pPr>
      <w:bookmarkStart w:id="5" w:name="P126"/>
      <w:bookmarkEnd w:id="5"/>
      <w:r>
        <w:rPr>
          <w:sz w:val="18"/>
          <w:szCs w:val="18"/>
        </w:rPr>
        <w:t xml:space="preserve">3.5. </w:t>
      </w:r>
      <w:r>
        <w:rPr>
          <w:color w:val="000000"/>
          <w:sz w:val="18"/>
          <w:szCs w:val="18"/>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sz w:val="18"/>
          <w:szCs w:val="18"/>
        </w:rPr>
      </w:pPr>
      <w:r>
        <w:rPr>
          <w:sz w:val="18"/>
          <w:szCs w:val="18"/>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sz w:val="18"/>
          <w:szCs w:val="18"/>
        </w:rPr>
      </w:pPr>
      <w:r>
        <w:rPr>
          <w:sz w:val="18"/>
          <w:szCs w:val="18"/>
        </w:rPr>
        <w:t>3.7. Сдача и приемка Товара осуществляются уполномоченными представителями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4. ВЗАИМОДЕЙСТВИЕ СТОРОН</w:t>
      </w:r>
    </w:p>
    <w:p>
      <w:pPr>
        <w:pStyle w:val="ConsPlusNormal1"/>
        <w:ind w:firstLine="540" w:left="0" w:right="0"/>
        <w:jc w:val="both"/>
        <w:rPr>
          <w:sz w:val="18"/>
          <w:szCs w:val="18"/>
        </w:rPr>
      </w:pPr>
      <w:r>
        <w:rPr>
          <w:sz w:val="18"/>
          <w:szCs w:val="18"/>
        </w:rPr>
        <w:t xml:space="preserve">4.1. Поставщик обязан: </w:t>
      </w:r>
    </w:p>
    <w:p>
      <w:pPr>
        <w:pStyle w:val="ConsPlusNormal1"/>
        <w:ind w:firstLine="540" w:left="0" w:right="0"/>
        <w:jc w:val="both"/>
        <w:rPr>
          <w:sz w:val="18"/>
          <w:szCs w:val="18"/>
        </w:rPr>
      </w:pPr>
      <w:r>
        <w:rPr>
          <w:sz w:val="18"/>
          <w:szCs w:val="18"/>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sz w:val="18"/>
          <w:szCs w:val="18"/>
        </w:rPr>
      </w:pPr>
      <w:r>
        <w:rPr>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sz w:val="18"/>
          <w:szCs w:val="18"/>
        </w:rPr>
      </w:pPr>
      <w:r>
        <w:rPr>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pPr>
      <w:r>
        <w:rPr>
          <w:sz w:val="18"/>
          <w:szCs w:val="18"/>
        </w:rPr>
        <w:t>4.1.4.</w:t>
      </w:r>
      <w:r>
        <w:rPr>
          <w:color w:val="000000"/>
          <w:sz w:val="18"/>
          <w:szCs w:val="18"/>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w:t>
      </w:r>
    </w:p>
    <w:p>
      <w:pPr>
        <w:pStyle w:val="Normal"/>
        <w:spacing w:lineRule="auto" w:line="240" w:before="0" w:after="0"/>
        <w:ind w:firstLine="540" w:left="0" w:right="0"/>
        <w:rPr/>
      </w:pPr>
      <w:r>
        <w:rPr>
          <w:rFonts w:eastAsia="Calibri" w:ascii="Times New Roman" w:hAnsi="Times New Roman"/>
          <w:color w:val="000000"/>
          <w:sz w:val="18"/>
          <w:szCs w:val="18"/>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Times New Roman" w:hAnsi="Times New Roman"/>
            <w:color w:val="000000"/>
            <w:sz w:val="18"/>
            <w:szCs w:val="18"/>
            <w:lang w:eastAsia="en-US"/>
          </w:rPr>
          <w:t>пунктом 2</w:t>
        </w:r>
      </w:hyperlink>
      <w:r>
        <w:rPr>
          <w:rFonts w:eastAsia="Calibri" w:ascii="Times New Roman" w:hAnsi="Times New Roman"/>
          <w:color w:val="000000"/>
          <w:sz w:val="18"/>
          <w:szCs w:val="18"/>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pPr>
      <w:r>
        <w:rPr>
          <w:color w:val="000000"/>
          <w:sz w:val="18"/>
          <w:szCs w:val="18"/>
        </w:rPr>
        <w:t>4.1.</w:t>
      </w:r>
      <w:r>
        <w:rPr>
          <w:sz w:val="18"/>
          <w:szCs w:val="18"/>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sz w:val="18"/>
          <w:szCs w:val="18"/>
        </w:rPr>
        <w:t xml:space="preserve">4.1.6. Поставщик обязан оформлять товарные накладные по </w:t>
      </w:r>
      <w:hyperlink r:id="rId10">
        <w:r>
          <w:rPr>
            <w:rStyle w:val="Style6"/>
            <w:sz w:val="18"/>
            <w:szCs w:val="18"/>
          </w:rPr>
          <w:t>форме N ТОРГ-12</w:t>
        </w:r>
      </w:hyperlink>
      <w:r>
        <w:rPr>
          <w:sz w:val="18"/>
          <w:szCs w:val="18"/>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sz w:val="18"/>
          <w:szCs w:val="18"/>
        </w:rPr>
      </w:pPr>
      <w:r>
        <w:rPr>
          <w:sz w:val="18"/>
          <w:szCs w:val="18"/>
        </w:rPr>
        <w:t>4.2. Поставщик вправе:</w:t>
      </w:r>
    </w:p>
    <w:p>
      <w:pPr>
        <w:pStyle w:val="ConsPlusNormal1"/>
        <w:ind w:firstLine="540" w:left="0" w:right="0"/>
        <w:jc w:val="both"/>
        <w:rPr>
          <w:sz w:val="18"/>
          <w:szCs w:val="18"/>
        </w:rPr>
      </w:pPr>
      <w:r>
        <w:rPr>
          <w:sz w:val="18"/>
          <w:szCs w:val="18"/>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sz w:val="18"/>
          <w:szCs w:val="18"/>
        </w:rPr>
      </w:pPr>
      <w:bookmarkStart w:id="7" w:name="P163"/>
      <w:bookmarkEnd w:id="7"/>
      <w:r>
        <w:rPr>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sz w:val="18"/>
          <w:szCs w:val="18"/>
        </w:rPr>
      </w:pPr>
      <w:bookmarkStart w:id="8" w:name="P164"/>
      <w:bookmarkEnd w:id="8"/>
      <w:r>
        <w:rPr>
          <w:sz w:val="18"/>
          <w:szCs w:val="18"/>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sz w:val="18"/>
          <w:szCs w:val="18"/>
        </w:rPr>
        <w:t xml:space="preserve">4.2.4. Требовать возмещения убытков, уплаты неустоек (штрафов, пеней) в соответствии с </w:t>
      </w:r>
      <w:hyperlink w:anchor="P211">
        <w:r>
          <w:rPr>
            <w:rStyle w:val="Style6"/>
            <w:sz w:val="18"/>
            <w:szCs w:val="18"/>
          </w:rPr>
          <w:t xml:space="preserve">разделом </w:t>
        </w:r>
      </w:hyperlink>
      <w:r>
        <w:rPr>
          <w:sz w:val="18"/>
          <w:szCs w:val="18"/>
        </w:rPr>
        <w:t>7 настоящего Контракта.</w:t>
      </w:r>
    </w:p>
    <w:p>
      <w:pPr>
        <w:pStyle w:val="ConsPlusNormal1"/>
        <w:ind w:firstLine="540" w:left="0" w:right="0"/>
        <w:jc w:val="both"/>
        <w:rPr>
          <w:sz w:val="18"/>
          <w:szCs w:val="18"/>
        </w:rPr>
      </w:pPr>
      <w:r>
        <w:rPr>
          <w:sz w:val="18"/>
          <w:szCs w:val="18"/>
        </w:rPr>
        <w:t>4.3. Заказчик обязуется:</w:t>
      </w:r>
    </w:p>
    <w:p>
      <w:pPr>
        <w:pStyle w:val="ConsPlusNormal1"/>
        <w:ind w:firstLine="540" w:left="0" w:right="0"/>
        <w:jc w:val="both"/>
        <w:rPr>
          <w:sz w:val="18"/>
          <w:szCs w:val="18"/>
        </w:rPr>
      </w:pPr>
      <w:bookmarkStart w:id="9" w:name="P168"/>
      <w:bookmarkEnd w:id="9"/>
      <w:r>
        <w:rPr>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Times New Roman" w:hAnsi="Times New Roman"/>
          <w:sz w:val="18"/>
          <w:szCs w:val="18"/>
        </w:rPr>
      </w:pPr>
      <w:r>
        <w:rPr>
          <w:rFonts w:ascii="Times New Roman" w:hAnsi="Times New Roman"/>
          <w:sz w:val="18"/>
          <w:szCs w:val="18"/>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sz w:val="18"/>
          <w:szCs w:val="18"/>
        </w:rPr>
      </w:pPr>
      <w:r>
        <w:rPr>
          <w:sz w:val="18"/>
          <w:szCs w:val="18"/>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pPr>
      <w:r>
        <w:rPr>
          <w:rFonts w:ascii="Times New Roman" w:hAnsi="Times New Roman"/>
          <w:sz w:val="18"/>
          <w:szCs w:val="18"/>
        </w:rPr>
        <w:t>Д</w:t>
      </w:r>
      <w:bookmarkStart w:id="10" w:name="Par0"/>
      <w:bookmarkEnd w:id="10"/>
      <w:r>
        <w:rPr>
          <w:rFonts w:eastAsia="Calibri" w:ascii="Times New Roman" w:hAnsi="Times New Roman"/>
          <w:sz w:val="18"/>
          <w:szCs w:val="18"/>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Times New Roman" w:hAnsi="Times New Roman"/>
          <w:sz w:val="18"/>
          <w:szCs w:val="18"/>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Times New Roman" w:hAnsi="Times New Roman"/>
            <w:sz w:val="18"/>
            <w:szCs w:val="18"/>
            <w:lang w:eastAsia="en-US"/>
          </w:rPr>
          <w:t>пунктом 2</w:t>
        </w:r>
      </w:hyperlink>
      <w:r>
        <w:rPr>
          <w:rFonts w:eastAsia="Calibri" w:ascii="Times New Roman" w:hAnsi="Times New Roman"/>
          <w:sz w:val="18"/>
          <w:szCs w:val="18"/>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sz w:val="18"/>
          <w:szCs w:val="18"/>
        </w:rPr>
        <w:t xml:space="preserve">4.3.4. Требовать уплаты неустоек (штрафов, пеней) в соответствии с </w:t>
      </w:r>
      <w:hyperlink w:anchor="P211">
        <w:r>
          <w:rPr>
            <w:rStyle w:val="Style6"/>
            <w:sz w:val="18"/>
            <w:szCs w:val="18"/>
          </w:rPr>
          <w:t>разделом VII</w:t>
        </w:r>
      </w:hyperlink>
      <w:r>
        <w:rPr>
          <w:sz w:val="18"/>
          <w:szCs w:val="18"/>
        </w:rPr>
        <w:t xml:space="preserve"> настоящего Контракта.</w:t>
      </w:r>
    </w:p>
    <w:p>
      <w:pPr>
        <w:pStyle w:val="ConsPlusNormal1"/>
        <w:ind w:firstLine="540" w:left="0" w:right="0"/>
        <w:jc w:val="both"/>
        <w:rPr/>
      </w:pPr>
      <w:r>
        <w:rPr>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sz w:val="18"/>
            <w:szCs w:val="18"/>
          </w:rPr>
          <w:t>Законом</w:t>
        </w:r>
      </w:hyperlink>
      <w:r>
        <w:rPr>
          <w:sz w:val="18"/>
          <w:szCs w:val="18"/>
        </w:rPr>
        <w:t xml:space="preserve"> N 44-ФЗ и настоящим Контрактом.</w:t>
      </w:r>
    </w:p>
    <w:p>
      <w:pPr>
        <w:pStyle w:val="ConsPlusNormal1"/>
        <w:ind w:firstLine="540" w:left="0" w:right="0"/>
        <w:jc w:val="both"/>
        <w:rPr>
          <w:sz w:val="18"/>
          <w:szCs w:val="18"/>
        </w:rPr>
      </w:pPr>
      <w:r>
        <w:rPr>
          <w:sz w:val="18"/>
          <w:szCs w:val="18"/>
        </w:rPr>
        <w:t>4.4. Заказчик вправе:</w:t>
      </w:r>
    </w:p>
    <w:p>
      <w:pPr>
        <w:pStyle w:val="ConsPlusNormal1"/>
        <w:ind w:firstLine="540" w:left="0" w:right="0"/>
        <w:jc w:val="both"/>
        <w:rPr>
          <w:sz w:val="18"/>
          <w:szCs w:val="18"/>
        </w:rPr>
      </w:pPr>
      <w:r>
        <w:rPr>
          <w:sz w:val="18"/>
          <w:szCs w:val="18"/>
        </w:rPr>
        <w:t>4.4.1. Требовать от Поставщика надлежащего исполнения обязательств по настоящему Контракту.</w:t>
      </w:r>
    </w:p>
    <w:p>
      <w:pPr>
        <w:pStyle w:val="ConsPlusNormal1"/>
        <w:ind w:firstLine="540" w:left="0" w:right="0"/>
        <w:jc w:val="both"/>
        <w:rPr>
          <w:sz w:val="18"/>
          <w:szCs w:val="18"/>
        </w:rPr>
      </w:pPr>
      <w:r>
        <w:rPr>
          <w:sz w:val="18"/>
          <w:szCs w:val="18"/>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sz w:val="18"/>
          <w:szCs w:val="18"/>
        </w:rPr>
      </w:pPr>
      <w:r>
        <w:rPr>
          <w:sz w:val="18"/>
          <w:szCs w:val="18"/>
        </w:rPr>
        <w:t>4.4.3. Проверять ход и качество выполнения Поставщиком условий настоящего Контракта.</w:t>
      </w:r>
    </w:p>
    <w:p>
      <w:pPr>
        <w:pStyle w:val="ConsPlusNormal1"/>
        <w:ind w:firstLine="540" w:left="0" w:right="0"/>
        <w:jc w:val="both"/>
        <w:rPr/>
      </w:pPr>
      <w:r>
        <w:rPr>
          <w:sz w:val="18"/>
          <w:szCs w:val="18"/>
        </w:rPr>
        <w:t xml:space="preserve">4.4.4. Требовать возмещения убытков в соответствии с </w:t>
      </w:r>
      <w:hyperlink w:anchor="P211">
        <w:r>
          <w:rPr>
            <w:rStyle w:val="Style6"/>
            <w:sz w:val="18"/>
            <w:szCs w:val="18"/>
          </w:rPr>
          <w:t xml:space="preserve">разделом </w:t>
        </w:r>
      </w:hyperlink>
      <w:r>
        <w:rPr>
          <w:sz w:val="18"/>
          <w:szCs w:val="18"/>
        </w:rPr>
        <w:t>7 настоящего Контракта, причиненных по вине Поставщика.</w:t>
      </w:r>
    </w:p>
    <w:p>
      <w:pPr>
        <w:pStyle w:val="ConsPlusNormal1"/>
        <w:ind w:firstLine="540" w:left="0" w:right="0"/>
        <w:jc w:val="both"/>
        <w:rPr>
          <w:sz w:val="18"/>
          <w:szCs w:val="18"/>
        </w:rPr>
      </w:pPr>
      <w:r>
        <w:rPr>
          <w:sz w:val="18"/>
          <w:szCs w:val="18"/>
        </w:rPr>
        <w:t>4.4.5. Отказаться от приемки и оплаты Товара, не соответствующего условиям настоящего Контракта.</w:t>
      </w:r>
    </w:p>
    <w:p>
      <w:pPr>
        <w:pStyle w:val="ConsPlusNormal1"/>
        <w:ind w:firstLine="540" w:left="0" w:right="0"/>
        <w:jc w:val="both"/>
        <w:rPr>
          <w:sz w:val="18"/>
          <w:szCs w:val="18"/>
        </w:rPr>
      </w:pPr>
      <w:bookmarkStart w:id="11" w:name="P180"/>
      <w:bookmarkEnd w:id="11"/>
      <w:r>
        <w:rPr>
          <w:sz w:val="18"/>
          <w:szCs w:val="18"/>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sz w:val="18"/>
          <w:szCs w:val="18"/>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sz w:val="18"/>
            <w:szCs w:val="18"/>
          </w:rPr>
          <w:t>Законом</w:t>
        </w:r>
      </w:hyperlink>
      <w:r>
        <w:rPr>
          <w:sz w:val="18"/>
          <w:szCs w:val="18"/>
        </w:rPr>
        <w:t xml:space="preserve"> N 44-ФЗ.</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5. УПАКОВКА ТОВАРА</w:t>
      </w:r>
    </w:p>
    <w:p>
      <w:pPr>
        <w:pStyle w:val="ConsPlusNormal1"/>
        <w:ind w:firstLine="540" w:left="0" w:right="0"/>
        <w:jc w:val="both"/>
        <w:rPr>
          <w:sz w:val="18"/>
          <w:szCs w:val="18"/>
        </w:rPr>
      </w:pPr>
      <w:r>
        <w:rPr>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sz w:val="18"/>
            <w:szCs w:val="18"/>
          </w:rPr>
          <w:t xml:space="preserve">пунктом 3.3 раздела </w:t>
        </w:r>
      </w:hyperlink>
      <w:r>
        <w:rPr>
          <w:sz w:val="18"/>
          <w:szCs w:val="18"/>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sz w:val="18"/>
          <w:szCs w:val="18"/>
        </w:rPr>
      </w:pPr>
      <w:r>
        <w:rPr>
          <w:sz w:val="18"/>
          <w:szCs w:val="18"/>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sz w:val="18"/>
          <w:szCs w:val="18"/>
        </w:rPr>
        <w:t xml:space="preserve">5.4. На упаковке должна быть маркировка, содержащая информацию согласно </w:t>
      </w:r>
      <w:hyperlink r:id="rId13">
        <w:r>
          <w:rPr>
            <w:rStyle w:val="Style6"/>
            <w:sz w:val="18"/>
            <w:szCs w:val="18"/>
          </w:rPr>
          <w:t>части 4.1 статьи 4</w:t>
        </w:r>
      </w:hyperlink>
      <w:r>
        <w:rPr>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sz w:val="18"/>
            <w:szCs w:val="18"/>
          </w:rPr>
          <w:t>, а также информацию согласно иным техническим регламентам на отдельные виды Товара.</w:t>
        </w:r>
      </w:hyperlink>
    </w:p>
    <w:p>
      <w:pPr>
        <w:pStyle w:val="ConsPlusNormal1"/>
        <w:ind w:firstLine="540" w:left="0" w:right="0"/>
        <w:jc w:val="both"/>
        <w:rPr>
          <w:sz w:val="18"/>
          <w:szCs w:val="18"/>
        </w:rPr>
      </w:pPr>
      <w:r>
        <w:rPr>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 xml:space="preserve">6. КАЧЕСТВО ТОВАРА, СРОК ГОДНОСТИ </w:t>
      </w:r>
    </w:p>
    <w:p>
      <w:pPr>
        <w:pStyle w:val="ConsPlusNormal1"/>
        <w:ind w:firstLine="540" w:left="0" w:right="0"/>
        <w:jc w:val="both"/>
        <w:rPr>
          <w:sz w:val="18"/>
          <w:szCs w:val="18"/>
        </w:rPr>
      </w:pPr>
      <w:r>
        <w:rPr>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sz w:val="18"/>
          <w:szCs w:val="18"/>
        </w:rPr>
      </w:pPr>
      <w:r>
        <w:rPr>
          <w:sz w:val="18"/>
          <w:szCs w:val="18"/>
        </w:rPr>
        <w:t>6.2. Товар не должен представлять опасности для жизни и здоровья граждан.</w:t>
      </w:r>
    </w:p>
    <w:p>
      <w:pPr>
        <w:pStyle w:val="ConsPlusNormal1"/>
        <w:ind w:firstLine="540" w:left="0" w:right="0"/>
        <w:jc w:val="both"/>
        <w:rPr>
          <w:sz w:val="18"/>
          <w:szCs w:val="18"/>
        </w:rPr>
      </w:pPr>
      <w:r>
        <w:rPr>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sz w:val="18"/>
          <w:szCs w:val="18"/>
        </w:rPr>
        <w:t>6.4. Остаточный срок годности Товара устанавливается Заказчиком в Спецификации (</w:t>
      </w:r>
      <w:hyperlink w:anchor="P326">
        <w:r>
          <w:rPr>
            <w:rStyle w:val="Style6"/>
            <w:sz w:val="18"/>
            <w:szCs w:val="18"/>
          </w:rPr>
          <w:t>Приложение N 1</w:t>
        </w:r>
      </w:hyperlink>
      <w:r>
        <w:rPr>
          <w:sz w:val="18"/>
          <w:szCs w:val="18"/>
        </w:rPr>
        <w:t xml:space="preserve"> к настоящему Контракту).</w:t>
      </w:r>
    </w:p>
    <w:p>
      <w:pPr>
        <w:pStyle w:val="ConsPlusNormal1"/>
        <w:ind w:firstLine="540" w:left="0" w:right="0"/>
        <w:jc w:val="both"/>
        <w:rPr>
          <w:sz w:val="18"/>
          <w:szCs w:val="18"/>
        </w:rPr>
      </w:pPr>
      <w:r>
        <w:rPr>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sz w:val="18"/>
          <w:szCs w:val="18"/>
        </w:rPr>
      </w:pPr>
      <w:r>
        <w:rPr>
          <w:sz w:val="18"/>
          <w:szCs w:val="18"/>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sz w:val="18"/>
          <w:szCs w:val="18"/>
        </w:rPr>
      </w:pPr>
      <w:r>
        <w:rPr>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sz w:val="18"/>
          <w:szCs w:val="18"/>
        </w:rPr>
        <w:t xml:space="preserve">В случае если по результатам экспертизы, указанной в </w:t>
      </w:r>
      <w:hyperlink w:anchor="P110">
        <w:r>
          <w:rPr>
            <w:rStyle w:val="Style6"/>
            <w:sz w:val="18"/>
            <w:szCs w:val="18"/>
          </w:rPr>
          <w:t xml:space="preserve">пункте 3.3 раздела </w:t>
        </w:r>
      </w:hyperlink>
      <w:r>
        <w:rPr>
          <w:sz w:val="18"/>
          <w:szCs w:val="18"/>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2" w:name="P211"/>
      <w:bookmarkEnd w:id="12"/>
      <w:r>
        <w:rPr>
          <w:sz w:val="18"/>
          <w:szCs w:val="18"/>
        </w:rPr>
        <w:t>7. ОТВЕТСТВЕННОСТЬ СТОРОН</w:t>
      </w:r>
    </w:p>
    <w:p>
      <w:pPr>
        <w:pStyle w:val="ConsPlusNormal1"/>
        <w:jc w:val="both"/>
        <w:rPr>
          <w:sz w:val="18"/>
          <w:szCs w:val="18"/>
        </w:rPr>
      </w:pPr>
      <w:r>
        <w:rPr>
          <w:sz w:val="18"/>
          <w:szCs w:val="18"/>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sz w:val="18"/>
          <w:szCs w:val="18"/>
        </w:rPr>
      </w:pPr>
      <w:r>
        <w:rPr>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sz w:val="18"/>
          <w:szCs w:val="18"/>
        </w:rPr>
      </w:pPr>
      <w:r>
        <w:rPr>
          <w:sz w:val="18"/>
          <w:szCs w:val="18"/>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sz w:val="18"/>
          <w:szCs w:val="18"/>
        </w:rPr>
      </w:pPr>
      <w:r>
        <w:rPr>
          <w:sz w:val="18"/>
          <w:szCs w:val="18"/>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sz w:val="18"/>
          <w:szCs w:val="18"/>
        </w:rPr>
      </w:pPr>
      <w:r>
        <w:rPr>
          <w:sz w:val="18"/>
          <w:szCs w:val="18"/>
        </w:rPr>
        <w:t>а) 1000 рублей, если цена контракта не превышает 3 млн. рублей (включительно);</w:t>
      </w:r>
    </w:p>
    <w:p>
      <w:pPr>
        <w:pStyle w:val="ConsPlusNormal1"/>
        <w:jc w:val="both"/>
        <w:rPr>
          <w:sz w:val="18"/>
          <w:szCs w:val="18"/>
        </w:rPr>
      </w:pPr>
      <w:r>
        <w:rPr>
          <w:sz w:val="18"/>
          <w:szCs w:val="18"/>
        </w:rPr>
        <w:t>б) 5000 рублей, если цена контракта составляет от 3 млн. рублей до 50 млн. рублей (включительно);</w:t>
      </w:r>
    </w:p>
    <w:p>
      <w:pPr>
        <w:pStyle w:val="ConsPlusNormal1"/>
        <w:jc w:val="both"/>
        <w:rPr>
          <w:sz w:val="18"/>
          <w:szCs w:val="18"/>
        </w:rPr>
      </w:pPr>
      <w:r>
        <w:rPr>
          <w:sz w:val="18"/>
          <w:szCs w:val="18"/>
        </w:rPr>
        <w:t>в) 10000 рублей, если цена контракта составляет от 50 млн. рублей до 100 млн. рублей (включительно);</w:t>
      </w:r>
    </w:p>
    <w:p>
      <w:pPr>
        <w:pStyle w:val="ConsPlusNormal1"/>
        <w:jc w:val="both"/>
        <w:rPr>
          <w:sz w:val="18"/>
          <w:szCs w:val="18"/>
        </w:rPr>
      </w:pPr>
      <w:r>
        <w:rPr>
          <w:sz w:val="18"/>
          <w:szCs w:val="18"/>
        </w:rPr>
        <w:t>г) 100000 рублей, если цена контракта превышает 100 млн. рублей.</w:t>
      </w:r>
    </w:p>
    <w:p>
      <w:pPr>
        <w:pStyle w:val="ConsPlusNormal1"/>
        <w:jc w:val="both"/>
        <w:rPr>
          <w:sz w:val="18"/>
          <w:szCs w:val="18"/>
        </w:rPr>
      </w:pPr>
      <w:r>
        <w:rPr>
          <w:sz w:val="18"/>
          <w:szCs w:val="18"/>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pPr>
      <w:r>
        <w:rPr>
          <w:sz w:val="18"/>
          <w:szCs w:val="18"/>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sz w:val="18"/>
          <w:szCs w:val="18"/>
        </w:rPr>
      </w:pPr>
      <w:r>
        <w:rPr>
          <w:sz w:val="18"/>
          <w:szCs w:val="18"/>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sz w:val="18"/>
          <w:szCs w:val="18"/>
        </w:rPr>
      </w:pPr>
      <w:r>
        <w:rPr>
          <w:sz w:val="18"/>
          <w:szCs w:val="18"/>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sz w:val="18"/>
          <w:szCs w:val="18"/>
        </w:rPr>
      </w:pPr>
      <w:r>
        <w:rPr>
          <w:sz w:val="18"/>
          <w:szCs w:val="18"/>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sz w:val="18"/>
          <w:szCs w:val="18"/>
        </w:rPr>
      </w:pPr>
      <w:r>
        <w:rPr>
          <w:sz w:val="18"/>
          <w:szCs w:val="18"/>
        </w:rPr>
        <w:t>а) в случае, если цена контракта не превышает начальную (максимальную) цену контракта:</w:t>
      </w:r>
    </w:p>
    <w:p>
      <w:pPr>
        <w:pStyle w:val="ConsPlusNormal1"/>
        <w:jc w:val="both"/>
        <w:rPr>
          <w:sz w:val="18"/>
          <w:szCs w:val="18"/>
        </w:rPr>
      </w:pPr>
      <w:r>
        <w:rPr>
          <w:sz w:val="18"/>
          <w:szCs w:val="18"/>
        </w:rPr>
        <w:t>10 процентов начальной (максимальной) цены контракта, если цена контракта не превышает 3 млн. рублей;</w:t>
      </w:r>
    </w:p>
    <w:p>
      <w:pPr>
        <w:pStyle w:val="ConsPlusNormal1"/>
        <w:jc w:val="both"/>
        <w:rPr>
          <w:sz w:val="18"/>
          <w:szCs w:val="18"/>
        </w:rPr>
      </w:pPr>
      <w:r>
        <w:rPr>
          <w:sz w:val="18"/>
          <w:szCs w:val="18"/>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sz w:val="18"/>
          <w:szCs w:val="18"/>
        </w:rPr>
      </w:pPr>
      <w:r>
        <w:rPr>
          <w:sz w:val="18"/>
          <w:szCs w:val="18"/>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sz w:val="18"/>
          <w:szCs w:val="18"/>
        </w:rPr>
      </w:pPr>
      <w:r>
        <w:rPr>
          <w:sz w:val="18"/>
          <w:szCs w:val="18"/>
        </w:rPr>
        <w:t>б) в случае, если цена контракта превышает начальную (максимальную) цену контракта:</w:t>
      </w:r>
    </w:p>
    <w:p>
      <w:pPr>
        <w:pStyle w:val="ConsPlusNormal1"/>
        <w:jc w:val="both"/>
        <w:rPr>
          <w:sz w:val="18"/>
          <w:szCs w:val="18"/>
        </w:rPr>
      </w:pPr>
      <w:r>
        <w:rPr>
          <w:sz w:val="18"/>
          <w:szCs w:val="18"/>
        </w:rPr>
        <w:t>10 процентов цены контракта, если цена контракта не превышает 3 млн. рублей;</w:t>
      </w:r>
    </w:p>
    <w:p>
      <w:pPr>
        <w:pStyle w:val="ConsPlusNormal1"/>
        <w:jc w:val="both"/>
        <w:rPr>
          <w:sz w:val="18"/>
          <w:szCs w:val="18"/>
        </w:rPr>
      </w:pPr>
      <w:r>
        <w:rPr>
          <w:sz w:val="18"/>
          <w:szCs w:val="18"/>
        </w:rPr>
        <w:t>5 процентов цены контракта, если цена контракта составляет от 3 млн. рублей до 50 млн. рублей (включительно);</w:t>
      </w:r>
    </w:p>
    <w:p>
      <w:pPr>
        <w:pStyle w:val="ConsPlusNormal1"/>
        <w:jc w:val="both"/>
        <w:rPr>
          <w:sz w:val="18"/>
          <w:szCs w:val="18"/>
        </w:rPr>
      </w:pPr>
      <w:r>
        <w:rPr>
          <w:sz w:val="18"/>
          <w:szCs w:val="18"/>
        </w:rPr>
        <w:t>1 процент цены контракта, если цена контракта составляет от 50 млн. рублей до 100 млн. рублей (включительно).</w:t>
      </w:r>
    </w:p>
    <w:p>
      <w:pPr>
        <w:pStyle w:val="ConsPlusNormal1"/>
        <w:jc w:val="both"/>
        <w:rPr/>
      </w:pPr>
      <w:r>
        <w:rPr>
          <w:sz w:val="18"/>
          <w:szCs w:val="18"/>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i/>
          <w:sz w:val="18"/>
          <w:szCs w:val="18"/>
        </w:rPr>
        <w:t>(при наличии в контракте таких обязательств)</w:t>
      </w:r>
      <w:r>
        <w:rPr>
          <w:sz w:val="18"/>
          <w:szCs w:val="18"/>
        </w:rPr>
        <w:t xml:space="preserve"> в следующем порядке:</w:t>
      </w:r>
    </w:p>
    <w:p>
      <w:pPr>
        <w:pStyle w:val="ConsPlusNormal1"/>
        <w:jc w:val="both"/>
        <w:rPr>
          <w:sz w:val="18"/>
          <w:szCs w:val="18"/>
        </w:rPr>
      </w:pPr>
      <w:r>
        <w:rPr>
          <w:sz w:val="18"/>
          <w:szCs w:val="18"/>
        </w:rPr>
        <w:t>а) 1000 рублей, если цена контракта не превышает 3 млн. рублей;</w:t>
      </w:r>
    </w:p>
    <w:p>
      <w:pPr>
        <w:pStyle w:val="ConsPlusNormal1"/>
        <w:jc w:val="both"/>
        <w:rPr>
          <w:sz w:val="18"/>
          <w:szCs w:val="18"/>
        </w:rPr>
      </w:pPr>
      <w:r>
        <w:rPr>
          <w:sz w:val="18"/>
          <w:szCs w:val="18"/>
        </w:rPr>
        <w:t>б) 5000 рублей, если цена контракта составляет от 3 млн. рублей до 50 млн. рублей (включительно);</w:t>
      </w:r>
    </w:p>
    <w:p>
      <w:pPr>
        <w:pStyle w:val="ConsPlusNormal1"/>
        <w:jc w:val="both"/>
        <w:rPr>
          <w:sz w:val="18"/>
          <w:szCs w:val="18"/>
        </w:rPr>
      </w:pPr>
      <w:r>
        <w:rPr>
          <w:sz w:val="18"/>
          <w:szCs w:val="18"/>
        </w:rPr>
        <w:t>в) 10000 рублей, если цена контракта составляет от 50 млн. рублей до 100 млн. рублей (включительно);</w:t>
      </w:r>
    </w:p>
    <w:p>
      <w:pPr>
        <w:pStyle w:val="ConsPlusNormal1"/>
        <w:jc w:val="both"/>
        <w:rPr>
          <w:sz w:val="18"/>
          <w:szCs w:val="18"/>
        </w:rPr>
      </w:pPr>
      <w:r>
        <w:rPr>
          <w:sz w:val="18"/>
          <w:szCs w:val="18"/>
        </w:rPr>
        <w:t>г) 100000 рублей, если цена контракта превышает 100 млн. рублей.</w:t>
      </w:r>
    </w:p>
    <w:p>
      <w:pPr>
        <w:pStyle w:val="ConsPlusNormal1"/>
        <w:jc w:val="both"/>
        <w:rPr>
          <w:sz w:val="18"/>
          <w:szCs w:val="18"/>
        </w:rPr>
      </w:pPr>
      <w:r>
        <w:rPr>
          <w:sz w:val="18"/>
          <w:szCs w:val="18"/>
        </w:rPr>
        <w:t>7.4. Применение неустойки (штрафа, пени) не освобождает Стороны от исполнения обязательств по настоящему Контракту.</w:t>
      </w:r>
    </w:p>
    <w:p>
      <w:pPr>
        <w:pStyle w:val="ConsPlusNormal1"/>
        <w:jc w:val="both"/>
        <w:rPr>
          <w:sz w:val="18"/>
          <w:szCs w:val="18"/>
        </w:rPr>
      </w:pPr>
      <w:r>
        <w:rPr>
          <w:sz w:val="18"/>
          <w:szCs w:val="18"/>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sz w:val="18"/>
          <w:szCs w:val="18"/>
        </w:rPr>
      </w:pPr>
      <w:r>
        <w:rPr>
          <w:sz w:val="18"/>
          <w:szCs w:val="18"/>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sz w:val="18"/>
          <w:szCs w:val="18"/>
        </w:rPr>
      </w:pPr>
      <w:r>
        <w:rPr>
          <w:sz w:val="18"/>
          <w:szCs w:val="18"/>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3" w:name="P231"/>
      <w:bookmarkEnd w:id="13"/>
      <w:r>
        <w:rPr>
          <w:sz w:val="18"/>
          <w:szCs w:val="18"/>
        </w:rPr>
        <w:t>8. ОБЕСПЕЧЕНИЕ ИСПОЛНЕНИЯ КО</w:t>
      </w:r>
      <w:r>
        <w:rPr>
          <w:bCs/>
          <w:sz w:val="18"/>
          <w:szCs w:val="18"/>
          <w:lang w:val="ru-RU"/>
        </w:rPr>
        <w:t xml:space="preserve">НТРАКТА </w:t>
      </w:r>
    </w:p>
    <w:p>
      <w:pPr>
        <w:pStyle w:val="ConsPlusNormal1"/>
        <w:ind w:firstLine="540" w:left="0" w:right="0"/>
        <w:jc w:val="both"/>
        <w:rPr>
          <w:sz w:val="18"/>
          <w:szCs w:val="18"/>
        </w:rPr>
      </w:pPr>
      <w:r>
        <w:rPr>
          <w:sz w:val="18"/>
          <w:szCs w:val="18"/>
        </w:rPr>
        <w:t>8.1. Обеспечение исполнения настоящего Контракта не требуется .</w:t>
      </w:r>
    </w:p>
    <w:p>
      <w:pPr>
        <w:pStyle w:val="ListParagraph"/>
        <w:widowControl w:val="false"/>
        <w:spacing w:before="0" w:after="0"/>
        <w:ind w:hanging="0" w:left="0" w:right="0"/>
        <w:contextualSpacing/>
        <w:jc w:val="center"/>
        <w:rPr>
          <w:rFonts w:ascii="Times New Roman" w:hAnsi="Times New Roman"/>
          <w:bCs/>
          <w:sz w:val="18"/>
          <w:szCs w:val="18"/>
          <w:lang w:val="ru-RU"/>
        </w:rPr>
      </w:pPr>
      <w:r>
        <w:rPr>
          <w:rFonts w:ascii="Times New Roman" w:hAnsi="Times New Roman"/>
          <w:bCs/>
          <w:sz w:val="18"/>
          <w:szCs w:val="18"/>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 результаты такой приемки;</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 заключение дополнительных соглашений;</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Times New Roman" w:hAnsi="Times New Roman"/>
          <w:sz w:val="18"/>
          <w:szCs w:val="18"/>
          <w:lang w:val="ru-RU"/>
        </w:rPr>
      </w:pPr>
      <w:r>
        <w:rPr>
          <w:rFonts w:ascii="Times New Roman" w:hAnsi="Times New Roman"/>
          <w:sz w:val="18"/>
          <w:szCs w:val="18"/>
          <w:lang w:val="ru-RU"/>
        </w:rPr>
      </w:r>
    </w:p>
    <w:p>
      <w:pPr>
        <w:pStyle w:val="ConsPlusNormal1"/>
        <w:numPr>
          <w:ilvl w:val="0"/>
          <w:numId w:val="0"/>
        </w:numPr>
        <w:ind w:hanging="0" w:left="0"/>
        <w:jc w:val="center"/>
        <w:outlineLvl w:val="1"/>
        <w:rPr>
          <w:sz w:val="18"/>
          <w:szCs w:val="18"/>
        </w:rPr>
      </w:pPr>
      <w:r>
        <w:rPr>
          <w:sz w:val="18"/>
          <w:szCs w:val="18"/>
        </w:rPr>
        <w:t>10. ОБСТОЯТЕЛЬСТВА НЕПРЕОДОЛИМОЙ СИЛЫ</w:t>
      </w:r>
    </w:p>
    <w:p>
      <w:pPr>
        <w:pStyle w:val="ConsPlusNormal1"/>
        <w:ind w:firstLine="540" w:left="0" w:right="0"/>
        <w:jc w:val="both"/>
        <w:rPr>
          <w:sz w:val="18"/>
          <w:szCs w:val="18"/>
        </w:rPr>
      </w:pPr>
      <w:r>
        <w:rPr>
          <w:sz w:val="18"/>
          <w:szCs w:val="18"/>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sz w:val="18"/>
          <w:szCs w:val="18"/>
        </w:rPr>
      </w:pPr>
      <w:bookmarkStart w:id="14" w:name="P254"/>
      <w:bookmarkEnd w:id="14"/>
      <w:r>
        <w:rPr>
          <w:sz w:val="18"/>
          <w:szCs w:val="18"/>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sz w:val="18"/>
          <w:szCs w:val="18"/>
        </w:rPr>
      </w:pPr>
      <w:bookmarkStart w:id="15" w:name="P255"/>
      <w:bookmarkEnd w:id="15"/>
      <w:r>
        <w:rPr>
          <w:sz w:val="18"/>
          <w:szCs w:val="18"/>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sz w:val="18"/>
          <w:szCs w:val="18"/>
        </w:rPr>
        <w:t xml:space="preserve">10.4. Если одна из Сторон не направит или несвоевременно направит документы, указанные в </w:t>
      </w:r>
      <w:hyperlink w:anchor="P254">
        <w:r>
          <w:rPr>
            <w:rStyle w:val="Style6"/>
            <w:sz w:val="18"/>
            <w:szCs w:val="18"/>
          </w:rPr>
          <w:t>пунктах 10.2</w:t>
        </w:r>
      </w:hyperlink>
      <w:r>
        <w:rPr>
          <w:sz w:val="18"/>
          <w:szCs w:val="18"/>
        </w:rPr>
        <w:t xml:space="preserve"> - </w:t>
      </w:r>
      <w:hyperlink w:anchor="P255">
        <w:r>
          <w:rPr>
            <w:rStyle w:val="Style6"/>
            <w:sz w:val="18"/>
            <w:szCs w:val="18"/>
          </w:rPr>
          <w:t>10.3</w:t>
        </w:r>
      </w:hyperlink>
      <w:r>
        <w:rPr>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sz w:val="18"/>
          <w:szCs w:val="18"/>
        </w:rPr>
      </w:pPr>
      <w:r>
        <w:rPr>
          <w:sz w:val="18"/>
          <w:szCs w:val="18"/>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11. РАССМОТРЕНИЕ И РАЗРЕШЕНИЕ СПОРОВ</w:t>
      </w:r>
    </w:p>
    <w:p>
      <w:pPr>
        <w:pStyle w:val="Normal"/>
        <w:widowControl w:val="false"/>
        <w:spacing w:lineRule="auto" w:line="240" w:before="0" w:after="0"/>
        <w:ind w:firstLine="540" w:left="0" w:right="0"/>
        <w:jc w:val="both"/>
        <w:rPr>
          <w:rFonts w:ascii="Times New Roman" w:hAnsi="Times New Roman"/>
          <w:sz w:val="18"/>
          <w:szCs w:val="18"/>
        </w:rPr>
      </w:pPr>
      <w:r>
        <w:rPr>
          <w:rFonts w:ascii="Times New Roman" w:hAnsi="Times New Roman"/>
          <w:sz w:val="18"/>
          <w:szCs w:val="18"/>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pPr>
      <w:r>
        <w:rPr>
          <w:rFonts w:ascii="Times New Roman" w:hAnsi="Times New Roman"/>
          <w:color w:val="2C2D2E"/>
          <w:sz w:val="18"/>
          <w:szCs w:val="18"/>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Times New Roman" w:hAnsi="Times New Roman"/>
          <w:sz w:val="18"/>
          <w:szCs w:val="18"/>
        </w:rPr>
        <w:br/>
      </w:r>
      <w:r>
        <w:rPr>
          <w:rFonts w:ascii="Times New Roman" w:hAnsi="Times New Roman"/>
          <w:color w:val="2C2D2E"/>
          <w:sz w:val="18"/>
          <w:szCs w:val="18"/>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Times New Roman" w:hAnsi="Times New Roman"/>
          <w:sz w:val="18"/>
          <w:szCs w:val="18"/>
        </w:rPr>
        <w:br/>
        <w:t xml:space="preserve">            11.3</w:t>
      </w:r>
      <w:r>
        <w:rPr>
          <w:rFonts w:ascii="Times New Roman" w:hAnsi="Times New Roman"/>
          <w:color w:val="2C2D2E"/>
          <w:sz w:val="18"/>
          <w:szCs w:val="18"/>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Times New Roman" w:hAnsi="Times New Roman"/>
          <w:sz w:val="18"/>
          <w:szCs w:val="18"/>
        </w:rPr>
      </w:pPr>
      <w:r>
        <w:rPr>
          <w:rFonts w:ascii="Times New Roman" w:hAnsi="Times New Roman"/>
          <w:sz w:val="18"/>
          <w:szCs w:val="18"/>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12. СРОК ДЕЙСТВИЯ И ПОРЯДОК ИЗМЕНЕНИЯ,</w:t>
      </w:r>
    </w:p>
    <w:p>
      <w:pPr>
        <w:pStyle w:val="ConsPlusNormal1"/>
        <w:jc w:val="center"/>
        <w:rPr>
          <w:sz w:val="18"/>
          <w:szCs w:val="18"/>
        </w:rPr>
      </w:pPr>
      <w:r>
        <w:rPr>
          <w:sz w:val="18"/>
          <w:szCs w:val="18"/>
        </w:rPr>
        <w:t>РАСТОРЖЕНИЯ КОНТРАКТА</w:t>
      </w:r>
    </w:p>
    <w:p>
      <w:pPr>
        <w:pStyle w:val="ConsPlusNormal1"/>
        <w:ind w:firstLine="540" w:left="0" w:right="0"/>
        <w:jc w:val="both"/>
        <w:rPr/>
      </w:pPr>
      <w:bookmarkStart w:id="16" w:name="P275"/>
      <w:bookmarkEnd w:id="16"/>
      <w:r>
        <w:rPr>
          <w:sz w:val="18"/>
          <w:szCs w:val="18"/>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sz w:val="18"/>
          <w:szCs w:val="18"/>
        </w:rPr>
      </w:pPr>
      <w:r>
        <w:rPr>
          <w:sz w:val="18"/>
          <w:szCs w:val="18"/>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sz w:val="18"/>
          <w:szCs w:val="18"/>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sz w:val="18"/>
            <w:szCs w:val="18"/>
          </w:rPr>
          <w:t>Законом</w:t>
        </w:r>
      </w:hyperlink>
      <w:r>
        <w:rPr>
          <w:sz w:val="18"/>
          <w:szCs w:val="18"/>
        </w:rPr>
        <w:t xml:space="preserve"> N 44-ФЗ порядке в реестр недобросовестных поставщиков (подрядчиков, исполнителей).</w:t>
      </w:r>
    </w:p>
    <w:p>
      <w:pPr>
        <w:pStyle w:val="ConsPlusNormal1"/>
        <w:ind w:firstLine="540" w:left="0" w:right="0"/>
        <w:jc w:val="both"/>
        <w:rPr>
          <w:sz w:val="18"/>
          <w:szCs w:val="18"/>
        </w:rPr>
      </w:pPr>
      <w:r>
        <w:rPr>
          <w:sz w:val="18"/>
          <w:szCs w:val="18"/>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sz w:val="18"/>
          <w:szCs w:val="18"/>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sz w:val="18"/>
            <w:szCs w:val="18"/>
          </w:rPr>
          <w:t>статьей 95</w:t>
        </w:r>
      </w:hyperlink>
      <w:r>
        <w:rPr>
          <w:sz w:val="18"/>
          <w:szCs w:val="18"/>
        </w:rPr>
        <w:t xml:space="preserve"> Закона N 44-ФЗ.</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 xml:space="preserve">13. ПРОЧИЕ ПОЛОЖЕНИЯ </w:t>
      </w:r>
    </w:p>
    <w:p>
      <w:pPr>
        <w:pStyle w:val="ConsPlusNormal1"/>
        <w:ind w:firstLine="540" w:left="0" w:right="0"/>
        <w:jc w:val="both"/>
        <w:rPr>
          <w:sz w:val="18"/>
          <w:szCs w:val="18"/>
        </w:rPr>
      </w:pPr>
      <w:r>
        <w:rPr>
          <w:sz w:val="18"/>
          <w:szCs w:val="18"/>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sz w:val="18"/>
          <w:szCs w:val="18"/>
        </w:rPr>
      </w:pPr>
      <w:r>
        <w:rPr>
          <w:sz w:val="18"/>
          <w:szCs w:val="18"/>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sz w:val="18"/>
          <w:szCs w:val="18"/>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sz w:val="18"/>
            <w:szCs w:val="18"/>
          </w:rPr>
          <w:t xml:space="preserve">разделе </w:t>
        </w:r>
      </w:hyperlink>
      <w:r>
        <w:rPr>
          <w:sz w:val="18"/>
          <w:szCs w:val="18"/>
        </w:rPr>
        <w:t xml:space="preserve">15 настоящего Контракта, либо с использованием электронной почты на электронные адреса, указанные в </w:t>
      </w:r>
      <w:hyperlink w:anchor="P306">
        <w:r>
          <w:rPr>
            <w:rStyle w:val="Style6"/>
            <w:sz w:val="18"/>
            <w:szCs w:val="18"/>
          </w:rPr>
          <w:t xml:space="preserve">разделе </w:t>
        </w:r>
      </w:hyperlink>
      <w:r>
        <w:rPr>
          <w:sz w:val="18"/>
          <w:szCs w:val="18"/>
        </w:rPr>
        <w:t>15 настоящего Контракта, либо с использованием факсимильной связи.</w:t>
      </w:r>
    </w:p>
    <w:p>
      <w:pPr>
        <w:pStyle w:val="ConsPlusNormal1"/>
        <w:ind w:firstLine="540" w:left="0" w:right="0"/>
        <w:jc w:val="both"/>
        <w:rPr/>
      </w:pPr>
      <w:r>
        <w:rPr>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sz w:val="18"/>
            <w:szCs w:val="18"/>
          </w:rPr>
          <w:t xml:space="preserve">разделе </w:t>
        </w:r>
      </w:hyperlink>
      <w:r>
        <w:rPr>
          <w:sz w:val="18"/>
          <w:szCs w:val="18"/>
        </w:rPr>
        <w:t>15 настоящего Контракта, считается надлежащим уведомлением Сторон.</w:t>
      </w:r>
    </w:p>
    <w:p>
      <w:pPr>
        <w:pStyle w:val="ConsPlusNormal1"/>
        <w:ind w:firstLine="540" w:left="0" w:right="0"/>
        <w:jc w:val="both"/>
        <w:rPr>
          <w:sz w:val="18"/>
          <w:szCs w:val="18"/>
        </w:rPr>
      </w:pPr>
      <w:r>
        <w:rPr>
          <w:sz w:val="18"/>
          <w:szCs w:val="18"/>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sz w:val="18"/>
          <w:szCs w:val="18"/>
        </w:rPr>
      </w:pPr>
      <w:r>
        <w:rPr>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sz w:val="18"/>
          <w:szCs w:val="18"/>
        </w:rPr>
      </w:pPr>
      <w:r>
        <w:rPr>
          <w:sz w:val="18"/>
          <w:szCs w:val="18"/>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sz w:val="18"/>
          <w:szCs w:val="18"/>
        </w:rPr>
      </w:pPr>
      <w:r>
        <w:rPr>
          <w:sz w:val="18"/>
          <w:szCs w:val="18"/>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t xml:space="preserve">14. ПЕРЕЧЕНЬ ПРИЛОЖЕНИЙ </w:t>
      </w:r>
    </w:p>
    <w:p>
      <w:pPr>
        <w:pStyle w:val="ConsPlusNormal1"/>
        <w:ind w:firstLine="540" w:left="0" w:right="0"/>
        <w:jc w:val="both"/>
        <w:rPr>
          <w:sz w:val="18"/>
          <w:szCs w:val="18"/>
        </w:rPr>
      </w:pPr>
      <w:r>
        <w:rPr>
          <w:sz w:val="18"/>
          <w:szCs w:val="18"/>
        </w:rPr>
        <w:t>Неотъемлемой частью настоящего Контракта является следующее:</w:t>
      </w:r>
    </w:p>
    <w:p>
      <w:pPr>
        <w:pStyle w:val="ConsPlusNormal1"/>
        <w:ind w:firstLine="540" w:left="0" w:right="0"/>
        <w:jc w:val="both"/>
        <w:rPr/>
      </w:pPr>
      <w:hyperlink w:anchor="P326">
        <w:r>
          <w:rPr>
            <w:rStyle w:val="Style6"/>
            <w:sz w:val="18"/>
            <w:szCs w:val="18"/>
          </w:rPr>
          <w:t>Приложение N 1</w:t>
        </w:r>
      </w:hyperlink>
      <w:r>
        <w:rPr>
          <w:sz w:val="18"/>
          <w:szCs w:val="18"/>
        </w:rPr>
        <w:t xml:space="preserve"> - Спецификация</w:t>
      </w:r>
    </w:p>
    <w:p>
      <w:pPr>
        <w:pStyle w:val="ConsPlusNormal1"/>
        <w:ind w:firstLine="540" w:left="0" w:right="0"/>
        <w:jc w:val="both"/>
        <w:rPr/>
      </w:pPr>
      <w:hyperlink w:anchor="P389">
        <w:r>
          <w:rPr>
            <w:rStyle w:val="Style6"/>
            <w:sz w:val="18"/>
            <w:szCs w:val="18"/>
          </w:rPr>
          <w:t>Приложение N 2</w:t>
        </w:r>
      </w:hyperlink>
      <w:r>
        <w:rPr>
          <w:sz w:val="18"/>
          <w:szCs w:val="18"/>
        </w:rPr>
        <w:t xml:space="preserve"> - Техническое задание</w:t>
      </w:r>
    </w:p>
    <w:p>
      <w:pPr>
        <w:pStyle w:val="ConsPlusNormal1"/>
        <w:ind w:firstLine="540" w:left="0" w:right="0"/>
        <w:jc w:val="both"/>
        <w:rPr/>
      </w:pPr>
      <w:hyperlink w:anchor="P399">
        <w:r>
          <w:rPr>
            <w:rStyle w:val="Style6"/>
            <w:sz w:val="18"/>
            <w:szCs w:val="18"/>
          </w:rPr>
          <w:t>Приложение N 3</w:t>
        </w:r>
      </w:hyperlink>
      <w:r>
        <w:rPr>
          <w:sz w:val="18"/>
          <w:szCs w:val="18"/>
        </w:rPr>
        <w:t xml:space="preserve"> - Форма заявки на поставку Товара</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08" w:type="dxa"/>
        <w:jc w:val="left"/>
        <w:tblInd w:w="0" w:type="dxa"/>
        <w:tblLayout w:type="fixed"/>
        <w:tblCellMar>
          <w:top w:w="102" w:type="dxa"/>
          <w:left w:w="62" w:type="dxa"/>
          <w:bottom w:w="102" w:type="dxa"/>
          <w:right w:w="62" w:type="dxa"/>
        </w:tblCellMar>
      </w:tblPr>
      <w:tblGrid>
        <w:gridCol w:w="5275"/>
        <w:gridCol w:w="4933"/>
      </w:tblGrid>
      <w:tr>
        <w:trPr>
          <w:trHeight w:val="3026" w:hRule="atLeast"/>
        </w:trPr>
        <w:tc>
          <w:tcPr>
            <w:tcW w:w="5275" w:type="dxa"/>
            <w:tcBorders/>
          </w:tcPr>
          <w:p>
            <w:pPr>
              <w:pStyle w:val="ConsPlusNormal1"/>
              <w:widowControl w:val="false"/>
              <w:ind w:hanging="0" w:left="567" w:right="0"/>
              <w:jc w:val="center"/>
              <w:rPr>
                <w:sz w:val="18"/>
                <w:szCs w:val="18"/>
              </w:rPr>
            </w:pPr>
            <w:r>
              <w:rPr>
                <w:sz w:val="18"/>
                <w:szCs w:val="18"/>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sz w:val="18"/>
                <w:szCs w:val="18"/>
              </w:rPr>
            </w:r>
          </w:p>
          <w:p>
            <w:pPr>
              <w:pStyle w:val="Normal"/>
              <w:widowControl w:val="false"/>
              <w:suppressAutoHyphens w:val="true"/>
              <w:spacing w:lineRule="auto" w:line="240" w:before="0" w:after="0"/>
              <w:ind w:hanging="0" w:right="-1"/>
              <w:jc w:val="both"/>
              <w:rPr>
                <w:rFonts w:ascii="Times New Roman" w:hAnsi="Times New Roman"/>
                <w:sz w:val="18"/>
                <w:szCs w:val="18"/>
              </w:rPr>
            </w:pPr>
            <w:r>
              <w:rPr>
                <w:rFonts w:eastAsia="Times New Roman" w:cs="Times New Roman" w:ascii="Times New Roman" w:hAnsi="Times New Roman"/>
                <w:b/>
                <w:bCs/>
                <w:caps w:val="false"/>
                <w:smallCaps w:val="false"/>
                <w:kern w:val="2"/>
                <w:sz w:val="18"/>
                <w:szCs w:val="18"/>
                <w:lang w:val="ru-RU" w:eastAsia="ru-RU"/>
              </w:rPr>
              <w:t>Муниципальное дошкольное образовательное учреждение Цильнинский   детский сад  «Терем – Теремок»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р.п. Цильна , улица Олега Кошевого, дом 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7322001107/КПП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03234643736540006800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Times New Roman" w:ascii="PT Astra Serif" w:hAnsi="PT Astra Serif"/>
                <w:b w:val="false"/>
                <w:bCs w:val="false"/>
                <w:caps w:val="false"/>
                <w:smallCaps w:val="false"/>
                <w:sz w:val="18"/>
                <w:szCs w:val="18"/>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 20226000015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25335598 ОГРН 1027301059532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6">
              <w:r>
                <w:rPr>
                  <w:rStyle w:val="Style6"/>
                  <w:rFonts w:ascii="Times New Roman" w:hAnsi="Times New Roman"/>
                  <w:b w:val="false"/>
                  <w:caps w:val="false"/>
                  <w:smallCaps w:val="false"/>
                  <w:sz w:val="18"/>
                  <w:szCs w:val="18"/>
                  <w:lang w:val="zxx"/>
                </w:rPr>
                <w:t>DOU-Terem-Teremok@mail.ru</w:t>
              </w:r>
            </w:hyperlink>
            <w:r>
              <w:rPr>
                <w:rFonts w:ascii="Times New Roman" w:hAnsi="Times New Roman"/>
                <w:b w:val="false"/>
                <w:caps w:val="false"/>
                <w:smallCaps w:val="false"/>
                <w:sz w:val="18"/>
                <w:szCs w:val="18"/>
                <w:lang w:val="zxx"/>
              </w:rPr>
              <w:t xml:space="preserve"> </w:t>
            </w:r>
            <w:r>
              <w:rPr>
                <w:rFonts w:eastAsia="Times New Roman" w:cs="Times New Roman" w:ascii="Times New Roman" w:hAnsi="Times New Roman"/>
                <w:b w:val="false"/>
                <w:bCs/>
                <w:caps w:val="false"/>
                <w:smallCaps w:val="false"/>
                <w:kern w:val="2"/>
                <w:sz w:val="18"/>
                <w:szCs w:val="18"/>
                <w:lang w:val="zxx" w:eastAsia="ru-RU"/>
              </w:rPr>
              <w:t>тел.88424531110</w:t>
            </w:r>
            <w:r>
              <w:rPr>
                <w:rFonts w:eastAsia="Times New Roman" w:cs="Times New Roman" w:ascii="Times New Roman" w:hAnsi="Times New Roman"/>
                <w:b w:val="false"/>
                <w:bCs/>
                <w:caps w:val="false"/>
                <w:smallCaps w:val="false"/>
                <w:kern w:val="2"/>
                <w:sz w:val="18"/>
                <w:szCs w:val="18"/>
                <w:lang w:val="ru-RU" w:eastAsia="ru-RU"/>
              </w:rPr>
              <w:t xml:space="preserve">; </w:t>
            </w:r>
            <w:r>
              <w:rPr>
                <w:rFonts w:eastAsia="Times New Roman" w:cs="Times New Roman" w:ascii="Times New Roman" w:hAnsi="Times New Roman"/>
                <w:b w:val="false"/>
                <w:bCs/>
                <w:caps w:val="false"/>
                <w:smallCaps w:val="false"/>
                <w:kern w:val="2"/>
                <w:sz w:val="18"/>
                <w:szCs w:val="18"/>
                <w:lang w:val="zxx" w:eastAsia="ru-RU"/>
              </w:rPr>
              <w:t>89278200567</w:t>
            </w:r>
          </w:p>
          <w:p>
            <w:pPr>
              <w:pStyle w:val="ConsPlusNonformat"/>
              <w:widowControl w:val="false"/>
              <w:shd w:val="clear" w:fill="FFFFFF"/>
              <w:spacing w:lineRule="auto" w:line="240"/>
              <w:rPr>
                <w:rFonts w:ascii="Times New Roman" w:hAnsi="Times New Roman"/>
                <w:sz w:val="18"/>
                <w:szCs w:val="18"/>
              </w:rPr>
            </w:pPr>
            <w:r>
              <w:rPr>
                <w:rFonts w:cs="Times New Roman" w:ascii="Times New Roman" w:hAnsi="Times New Roman"/>
                <w:kern w:val="2"/>
                <w:sz w:val="18"/>
                <w:szCs w:val="18"/>
                <w:shd w:fill="FFFFFF" w:val="clear"/>
              </w:rPr>
              <w:t xml:space="preserve">Заведующий   </w:t>
            </w:r>
          </w:p>
          <w:p>
            <w:pPr>
              <w:pStyle w:val="ConsPlusNonformat"/>
              <w:widowControl w:val="false"/>
              <w:shd w:val="clear" w:fill="FFFFFF"/>
              <w:overflowPunct w:val="true"/>
              <w:snapToGrid w:val="false"/>
              <w:spacing w:lineRule="auto" w:line="240" w:before="0" w:after="200"/>
              <w:ind w:hanging="0" w:right="145"/>
              <w:jc w:val="both"/>
              <w:textAlignment w:val="baseline"/>
              <w:rPr>
                <w:rFonts w:ascii="Times New Roman" w:hAnsi="Times New Roman"/>
                <w:sz w:val="18"/>
                <w:szCs w:val="18"/>
              </w:rPr>
            </w:pP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zxx" w:eastAsia="ru-RU" w:bidi="ar-SA"/>
              </w:rPr>
              <w:t xml:space="preserve">_____________________/ </w:t>
            </w: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ru-RU" w:eastAsia="ru-RU" w:bidi="ar-SA"/>
              </w:rPr>
              <w:t>Н.И.Курочкина</w:t>
            </w:r>
          </w:p>
        </w:tc>
        <w:tc>
          <w:tcPr>
            <w:tcW w:w="4933" w:type="dxa"/>
            <w:tcBorders/>
          </w:tcPr>
          <w:p>
            <w:pPr>
              <w:pStyle w:val="ConsPlusNormal1"/>
              <w:widowControl w:val="false"/>
              <w:jc w:val="center"/>
              <w:rPr>
                <w:sz w:val="18"/>
                <w:szCs w:val="18"/>
              </w:rPr>
            </w:pPr>
            <w:r>
              <w:rPr>
                <w:sz w:val="18"/>
                <w:szCs w:val="18"/>
              </w:rPr>
              <w:t>Поставщик:</w:t>
            </w:r>
          </w:p>
          <w:p>
            <w:pPr>
              <w:pStyle w:val="Normal"/>
              <w:widowControl w:val="false"/>
              <w:suppressAutoHyphens w:val="true"/>
              <w:jc w:val="left"/>
              <w:rPr>
                <w:sz w:val="18"/>
                <w:szCs w:val="18"/>
              </w:rPr>
            </w:pPr>
            <w:r>
              <w:rPr>
                <w:sz w:val="18"/>
                <w:szCs w:val="18"/>
              </w:rPr>
            </w:r>
          </w:p>
          <w:p>
            <w:pPr>
              <w:pStyle w:val="Normal"/>
              <w:widowControl w:val="false"/>
              <w:jc w:val="left"/>
              <w:rPr>
                <w:rFonts w:ascii="Times New Roman" w:hAnsi="Times New Roman"/>
                <w:b/>
                <w:bCs/>
                <w:sz w:val="20"/>
                <w:szCs w:val="20"/>
              </w:rPr>
            </w:pPr>
            <w:r>
              <w:rPr>
                <w:rFonts w:ascii="Times New Roman" w:hAnsi="Times New Roman"/>
                <w:b/>
                <w:bCs/>
                <w:sz w:val="20"/>
                <w:szCs w:val="20"/>
              </w:rPr>
            </w:r>
          </w:p>
          <w:p>
            <w:pPr>
              <w:pStyle w:val="Normal"/>
              <w:widowControl w:val="false"/>
              <w:pBdr>
                <w:bottom w:val="single" w:sz="6" w:space="1" w:color="000001"/>
              </w:pBdr>
              <w:shd w:val="clear" w:color="auto" w:themeTint="0" w:themeShade="0" w:fill="auto" w:themeFillTint="0" w:themeFillShade="0"/>
              <w:suppressAutoHyphens w:val="true"/>
              <w:spacing w:lineRule="auto" w:line="240" w:before="120" w:after="120"/>
              <w:ind w:hanging="0" w:right="-59"/>
              <w:jc w:val="left"/>
              <w:rPr>
                <w:rFonts w:ascii="Times New Roman" w:hAnsi="Times New Roman" w:eastAsia="Times New Roman" w:cs="Times New Roman CYR"/>
                <w:b w:val="false"/>
                <w:bCs w:val="false"/>
                <w:color w:val="000000"/>
                <w:sz w:val="18"/>
                <w:szCs w:val="18"/>
                <w:shd w:fill="FFFFFF" w:val="clear"/>
                <w:lang w:val="en-US" w:eastAsia="ru-RU" w:bidi="ar-SA"/>
              </w:rPr>
            </w:pPr>
            <w:r>
              <w:rPr>
                <w:rFonts w:eastAsia="Times New Roman" w:cs="Times New Roman CYR" w:ascii="Times New Roman" w:hAnsi="Times New Roman"/>
                <w:b w:val="false"/>
                <w:bCs w:val="false"/>
                <w:color w:val="000000"/>
                <w:sz w:val="18"/>
                <w:szCs w:val="18"/>
                <w:shd w:fill="FFFFFF" w:val="clear"/>
                <w:lang w:val="en-US" w:eastAsia="ru-RU" w:bidi="ar-SA"/>
              </w:rPr>
            </w:r>
          </w:p>
          <w:p>
            <w:pPr>
              <w:pStyle w:val="Normal"/>
              <w:widowControl w:val="false"/>
              <w:pBdr>
                <w:bottom w:val="single" w:sz="6" w:space="1" w:color="000001"/>
              </w:pBdr>
              <w:shd w:val="clear" w:color="auto" w:themeTint="0" w:themeShade="0" w:fill="auto" w:themeFillTint="0" w:themeFillShade="0"/>
              <w:suppressAutoHyphens w:val="true"/>
              <w:spacing w:lineRule="auto" w:line="240" w:before="120" w:after="120"/>
              <w:ind w:hanging="0" w:right="-59"/>
              <w:jc w:val="left"/>
              <w:rPr>
                <w:rFonts w:ascii="Times New Roman" w:hAnsi="Times New Roman" w:eastAsia="Times New Roman" w:cs="Times New Roman CYR"/>
                <w:b w:val="false"/>
                <w:bCs w:val="false"/>
                <w:color w:val="000000"/>
                <w:sz w:val="18"/>
                <w:szCs w:val="18"/>
                <w:shd w:fill="FFFFFF" w:val="clear"/>
                <w:lang w:val="en-US" w:eastAsia="ru-RU" w:bidi="ar-SA"/>
              </w:rPr>
            </w:pPr>
            <w:r>
              <w:rPr>
                <w:rFonts w:eastAsia="Times New Roman" w:cs="Times New Roman CYR" w:ascii="Times New Roman" w:hAnsi="Times New Roman"/>
                <w:b w:val="false"/>
                <w:bCs w:val="false"/>
                <w:color w:val="000000"/>
                <w:sz w:val="18"/>
                <w:szCs w:val="18"/>
                <w:shd w:fill="FFFFFF" w:val="clear"/>
                <w:lang w:val="en-US" w:eastAsia="ru-RU" w:bidi="ar-SA"/>
              </w:rPr>
            </w:r>
          </w:p>
          <w:p>
            <w:pPr>
              <w:pStyle w:val="Normal"/>
              <w:widowControl w:val="false"/>
              <w:pBdr>
                <w:bottom w:val="single" w:sz="6" w:space="1" w:color="000001"/>
              </w:pBdr>
              <w:shd w:val="clear" w:color="auto" w:themeTint="0" w:themeShade="0" w:fill="auto" w:themeFillTint="0" w:themeFillShade="0"/>
              <w:suppressAutoHyphens w:val="true"/>
              <w:spacing w:lineRule="auto" w:line="240" w:before="120" w:after="120"/>
              <w:ind w:hanging="0" w:right="-59"/>
              <w:jc w:val="left"/>
              <w:rPr>
                <w:sz w:val="18"/>
                <w:szCs w:val="18"/>
              </w:rPr>
            </w:pPr>
            <w:r>
              <w:rPr>
                <w:sz w:val="18"/>
                <w:szCs w:val="18"/>
              </w:rPr>
            </w:r>
          </w:p>
        </w:tc>
      </w:tr>
    </w:tbl>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t>от    202</w:t>
      </w:r>
      <w:r>
        <w:rPr>
          <w:sz w:val="18"/>
          <w:szCs w:val="18"/>
        </w:rPr>
        <w:t>6</w:t>
      </w:r>
      <w:r>
        <w:rPr>
          <w:sz w:val="18"/>
          <w:szCs w:val="18"/>
        </w:rPr>
        <w:t xml:space="preserve"> г. N   </w:t>
      </w:r>
    </w:p>
    <w:p>
      <w:pPr>
        <w:pStyle w:val="ConsPlusNormal1"/>
        <w:jc w:val="center"/>
        <w:rPr>
          <w:sz w:val="18"/>
          <w:szCs w:val="18"/>
        </w:rPr>
      </w:pPr>
      <w:bookmarkStart w:id="18" w:name="P326"/>
      <w:bookmarkEnd w:id="18"/>
      <w:r>
        <w:rPr>
          <w:sz w:val="18"/>
          <w:szCs w:val="18"/>
        </w:rPr>
        <w:t>СПЕЦИФИКАЦИЯ</w:t>
      </w:r>
    </w:p>
    <w:p>
      <w:pPr>
        <w:pStyle w:val="ConsPlusNormal1"/>
        <w:jc w:val="both"/>
        <w:rPr>
          <w:sz w:val="18"/>
          <w:szCs w:val="18"/>
        </w:rPr>
      </w:pPr>
      <w:r>
        <w:rPr>
          <w:sz w:val="18"/>
          <w:szCs w:val="18"/>
        </w:rPr>
      </w:r>
    </w:p>
    <w:tbl>
      <w:tblPr>
        <w:tblW w:w="9843" w:type="dxa"/>
        <w:jc w:val="left"/>
        <w:tblInd w:w="0" w:type="dxa"/>
        <w:tblLayout w:type="fixed"/>
        <w:tblCellMar>
          <w:top w:w="102" w:type="dxa"/>
          <w:left w:w="62" w:type="dxa"/>
          <w:bottom w:w="102" w:type="dxa"/>
          <w:right w:w="62" w:type="dxa"/>
        </w:tblCellMar>
      </w:tblPr>
      <w:tblGrid>
        <w:gridCol w:w="501"/>
        <w:gridCol w:w="2109"/>
        <w:gridCol w:w="855"/>
        <w:gridCol w:w="3000"/>
        <w:gridCol w:w="744"/>
        <w:gridCol w:w="1356"/>
        <w:gridCol w:w="1278"/>
      </w:tblGrid>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1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85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3000" w:type="dxa"/>
            <w:tcBorders>
              <w:top w:val="single" w:sz="4" w:space="0" w:color="000000"/>
              <w:left w:val="single" w:sz="4" w:space="0" w:color="000000"/>
              <w:bottom w:val="single" w:sz="4" w:space="0" w:color="000000"/>
            </w:tcBorders>
          </w:tcPr>
          <w:p>
            <w:pPr>
              <w:pStyle w:val="ConsPlusNormal1"/>
              <w:widowControl w:val="false"/>
              <w:jc w:val="center"/>
              <w:rPr>
                <w:sz w:val="18"/>
                <w:szCs w:val="18"/>
              </w:rPr>
            </w:pPr>
            <w:r>
              <w:rPr>
                <w:sz w:val="18"/>
                <w:szCs w:val="18"/>
              </w:rPr>
              <w:t>Остаточный срок годности</w:t>
            </w:r>
          </w:p>
        </w:tc>
        <w:tc>
          <w:tcPr>
            <w:tcW w:w="7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Кол-во</w:t>
            </w:r>
          </w:p>
        </w:tc>
        <w:tc>
          <w:tcPr>
            <w:tcW w:w="135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(товара), руб.</w:t>
            </w:r>
          </w:p>
          <w:p>
            <w:pPr>
              <w:pStyle w:val="ConsPlusNormal1"/>
              <w:widowControl w:val="false"/>
              <w:jc w:val="center"/>
              <w:rPr>
                <w:sz w:val="18"/>
                <w:szCs w:val="18"/>
              </w:rPr>
            </w:pPr>
            <w:r>
              <w:rPr>
                <w:sz w:val="18"/>
                <w:szCs w:val="18"/>
              </w:rPr>
              <w:t>(включая НДС) (если облагается НДС)</w:t>
            </w:r>
          </w:p>
        </w:tc>
        <w:tc>
          <w:tcPr>
            <w:tcW w:w="127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eastAsia="Calibri"/>
                <w:sz w:val="18"/>
                <w:szCs w:val="18"/>
                <w:lang w:eastAsia="en-US"/>
              </w:rPr>
            </w:pPr>
            <w:r>
              <w:rPr>
                <w:rFonts w:eastAsia="Calibri"/>
                <w:sz w:val="18"/>
                <w:szCs w:val="18"/>
                <w:lang w:eastAsia="en-US"/>
              </w:rPr>
              <w:t>Максимальная цена позиции Товара</w:t>
            </w:r>
          </w:p>
        </w:tc>
      </w:tr>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1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85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3000" w:type="dxa"/>
            <w:tcBorders>
              <w:top w:val="single" w:sz="4" w:space="0" w:color="000000"/>
              <w:left w:val="single" w:sz="4" w:space="0" w:color="000000"/>
              <w:bottom w:val="single" w:sz="4" w:space="0" w:color="000000"/>
            </w:tcBorders>
          </w:tcPr>
          <w:p>
            <w:pPr>
              <w:pStyle w:val="ConsPlusNormal1"/>
              <w:widowControl w:val="false"/>
              <w:jc w:val="center"/>
              <w:rPr>
                <w:sz w:val="18"/>
                <w:szCs w:val="18"/>
              </w:rPr>
            </w:pPr>
            <w:bookmarkStart w:id="19" w:name="P341"/>
            <w:bookmarkStart w:id="20" w:name="P342"/>
            <w:bookmarkEnd w:id="19"/>
            <w:bookmarkEnd w:id="20"/>
            <w:r>
              <w:rPr>
                <w:sz w:val="18"/>
                <w:szCs w:val="18"/>
              </w:rPr>
              <w:t>4</w:t>
            </w:r>
          </w:p>
        </w:tc>
        <w:tc>
          <w:tcPr>
            <w:tcW w:w="7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35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c>
          <w:tcPr>
            <w:tcW w:w="127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bookmarkStart w:id="21" w:name="P345"/>
            <w:bookmarkEnd w:id="21"/>
            <w:r>
              <w:rPr>
                <w:sz w:val="18"/>
                <w:szCs w:val="18"/>
              </w:rPr>
              <w:t>7</w:t>
            </w:r>
          </w:p>
        </w:tc>
      </w:tr>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t>1.</w:t>
            </w:r>
          </w:p>
        </w:tc>
        <w:tc>
          <w:tcPr>
            <w:tcW w:w="2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200"/>
              <w:jc w:val="both"/>
              <w:rPr>
                <w:rFonts w:ascii="PT Astra Serif" w:hAnsi="PT Astra Serif"/>
                <w:bCs/>
                <w:iCs/>
                <w:color w:val="000000"/>
                <w:kern w:val="2"/>
                <w:sz w:val="20"/>
                <w:szCs w:val="20"/>
                <w:shd w:fill="FFFFFF" w:val="clear"/>
                <w:lang w:eastAsia="hi-IN" w:bidi="hi-IN"/>
              </w:rPr>
            </w:pPr>
            <w:r>
              <w:rPr>
                <w:rFonts w:ascii="PT Astra Serif" w:hAnsi="PT Astra Serif"/>
                <w:bCs/>
                <w:iCs/>
                <w:color w:val="000000"/>
                <w:kern w:val="2"/>
                <w:sz w:val="20"/>
                <w:szCs w:val="20"/>
                <w:shd w:fill="FFFFFF" w:val="clear"/>
                <w:lang w:eastAsia="hi-IN" w:bidi="hi-IN"/>
              </w:rPr>
              <w:t>мясо сельскохозяйственной птицы замороженное, в том числе для детского питания</w:t>
            </w:r>
          </w:p>
        </w:tc>
        <w:tc>
          <w:tcPr>
            <w:tcW w:w="85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t>кг</w:t>
            </w:r>
          </w:p>
        </w:tc>
        <w:tc>
          <w:tcPr>
            <w:tcW w:w="3000"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18"/>
                <w:szCs w:val="18"/>
                <w:shd w:fill="auto" w:val="clear"/>
              </w:rPr>
            </w:pPr>
            <w:r>
              <w:rPr>
                <w:rFonts w:eastAsia="Times New Roman" w:cs="Times New Roman" w:ascii="Times New Roman" w:hAnsi="Times New Roman"/>
                <w:bCs/>
                <w:sz w:val="18"/>
                <w:szCs w:val="18"/>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18"/>
                <w:szCs w:val="18"/>
                <w:shd w:fill="auto" w:val="clear"/>
              </w:rPr>
            </w:pPr>
            <w:r>
              <w:rPr>
                <w:sz w:val="18"/>
                <w:szCs w:val="18"/>
                <w:shd w:fill="auto" w:val="clear"/>
              </w:rPr>
              <w:t>550</w:t>
            </w:r>
          </w:p>
        </w:tc>
        <w:tc>
          <w:tcPr>
            <w:tcW w:w="1356"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78"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501" w:type="dxa"/>
            <w:tcBorders>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t>2</w:t>
            </w:r>
          </w:p>
        </w:tc>
        <w:tc>
          <w:tcPr>
            <w:tcW w:w="2109" w:type="dxa"/>
            <w:tcBorders>
              <w:left w:val="single" w:sz="4" w:space="0" w:color="000000"/>
              <w:bottom w:val="single" w:sz="4" w:space="0" w:color="000000"/>
              <w:right w:val="single" w:sz="4" w:space="0" w:color="000000"/>
            </w:tcBorders>
          </w:tcPr>
          <w:p>
            <w:pPr>
              <w:pStyle w:val="Style44"/>
              <w:widowControl w:val="false"/>
              <w:tabs>
                <w:tab w:val="clear" w:pos="708"/>
              </w:tabs>
              <w:jc w:val="center"/>
              <w:rPr>
                <w:rFonts w:ascii="PT Astra Serif" w:hAnsi="PT Astra Serif"/>
                <w:sz w:val="20"/>
                <w:szCs w:val="20"/>
              </w:rPr>
            </w:pPr>
            <w:r>
              <w:rPr>
                <w:rFonts w:eastAsia="Times New Roman" w:cs="PT Astra Serif" w:ascii="PT Astra Serif" w:hAnsi="PT Astra Serif"/>
                <w:color w:val="auto"/>
                <w:sz w:val="20"/>
                <w:szCs w:val="20"/>
              </w:rPr>
              <w:t xml:space="preserve">Рыба трескообразная </w:t>
            </w:r>
            <w:r>
              <w:rPr>
                <w:rFonts w:eastAsia="PT Astra Serif" w:cs="PT Astra Serif" w:ascii="PT Astra Serif" w:hAnsi="PT Astra Serif"/>
                <w:color w:val="auto"/>
                <w:sz w:val="20"/>
                <w:szCs w:val="20"/>
              </w:rPr>
              <w:t xml:space="preserve"> </w:t>
            </w:r>
            <w:r>
              <w:rPr>
                <w:rFonts w:eastAsia="Times New Roman" w:cs="PT Astra Serif" w:ascii="PT Astra Serif" w:hAnsi="PT Astra Serif"/>
                <w:color w:val="auto"/>
                <w:sz w:val="20"/>
                <w:szCs w:val="20"/>
              </w:rPr>
              <w:t>мороженая(минтай)</w:t>
            </w:r>
          </w:p>
        </w:tc>
        <w:tc>
          <w:tcPr>
            <w:tcW w:w="855" w:type="dxa"/>
            <w:tcBorders>
              <w:left w:val="single" w:sz="4" w:space="0" w:color="000000"/>
              <w:bottom w:val="single" w:sz="4" w:space="0" w:color="000000"/>
              <w:right w:val="single" w:sz="4" w:space="0" w:color="000000"/>
            </w:tcBorders>
          </w:tcPr>
          <w:p>
            <w:pPr>
              <w:pStyle w:val="ConsPlusNormal1"/>
              <w:widowControl w:val="false"/>
              <w:rPr>
                <w:rFonts w:ascii="Times New Roman" w:hAnsi="Times New Roman"/>
                <w:sz w:val="18"/>
                <w:szCs w:val="18"/>
              </w:rPr>
            </w:pPr>
            <w:r>
              <w:rPr>
                <w:sz w:val="18"/>
                <w:szCs w:val="18"/>
              </w:rPr>
              <w:t>кг</w:t>
            </w:r>
          </w:p>
        </w:tc>
        <w:tc>
          <w:tcPr>
            <w:tcW w:w="300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sz w:val="18"/>
                <w:szCs w:val="18"/>
              </w:rPr>
            </w:pPr>
            <w:r>
              <w:rPr>
                <w:rFonts w:eastAsia="Times New Roman" w:cs="Times New Roman" w:ascii="Times New Roman" w:hAnsi="Times New Roman"/>
                <w:bCs/>
                <w:sz w:val="18"/>
                <w:szCs w:val="18"/>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44"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18"/>
                <w:szCs w:val="18"/>
                <w:shd w:fill="auto" w:val="clear"/>
              </w:rPr>
            </w:pPr>
            <w:r>
              <w:rPr>
                <w:sz w:val="18"/>
                <w:szCs w:val="18"/>
                <w:shd w:fill="auto" w:val="clear"/>
              </w:rPr>
              <w:t>200</w:t>
            </w:r>
          </w:p>
        </w:tc>
        <w:tc>
          <w:tcPr>
            <w:tcW w:w="1356" w:type="dxa"/>
            <w:tcBorders>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78" w:type="dxa"/>
            <w:tcBorders>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t xml:space="preserve">ИТОГО  </w:t>
      </w:r>
    </w:p>
    <w:tbl>
      <w:tblPr>
        <w:tblW w:w="9870" w:type="dxa"/>
        <w:jc w:val="left"/>
        <w:tblInd w:w="0" w:type="dxa"/>
        <w:tblLayout w:type="fixed"/>
        <w:tblCellMar>
          <w:top w:w="102" w:type="dxa"/>
          <w:left w:w="62" w:type="dxa"/>
          <w:bottom w:w="102" w:type="dxa"/>
          <w:right w:w="62" w:type="dxa"/>
        </w:tblCellMar>
      </w:tblPr>
      <w:tblGrid>
        <w:gridCol w:w="5099"/>
        <w:gridCol w:w="4771"/>
      </w:tblGrid>
      <w:tr>
        <w:trPr/>
        <w:tc>
          <w:tcPr>
            <w:tcW w:w="5099" w:type="dxa"/>
            <w:tcBorders/>
            <w:vAlign w:val="bottom"/>
          </w:tcPr>
          <w:p>
            <w:pPr>
              <w:pStyle w:val="ConsPlusNormal1"/>
              <w:widowControl w:val="false"/>
              <w:rPr>
                <w:sz w:val="18"/>
                <w:szCs w:val="18"/>
              </w:rPr>
            </w:pPr>
            <w:r>
              <w:rPr>
                <w:sz w:val="18"/>
                <w:szCs w:val="18"/>
              </w:rPr>
              <w:t xml:space="preserve"> </w:t>
            </w:r>
            <w:r>
              <w:rPr>
                <w:sz w:val="18"/>
                <w:szCs w:val="18"/>
              </w:rPr>
              <w:t>Заказчик:</w:t>
            </w:r>
          </w:p>
          <w:p>
            <w:pPr>
              <w:pStyle w:val="ConsPlusNormal1"/>
              <w:widowControl w:val="false"/>
              <w:rPr>
                <w:sz w:val="18"/>
                <w:szCs w:val="18"/>
              </w:rPr>
            </w:pPr>
            <w:r>
              <w:rPr>
                <w:sz w:val="18"/>
                <w:szCs w:val="18"/>
              </w:rPr>
            </w:r>
          </w:p>
          <w:p>
            <w:pPr>
              <w:pStyle w:val="Normal"/>
              <w:widowControl w:val="false"/>
              <w:suppressAutoHyphens w:val="true"/>
              <w:spacing w:lineRule="auto" w:line="240" w:before="0" w:after="0"/>
              <w:ind w:hanging="0" w:right="-1"/>
              <w:jc w:val="both"/>
              <w:rPr>
                <w:rFonts w:ascii="Times New Roman" w:hAnsi="Times New Roman"/>
                <w:sz w:val="18"/>
                <w:szCs w:val="18"/>
              </w:rPr>
            </w:pPr>
            <w:r>
              <w:rPr>
                <w:rFonts w:eastAsia="Times New Roman" w:cs="Times New Roman" w:ascii="Times New Roman" w:hAnsi="Times New Roman"/>
                <w:b/>
                <w:bCs/>
                <w:caps w:val="false"/>
                <w:smallCaps w:val="false"/>
                <w:kern w:val="2"/>
                <w:sz w:val="18"/>
                <w:szCs w:val="18"/>
                <w:lang w:val="ru-RU" w:eastAsia="ru-RU"/>
              </w:rPr>
              <w:t>Муниципальное дошкольное образовательное учреждение Цильнинский   детский сад  «Терем – Теремок» МО «Цильнинский район»</w:t>
            </w:r>
          </w:p>
          <w:p>
            <w:pPr>
              <w:pStyle w:val="Normal"/>
              <w:widowControl w:val="false"/>
              <w:shd w:val="clear" w:fill="FFFFFF"/>
              <w:snapToGrid w:val="false"/>
              <w:spacing w:lineRule="auto" w:line="240"/>
              <w:jc w:val="left"/>
              <w:rPr>
                <w:rFonts w:ascii="Times New Roman" w:hAnsi="Times New Roman"/>
                <w:caps w:val="false"/>
                <w:smallCaps w:val="false"/>
                <w:color w:val="FF0000"/>
                <w:sz w:val="18"/>
                <w:szCs w:val="18"/>
              </w:rPr>
            </w:pPr>
            <w:r>
              <w:rPr>
                <w:rFonts w:ascii="Times New Roman" w:hAnsi="Times New Roman"/>
                <w:caps w:val="false"/>
                <w:smallCaps w:val="false"/>
                <w:color w:val="FF0000"/>
                <w:sz w:val="18"/>
                <w:szCs w:val="18"/>
              </w:rPr>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р.п. Цильна , улица Олега Кошевого, дом 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7322001107/КПП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 xml:space="preserve">КСч  03234643736540006800 ЕКСч 40102810645370000061  </w:t>
            </w:r>
            <w:r>
              <w:rPr>
                <w:rFonts w:eastAsia="Times New Roman" w:cs="Times New Roman" w:ascii="PT Astra Serif" w:hAnsi="PT Astra Serif"/>
                <w:b w:val="false"/>
                <w:bCs w:val="false"/>
                <w:caps w:val="false"/>
                <w:smallCaps w:val="false"/>
                <w:sz w:val="18"/>
                <w:szCs w:val="18"/>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 20226000015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25335598 ОГРН 1027301059532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7">
              <w:r>
                <w:rPr>
                  <w:rStyle w:val="Style6"/>
                  <w:rFonts w:ascii="Times New Roman" w:hAnsi="Times New Roman"/>
                  <w:b w:val="false"/>
                  <w:caps w:val="false"/>
                  <w:smallCaps w:val="false"/>
                  <w:sz w:val="18"/>
                  <w:szCs w:val="18"/>
                  <w:lang w:val="zxx"/>
                </w:rPr>
                <w:t>DOU-Terem-Teremok@mail.ru</w:t>
              </w:r>
            </w:hyperlink>
            <w:r>
              <w:rPr>
                <w:rFonts w:ascii="Times New Roman" w:hAnsi="Times New Roman"/>
                <w:b w:val="false"/>
                <w:caps w:val="false"/>
                <w:smallCaps w:val="false"/>
                <w:sz w:val="18"/>
                <w:szCs w:val="18"/>
                <w:lang w:val="zxx"/>
              </w:rPr>
              <w:t xml:space="preserve"> </w:t>
            </w:r>
            <w:r>
              <w:rPr>
                <w:rFonts w:eastAsia="Times New Roman" w:cs="Times New Roman" w:ascii="Times New Roman" w:hAnsi="Times New Roman"/>
                <w:b w:val="false"/>
                <w:bCs/>
                <w:caps w:val="false"/>
                <w:smallCaps w:val="false"/>
                <w:kern w:val="2"/>
                <w:sz w:val="18"/>
                <w:szCs w:val="18"/>
                <w:lang w:val="zxx" w:eastAsia="ru-RU"/>
              </w:rPr>
              <w:t>тел.88424531110</w:t>
            </w:r>
            <w:r>
              <w:rPr>
                <w:rFonts w:eastAsia="Times New Roman" w:cs="Times New Roman" w:ascii="Times New Roman" w:hAnsi="Times New Roman"/>
                <w:b w:val="false"/>
                <w:bCs/>
                <w:caps w:val="false"/>
                <w:smallCaps w:val="false"/>
                <w:kern w:val="2"/>
                <w:sz w:val="18"/>
                <w:szCs w:val="18"/>
                <w:lang w:val="ru-RU" w:eastAsia="ru-RU"/>
              </w:rPr>
              <w:t xml:space="preserve">; </w:t>
            </w:r>
            <w:r>
              <w:rPr>
                <w:rFonts w:eastAsia="Times New Roman" w:cs="Times New Roman" w:ascii="Times New Roman" w:hAnsi="Times New Roman"/>
                <w:b w:val="false"/>
                <w:bCs/>
                <w:caps w:val="false"/>
                <w:smallCaps w:val="false"/>
                <w:kern w:val="2"/>
                <w:sz w:val="18"/>
                <w:szCs w:val="18"/>
                <w:lang w:val="zxx" w:eastAsia="ru-RU"/>
              </w:rPr>
              <w:t>89278200567</w:t>
            </w:r>
          </w:p>
          <w:p>
            <w:pPr>
              <w:pStyle w:val="Normal"/>
              <w:widowControl w:val="false"/>
              <w:shd w:val="clear" w:fill="FFFFFF"/>
              <w:snapToGrid w:val="false"/>
              <w:spacing w:lineRule="auto" w:line="240"/>
              <w:jc w:val="left"/>
              <w:rPr>
                <w:rFonts w:ascii="Times New Roman" w:hAnsi="Times New Roman" w:eastAsia="Times New Roman" w:cs="Times New Roman"/>
                <w:b w:val="false"/>
                <w:bCs/>
                <w:caps w:val="false"/>
                <w:smallCaps w:val="false"/>
                <w:kern w:val="2"/>
                <w:sz w:val="18"/>
                <w:szCs w:val="18"/>
                <w:shd w:fill="FFFFFF" w:val="clear"/>
                <w:lang w:val="ru-RU" w:eastAsia="ru-RU"/>
              </w:rPr>
            </w:pPr>
            <w:r>
              <w:rPr>
                <w:rFonts w:eastAsia="Times New Roman" w:cs="Times New Roman" w:ascii="Times New Roman" w:hAnsi="Times New Roman"/>
                <w:b w:val="false"/>
                <w:bCs/>
                <w:caps w:val="false"/>
                <w:smallCaps w:val="false"/>
                <w:kern w:val="2"/>
                <w:sz w:val="18"/>
                <w:szCs w:val="18"/>
                <w:shd w:fill="FFFFFF" w:val="clear"/>
                <w:lang w:val="ru-RU" w:eastAsia="ru-RU"/>
              </w:rPr>
              <w:t xml:space="preserve">Заведующий </w:t>
            </w:r>
          </w:p>
          <w:p>
            <w:pPr>
              <w:pStyle w:val="ConsPlusNonformat"/>
              <w:widowControl w:val="false"/>
              <w:shd w:val="clear" w:fill="FFFFFF"/>
              <w:spacing w:lineRule="auto" w:line="240"/>
              <w:rPr>
                <w:rFonts w:ascii="Times New Roman" w:hAnsi="Times New Roman" w:cs="Times New Roman"/>
                <w:kern w:val="2"/>
                <w:sz w:val="18"/>
                <w:szCs w:val="18"/>
              </w:rPr>
            </w:pPr>
            <w:r>
              <w:rPr>
                <w:rFonts w:cs="Times New Roman" w:ascii="Times New Roman" w:hAnsi="Times New Roman"/>
                <w:kern w:val="2"/>
                <w:sz w:val="18"/>
                <w:szCs w:val="18"/>
              </w:rPr>
            </w:r>
          </w:p>
          <w:p>
            <w:pPr>
              <w:pStyle w:val="ConsPlusNonformat"/>
              <w:widowControl w:val="false"/>
              <w:shd w:val="clear" w:fill="FFFFFF"/>
              <w:spacing w:lineRule="auto" w:line="240"/>
              <w:rPr>
                <w:rFonts w:ascii="Times New Roman" w:hAnsi="Times New Roman" w:cs="Times New Roman"/>
                <w:kern w:val="2"/>
                <w:sz w:val="18"/>
                <w:szCs w:val="18"/>
              </w:rPr>
            </w:pPr>
            <w:r>
              <w:rPr>
                <w:rFonts w:cs="Times New Roman" w:ascii="Times New Roman" w:hAnsi="Times New Roman"/>
                <w:kern w:val="2"/>
                <w:sz w:val="18"/>
                <w:szCs w:val="18"/>
              </w:rPr>
            </w:r>
          </w:p>
          <w:p>
            <w:pPr>
              <w:pStyle w:val="ConsPlusNonformat"/>
              <w:widowControl w:val="false"/>
              <w:shd w:val="clear" w:fill="FFFFFF"/>
              <w:overflowPunct w:val="true"/>
              <w:snapToGrid w:val="false"/>
              <w:spacing w:lineRule="auto" w:line="240" w:before="0" w:after="200"/>
              <w:ind w:hanging="0" w:right="145"/>
              <w:jc w:val="both"/>
              <w:textAlignment w:val="baseline"/>
              <w:rPr>
                <w:rFonts w:ascii="Times New Roman" w:hAnsi="Times New Roman"/>
                <w:sz w:val="18"/>
                <w:szCs w:val="18"/>
              </w:rPr>
            </w:pP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zxx" w:eastAsia="ru-RU" w:bidi="ar-SA"/>
              </w:rPr>
              <w:t>_____________________</w:t>
            </w: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ru-RU" w:eastAsia="ru-RU" w:bidi="ar-SA"/>
              </w:rPr>
              <w:t xml:space="preserve">                        </w:t>
            </w: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ru-RU" w:eastAsia="ru-RU" w:bidi="ar-SA"/>
              </w:rPr>
              <w:t>Курочкина Н.И.</w:t>
            </w: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ru-RU" w:eastAsia="ru-RU" w:bidi="ar-SA"/>
              </w:rPr>
              <w:t xml:space="preserve">                            </w:t>
            </w:r>
          </w:p>
          <w:p>
            <w:pPr>
              <w:pStyle w:val="BodyText"/>
              <w:widowControl w:val="false"/>
              <w:overflowPunct w:val="true"/>
              <w:spacing w:before="0" w:after="0"/>
              <w:ind w:hanging="0" w:left="567" w:right="0"/>
              <w:contextualSpacing/>
              <w:jc w:val="both"/>
              <w:textAlignment w:val="baseline"/>
              <w:rPr>
                <w:sz w:val="18"/>
                <w:szCs w:val="18"/>
              </w:rPr>
            </w:pPr>
            <w:r>
              <w:rPr>
                <w:sz w:val="18"/>
                <w:szCs w:val="18"/>
              </w:rPr>
            </w:r>
          </w:p>
        </w:tc>
        <w:tc>
          <w:tcPr>
            <w:tcW w:w="4771" w:type="dxa"/>
            <w:tcBorders/>
          </w:tcPr>
          <w:p>
            <w:pPr>
              <w:pStyle w:val="Normal"/>
              <w:widowControl w:val="false"/>
              <w:suppressAutoHyphens w:val="true"/>
              <w:jc w:val="left"/>
              <w:rPr>
                <w:sz w:val="18"/>
                <w:szCs w:val="18"/>
              </w:rPr>
            </w:pPr>
            <w:r>
              <w:rPr>
                <w:sz w:val="18"/>
                <w:szCs w:val="18"/>
              </w:rPr>
              <w:t>Поставщик :</w:t>
            </w:r>
          </w:p>
          <w:p>
            <w:pPr>
              <w:pStyle w:val="Normal"/>
              <w:widowControl w:val="false"/>
              <w:spacing w:before="0" w:after="200"/>
              <w:jc w:val="left"/>
              <w:rPr>
                <w:rFonts w:ascii="Times New Roman" w:hAnsi="Times New Roman"/>
                <w:b/>
                <w:bCs/>
                <w:sz w:val="20"/>
                <w:szCs w:val="20"/>
              </w:rPr>
            </w:pPr>
            <w:r>
              <w:rPr>
                <w:rFonts w:ascii="Times New Roman" w:hAnsi="Times New Roman"/>
                <w:b/>
                <w:bCs/>
                <w:sz w:val="20"/>
                <w:szCs w:val="20"/>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____________ 202</w:t>
      </w:r>
      <w:r>
        <w:rPr>
          <w:sz w:val="18"/>
          <w:szCs w:val="18"/>
        </w:rPr>
        <w:t>6</w:t>
      </w:r>
      <w:r>
        <w:rPr>
          <w:sz w:val="18"/>
          <w:szCs w:val="18"/>
        </w:rPr>
        <w:t xml:space="preserve"> г. N</w:t>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10127" w:type="dxa"/>
        <w:jc w:val="left"/>
        <w:tblInd w:w="0" w:type="dxa"/>
        <w:tblLayout w:type="fixed"/>
        <w:tblCellMar>
          <w:top w:w="102" w:type="dxa"/>
          <w:left w:w="62" w:type="dxa"/>
          <w:bottom w:w="102" w:type="dxa"/>
          <w:right w:w="62" w:type="dxa"/>
        </w:tblCellMar>
      </w:tblPr>
      <w:tblGrid>
        <w:gridCol w:w="662"/>
        <w:gridCol w:w="2293"/>
        <w:gridCol w:w="5469"/>
        <w:gridCol w:w="1703"/>
      </w:tblGrid>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29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 товарный знак (при наличии)</w:t>
            </w:r>
          </w:p>
        </w:tc>
        <w:tc>
          <w:tcPr>
            <w:tcW w:w="546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Функциональные, технические и качественные характеристики Товара</w:t>
            </w:r>
          </w:p>
        </w:tc>
        <w:tc>
          <w:tcPr>
            <w:tcW w:w="170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Страна происхождения Товара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29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546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70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r>
      <w:tr>
        <w:trPr>
          <w:trHeight w:val="708" w:hRule="atLeast"/>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200"/>
              <w:jc w:val="both"/>
              <w:rPr>
                <w:rFonts w:ascii="PT Astra Serif" w:hAnsi="PT Astra Serif"/>
                <w:bCs/>
                <w:iCs/>
                <w:color w:val="000000"/>
                <w:kern w:val="2"/>
                <w:sz w:val="20"/>
                <w:szCs w:val="20"/>
                <w:shd w:fill="FFFFFF" w:val="clear"/>
                <w:lang w:eastAsia="hi-IN" w:bidi="hi-IN"/>
              </w:rPr>
            </w:pPr>
            <w:r>
              <w:rPr>
                <w:rFonts w:ascii="PT Astra Serif" w:hAnsi="PT Astra Serif"/>
                <w:bCs/>
                <w:iCs/>
                <w:color w:val="000000"/>
                <w:kern w:val="2"/>
                <w:sz w:val="20"/>
                <w:szCs w:val="20"/>
                <w:shd w:fill="FFFFFF" w:val="clear"/>
                <w:lang w:eastAsia="hi-IN" w:bidi="hi-IN"/>
              </w:rPr>
              <w:t>мясо сельскохозяйственной птицы замороженное, в том числе для детского питания</w:t>
            </w:r>
          </w:p>
          <w:p>
            <w:pPr>
              <w:pStyle w:val="Normal"/>
              <w:widowControl w:val="false"/>
              <w:spacing w:lineRule="atLeast" w:line="100" w:before="0" w:after="0"/>
              <w:rPr>
                <w:rFonts w:ascii="PT Astra Serif" w:hAnsi="PT Astra Serif"/>
                <w:kern w:val="2"/>
                <w:sz w:val="20"/>
                <w:szCs w:val="20"/>
                <w:lang w:eastAsia="hi-IN" w:bidi="hi-IN"/>
              </w:rPr>
            </w:pPr>
            <w:r>
              <w:rPr>
                <w:rFonts w:ascii="PT Astra Serif" w:hAnsi="PT Astra Serif"/>
                <w:kern w:val="2"/>
                <w:sz w:val="20"/>
                <w:szCs w:val="20"/>
                <w:lang w:eastAsia="hi-IN" w:bidi="hi-IN"/>
              </w:rPr>
              <w:t>10.12.20.000-00000006</w:t>
            </w:r>
          </w:p>
        </w:tc>
        <w:tc>
          <w:tcPr>
            <w:tcW w:w="5469" w:type="dxa"/>
            <w:tcBorders>
              <w:top w:val="single" w:sz="4" w:space="0" w:color="000000"/>
              <w:left w:val="single" w:sz="4" w:space="0" w:color="000000"/>
              <w:bottom w:val="single" w:sz="4" w:space="0" w:color="000000"/>
              <w:right w:val="single" w:sz="4" w:space="0" w:color="000000"/>
            </w:tcBorders>
          </w:tcPr>
          <w:p>
            <w:pPr>
              <w:pStyle w:val="BodyText"/>
              <w:widowControl w:val="false"/>
              <w:snapToGrid w:val="false"/>
              <w:spacing w:before="0" w:after="0"/>
              <w:rPr>
                <w:bCs/>
                <w:sz w:val="20"/>
                <w:shd w:fill="FFFFFF" w:val="clear"/>
              </w:rPr>
            </w:pPr>
            <w:r>
              <w:rPr>
                <w:bCs/>
                <w:sz w:val="20"/>
                <w:shd w:fill="FFFFFF" w:val="clear"/>
              </w:rPr>
              <w:t xml:space="preserve">Вид мяса по способу разделки: </w:t>
            </w:r>
            <w:r>
              <w:rPr>
                <w:kern w:val="2"/>
                <w:sz w:val="20"/>
                <w:szCs w:val="20"/>
                <w:lang w:eastAsia="hi-IN" w:bidi="hi-IN"/>
              </w:rPr>
              <w:t>Тушка</w:t>
            </w:r>
          </w:p>
          <w:p>
            <w:pPr>
              <w:pStyle w:val="BodyText"/>
              <w:widowControl w:val="false"/>
              <w:snapToGrid w:val="false"/>
              <w:spacing w:before="0" w:after="0"/>
              <w:rPr>
                <w:bCs/>
                <w:sz w:val="20"/>
                <w:shd w:fill="FFFFFF" w:val="clear"/>
              </w:rPr>
            </w:pPr>
            <w:r>
              <w:rPr>
                <w:bCs/>
                <w:sz w:val="20"/>
                <w:shd w:fill="FFFFFF" w:val="clear"/>
              </w:rPr>
              <w:t xml:space="preserve">Для детского питания: </w:t>
            </w:r>
            <w:r>
              <w:rPr>
                <w:kern w:val="2"/>
                <w:sz w:val="20"/>
                <w:szCs w:val="20"/>
                <w:lang w:eastAsia="hi-IN" w:bidi="hi-IN"/>
              </w:rPr>
              <w:t>да</w:t>
            </w:r>
          </w:p>
          <w:p>
            <w:pPr>
              <w:pStyle w:val="BodyText"/>
              <w:widowControl w:val="false"/>
              <w:snapToGrid w:val="false"/>
              <w:spacing w:before="0" w:after="0"/>
              <w:rPr>
                <w:bCs/>
                <w:sz w:val="20"/>
                <w:shd w:fill="FFFFFF" w:val="clear"/>
              </w:rPr>
            </w:pPr>
            <w:r>
              <w:rPr>
                <w:bCs/>
                <w:sz w:val="20"/>
                <w:shd w:fill="FFFFFF" w:val="clear"/>
              </w:rPr>
              <w:t xml:space="preserve">сорт: </w:t>
            </w:r>
            <w:r>
              <w:rPr>
                <w:kern w:val="2"/>
                <w:sz w:val="20"/>
                <w:szCs w:val="20"/>
                <w:lang w:eastAsia="hi-IN" w:bidi="hi-IN"/>
              </w:rPr>
              <w:t>первый</w:t>
            </w:r>
          </w:p>
          <w:p>
            <w:pPr>
              <w:pStyle w:val="BodyText"/>
              <w:widowControl w:val="false"/>
              <w:snapToGrid w:val="false"/>
              <w:spacing w:lineRule="atLeast" w:line="100" w:before="0" w:after="0"/>
              <w:jc w:val="both"/>
              <w:rPr>
                <w:bCs/>
                <w:sz w:val="20"/>
                <w:shd w:fill="FFFFFF" w:val="clear"/>
              </w:rPr>
            </w:pPr>
            <w:r>
              <w:rPr>
                <w:rFonts w:ascii="PT Astra Serif" w:hAnsi="PT Astra Serif"/>
                <w:bCs/>
                <w:kern w:val="2"/>
                <w:sz w:val="20"/>
                <w:szCs w:val="20"/>
                <w:shd w:fill="FFFFFF" w:val="clear"/>
                <w:lang w:eastAsia="hi-IN" w:bidi="hi-IN"/>
              </w:rPr>
              <w:t>Наименование мяса  птицы: Цыплята -бройлеры</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293" w:type="dxa"/>
            <w:tcBorders>
              <w:left w:val="single" w:sz="4" w:space="0" w:color="000000"/>
              <w:bottom w:val="single" w:sz="4" w:space="0" w:color="000000"/>
              <w:right w:val="single" w:sz="4" w:space="0" w:color="000000"/>
            </w:tcBorders>
          </w:tcPr>
          <w:p>
            <w:pPr>
              <w:pStyle w:val="Style44"/>
              <w:widowControl w:val="false"/>
              <w:spacing w:lineRule="auto" w:line="240"/>
              <w:rPr>
                <w:rFonts w:ascii="PT Astra Serif" w:hAnsi="PT Astra Serif" w:cs="PT Astra Serif"/>
                <w:kern w:val="2"/>
                <w:sz w:val="20"/>
                <w:szCs w:val="20"/>
              </w:rPr>
            </w:pPr>
            <w:r>
              <w:rPr>
                <w:rFonts w:cs="PT Astra Serif" w:ascii="PT Astra Serif" w:hAnsi="PT Astra Serif"/>
                <w:kern w:val="2"/>
                <w:sz w:val="20"/>
                <w:szCs w:val="20"/>
              </w:rPr>
              <w:t>Рыба трескообразная</w:t>
            </w:r>
          </w:p>
          <w:p>
            <w:pPr>
              <w:pStyle w:val="Style44"/>
              <w:widowControl w:val="false"/>
              <w:spacing w:lineRule="auto" w:line="240" w:before="0" w:after="0"/>
              <w:rPr>
                <w:rFonts w:ascii="Times New Roman" w:hAnsi="Times New Roman"/>
                <w:sz w:val="18"/>
                <w:szCs w:val="18"/>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w:t>
            </w:r>
          </w:p>
          <w:p>
            <w:pPr>
              <w:pStyle w:val="Normal"/>
              <w:widowControl w:val="false"/>
              <w:tabs>
                <w:tab w:val="clear" w:pos="708"/>
              </w:tabs>
              <w:spacing w:lineRule="auto" w:line="240" w:before="0" w:after="0"/>
              <w:ind w:hanging="0" w:right="0"/>
              <w:rPr>
                <w:rFonts w:ascii="PT Astra Serif" w:hAnsi="PT Astra Serif"/>
                <w:sz w:val="20"/>
                <w:szCs w:val="20"/>
              </w:rPr>
            </w:pPr>
            <w:r>
              <w:rPr>
                <w:rFonts w:cs="PT Astra Serif" w:ascii="PT Astra Serif" w:hAnsi="PT Astra Serif"/>
                <w:kern w:val="2"/>
                <w:sz w:val="20"/>
                <w:szCs w:val="20"/>
              </w:rPr>
              <w:t>10.20.13.120-00000021</w:t>
            </w:r>
          </w:p>
        </w:tc>
        <w:tc>
          <w:tcPr>
            <w:tcW w:w="5469" w:type="dxa"/>
            <w:tcBorders>
              <w:left w:val="single" w:sz="4" w:space="0" w:color="000000"/>
              <w:bottom w:val="single" w:sz="4" w:space="0" w:color="000000"/>
              <w:right w:val="single" w:sz="4" w:space="0" w:color="000000"/>
            </w:tcBorders>
          </w:tcPr>
          <w:p>
            <w:pPr>
              <w:pStyle w:val="Normal"/>
              <w:widowControl w:val="false"/>
              <w:shd w:fill="FFFFFF" w:val="clear"/>
              <w:tabs>
                <w:tab w:val="clear" w:pos="708"/>
              </w:tabs>
              <w:textAlignment w:val="baseline"/>
              <w:rPr>
                <w:rFonts w:ascii="PT Astra Serif" w:hAnsi="PT Astra Serif"/>
                <w:sz w:val="20"/>
                <w:szCs w:val="20"/>
              </w:rPr>
            </w:pPr>
            <w:r>
              <w:rPr>
                <w:rFonts w:cs="PT Astra Serif" w:ascii="PT Astra Serif" w:hAnsi="PT Astra Serif"/>
                <w:sz w:val="20"/>
                <w:szCs w:val="20"/>
              </w:rPr>
              <w:t>Вид разделки:</w:t>
            </w:r>
            <w:r>
              <w:rPr>
                <w:rFonts w:cs="PT Astra Serif" w:ascii="PT Astra Serif" w:hAnsi="PT Astra Serif"/>
                <w:sz w:val="20"/>
                <w:szCs w:val="20"/>
                <w:shd w:fill="FFFFFF" w:val="clear"/>
              </w:rPr>
              <w:t>Потрошеная обезглавленная</w:t>
            </w:r>
          </w:p>
          <w:p>
            <w:pPr>
              <w:pStyle w:val="Normal"/>
              <w:widowControl w:val="false"/>
              <w:shd w:fill="FFFFFF" w:val="clear"/>
              <w:tabs>
                <w:tab w:val="clear" w:pos="708"/>
              </w:tabs>
              <w:textAlignment w:val="baseline"/>
              <w:rPr>
                <w:rFonts w:ascii="PT Astra Serif" w:hAnsi="PT Astra Serif"/>
                <w:sz w:val="20"/>
                <w:szCs w:val="20"/>
              </w:rPr>
            </w:pPr>
            <w:r>
              <w:rPr>
                <w:rFonts w:cs="PT Astra Serif" w:ascii="PT Astra Serif" w:hAnsi="PT Astra Serif"/>
                <w:sz w:val="20"/>
                <w:szCs w:val="20"/>
              </w:rPr>
              <w:t>Вид рыбы: минтай</w:t>
            </w:r>
          </w:p>
          <w:p>
            <w:pPr>
              <w:pStyle w:val="Normal"/>
              <w:widowControl w:val="false"/>
              <w:shd w:fill="FFFFFF" w:val="clear"/>
              <w:tabs>
                <w:tab w:val="clear" w:pos="708"/>
              </w:tabs>
              <w:textAlignment w:val="baseline"/>
              <w:rPr>
                <w:rFonts w:ascii="PT Astra Serif" w:hAnsi="PT Astra Serif"/>
                <w:sz w:val="20"/>
                <w:szCs w:val="20"/>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rPr>
                <w:rFonts w:ascii="PT Astra Serif" w:hAnsi="PT Astra Serif"/>
                <w:sz w:val="20"/>
                <w:szCs w:val="20"/>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textAlignment w:val="baseline"/>
              <w:rPr>
                <w:rFonts w:ascii="PT Astra Serif" w:hAnsi="PT Astra Serif"/>
                <w:sz w:val="20"/>
                <w:szCs w:val="20"/>
              </w:rPr>
            </w:pPr>
            <w:r>
              <w:rPr>
                <w:rFonts w:cs="PT Astra Serif" w:ascii="PT Astra Serif" w:hAnsi="PT Astra Serif"/>
                <w:sz w:val="20"/>
                <w:szCs w:val="20"/>
                <w:shd w:fill="FFFFFF" w:val="clear"/>
                <w:lang w:eastAsia="en-US"/>
              </w:rPr>
              <w:t>ГОСТ 32366-2013</w:t>
            </w:r>
          </w:p>
        </w:tc>
        <w:tc>
          <w:tcPr>
            <w:tcW w:w="1703"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Times New Roman" w:hAnsi="Times New Roman"/>
                <w:sz w:val="18"/>
                <w:szCs w:val="18"/>
              </w:rPr>
            </w:pPr>
            <w:r>
              <w:rPr>
                <w:rFonts w:eastAsia="Times New Roman" w:cs="Times New Roman" w:ascii="Times New Roman" w:hAnsi="Times New Roman"/>
                <w:color w:val="auto"/>
                <w:sz w:val="18"/>
                <w:szCs w:val="18"/>
              </w:rPr>
              <w:t>Россия</w:t>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tbl>
      <w:tblPr>
        <w:tblW w:w="10095" w:type="dxa"/>
        <w:jc w:val="left"/>
        <w:tblInd w:w="0" w:type="dxa"/>
        <w:tblLayout w:type="fixed"/>
        <w:tblCellMar>
          <w:top w:w="102" w:type="dxa"/>
          <w:left w:w="62" w:type="dxa"/>
          <w:bottom w:w="102" w:type="dxa"/>
          <w:right w:w="62" w:type="dxa"/>
        </w:tblCellMar>
      </w:tblPr>
      <w:tblGrid>
        <w:gridCol w:w="5220"/>
        <w:gridCol w:w="4875"/>
      </w:tblGrid>
      <w:tr>
        <w:trPr/>
        <w:tc>
          <w:tcPr>
            <w:tcW w:w="5220" w:type="dxa"/>
            <w:tcBorders/>
            <w:vAlign w:val="bottom"/>
          </w:tcPr>
          <w:p>
            <w:pPr>
              <w:pStyle w:val="ConsPlusNormal1"/>
              <w:widowControl w:val="false"/>
              <w:rPr>
                <w:sz w:val="18"/>
                <w:szCs w:val="18"/>
              </w:rPr>
            </w:pPr>
            <w:r>
              <w:rPr>
                <w:sz w:val="18"/>
                <w:szCs w:val="18"/>
              </w:rPr>
              <w:t>От Заказчика:</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sz w:val="18"/>
                <w:szCs w:val="18"/>
              </w:rPr>
            </w:r>
          </w:p>
          <w:p>
            <w:pPr>
              <w:pStyle w:val="Normal"/>
              <w:widowControl w:val="false"/>
              <w:suppressAutoHyphens w:val="true"/>
              <w:spacing w:lineRule="auto" w:line="240" w:before="0" w:after="0"/>
              <w:ind w:hanging="0" w:right="-1"/>
              <w:jc w:val="both"/>
              <w:rPr>
                <w:rFonts w:ascii="Times New Roman" w:hAnsi="Times New Roman"/>
                <w:sz w:val="18"/>
                <w:szCs w:val="18"/>
              </w:rPr>
            </w:pPr>
            <w:r>
              <w:rPr>
                <w:rFonts w:eastAsia="Times New Roman" w:cs="Times New Roman" w:ascii="Times New Roman" w:hAnsi="Times New Roman"/>
                <w:b/>
                <w:bCs/>
                <w:caps w:val="false"/>
                <w:smallCaps w:val="false"/>
                <w:kern w:val="2"/>
                <w:sz w:val="18"/>
                <w:szCs w:val="18"/>
                <w:lang w:val="ru-RU" w:eastAsia="ru-RU"/>
              </w:rPr>
              <w:t>Муниципальное дошкольное образовательное учреждение Цильнинский   детский сад  «Терем – Теремок» МО «Цильнинский район»</w:t>
            </w:r>
          </w:p>
          <w:p>
            <w:pPr>
              <w:pStyle w:val="Normal"/>
              <w:widowControl w:val="false"/>
              <w:shd w:val="clear" w:fill="FFFFFF"/>
              <w:snapToGrid w:val="false"/>
              <w:spacing w:lineRule="auto" w:line="240"/>
              <w:jc w:val="left"/>
              <w:rPr>
                <w:rFonts w:ascii="Times New Roman" w:hAnsi="Times New Roman"/>
                <w:caps w:val="false"/>
                <w:smallCaps w:val="false"/>
                <w:color w:val="FF0000"/>
                <w:sz w:val="18"/>
                <w:szCs w:val="18"/>
              </w:rPr>
            </w:pPr>
            <w:r>
              <w:rPr>
                <w:rFonts w:ascii="Times New Roman" w:hAnsi="Times New Roman"/>
                <w:caps w:val="false"/>
                <w:smallCaps w:val="false"/>
                <w:color w:val="FF0000"/>
                <w:sz w:val="18"/>
                <w:szCs w:val="18"/>
              </w:rPr>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sz w:val="18"/>
                <w:szCs w:val="18"/>
              </w:rPr>
            </w:r>
          </w:p>
          <w:p>
            <w:pPr>
              <w:pStyle w:val="ConsPlusNonformat"/>
              <w:widowControl w:val="false"/>
              <w:shd w:val="clear" w:fill="FFFFFF"/>
              <w:spacing w:lineRule="auto" w:line="240"/>
              <w:rPr>
                <w:rFonts w:ascii="Times New Roman" w:hAnsi="Times New Roman"/>
                <w:sz w:val="18"/>
                <w:szCs w:val="18"/>
              </w:rPr>
            </w:pPr>
            <w:r>
              <w:rPr>
                <w:rFonts w:cs="Times New Roman" w:ascii="Times New Roman" w:hAnsi="Times New Roman"/>
                <w:kern w:val="2"/>
                <w:sz w:val="18"/>
                <w:szCs w:val="18"/>
                <w:shd w:fill="FFFFFF" w:val="clear"/>
              </w:rPr>
              <w:t xml:space="preserve">Заведующий </w:t>
            </w:r>
          </w:p>
          <w:p>
            <w:pPr>
              <w:pStyle w:val="ConsPlusNonformat"/>
              <w:widowControl w:val="false"/>
              <w:shd w:val="clear" w:fill="FFFFFF"/>
              <w:spacing w:lineRule="auto" w:line="240"/>
              <w:rPr>
                <w:rFonts w:ascii="Times New Roman" w:hAnsi="Times New Roman" w:cs="Times New Roman"/>
                <w:kern w:val="2"/>
                <w:sz w:val="18"/>
                <w:szCs w:val="18"/>
              </w:rPr>
            </w:pPr>
            <w:r>
              <w:rPr>
                <w:rFonts w:cs="Times New Roman" w:ascii="Times New Roman" w:hAnsi="Times New Roman"/>
                <w:kern w:val="2"/>
                <w:sz w:val="18"/>
                <w:szCs w:val="18"/>
              </w:rPr>
            </w:r>
          </w:p>
          <w:p>
            <w:pPr>
              <w:pStyle w:val="ConsPlusNonformat"/>
              <w:widowControl w:val="false"/>
              <w:shd w:val="clear" w:fill="FFFFFF"/>
              <w:spacing w:lineRule="auto" w:line="240"/>
              <w:rPr>
                <w:rFonts w:ascii="Times New Roman" w:hAnsi="Times New Roman" w:cs="Times New Roman"/>
                <w:kern w:val="2"/>
                <w:sz w:val="18"/>
                <w:szCs w:val="18"/>
              </w:rPr>
            </w:pPr>
            <w:r>
              <w:rPr>
                <w:rFonts w:cs="Times New Roman" w:ascii="Times New Roman" w:hAnsi="Times New Roman"/>
                <w:kern w:val="2"/>
                <w:sz w:val="18"/>
                <w:szCs w:val="18"/>
              </w:rPr>
            </w:r>
          </w:p>
          <w:p>
            <w:pPr>
              <w:pStyle w:val="ConsPlusNonformat"/>
              <w:widowControl w:val="false"/>
              <w:shd w:val="clear" w:fill="FFFFFF"/>
              <w:overflowPunct w:val="true"/>
              <w:snapToGrid w:val="false"/>
              <w:spacing w:lineRule="auto" w:line="240" w:before="0" w:after="200"/>
              <w:ind w:hanging="0" w:right="145"/>
              <w:jc w:val="both"/>
              <w:textAlignment w:val="baseline"/>
              <w:rPr>
                <w:rFonts w:ascii="Times New Roman" w:hAnsi="Times New Roman"/>
                <w:sz w:val="18"/>
                <w:szCs w:val="18"/>
              </w:rPr>
            </w:pP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zxx" w:eastAsia="ru-RU" w:bidi="ar-SA"/>
              </w:rPr>
              <w:t xml:space="preserve">_____________________/ </w:t>
            </w:r>
            <w:r>
              <w:rPr>
                <w:rStyle w:val="Style26"/>
                <w:rFonts w:eastAsia="Times New Roman" w:cs="Times New Roman" w:ascii="Times New Roman" w:hAnsi="Times New Roman"/>
                <w:b w:val="false"/>
                <w:bCs/>
                <w:i w:val="false"/>
                <w:caps w:val="false"/>
                <w:smallCaps w:val="false"/>
                <w:color w:val="00000A"/>
                <w:spacing w:val="0"/>
                <w:kern w:val="2"/>
                <w:sz w:val="18"/>
                <w:szCs w:val="18"/>
                <w:u w:val="none"/>
                <w:shd w:fill="FFFFFF" w:val="clear"/>
                <w:lang w:val="ru-RU" w:eastAsia="ru-RU" w:bidi="ar-SA"/>
              </w:rPr>
              <w:t>Н.И.Курочкина</w:t>
            </w:r>
          </w:p>
          <w:p>
            <w:pPr>
              <w:pStyle w:val="ConsPlusNonformat"/>
              <w:widowControl w:val="false"/>
              <w:shd w:val="clear" w:fill="FFFFFF"/>
              <w:overflowPunct w:val="false"/>
              <w:spacing w:lineRule="auto" w:line="240"/>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BodyText"/>
              <w:widowControl w:val="false"/>
              <w:overflowPunct w:val="true"/>
              <w:spacing w:before="0" w:after="0"/>
              <w:ind w:hanging="0" w:left="567" w:right="0"/>
              <w:contextualSpacing/>
              <w:jc w:val="both"/>
              <w:textAlignment w:val="baseline"/>
              <w:rPr>
                <w:sz w:val="18"/>
                <w:szCs w:val="18"/>
              </w:rPr>
            </w:pPr>
            <w:r>
              <w:rPr>
                <w:sz w:val="18"/>
                <w:szCs w:val="18"/>
              </w:rPr>
            </w:r>
          </w:p>
        </w:tc>
        <w:tc>
          <w:tcPr>
            <w:tcW w:w="4875" w:type="dxa"/>
            <w:tcBorders>
              <w:bottom w:val="single" w:sz="4" w:space="0" w:color="000000"/>
            </w:tcBorders>
          </w:tcPr>
          <w:p>
            <w:pPr>
              <w:pStyle w:val="Normal"/>
              <w:widowControl w:val="false"/>
              <w:spacing w:before="0" w:after="200"/>
              <w:jc w:val="left"/>
              <w:rPr>
                <w:rFonts w:ascii="Times New Roman" w:hAnsi="Times New Roman"/>
                <w:b/>
                <w:bCs/>
                <w:sz w:val="20"/>
                <w:szCs w:val="20"/>
              </w:rPr>
            </w:pPr>
            <w:r>
              <w:rPr>
                <w:rFonts w:ascii="Times New Roman" w:hAnsi="Times New Roman"/>
                <w:b/>
                <w:bCs/>
                <w:sz w:val="20"/>
                <w:szCs w:val="20"/>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_____________________ 202</w:t>
      </w:r>
      <w:r>
        <w:rPr>
          <w:sz w:val="18"/>
          <w:szCs w:val="18"/>
        </w:rPr>
        <w:t>6</w:t>
      </w:r>
      <w:r>
        <w:rPr>
          <w:sz w:val="18"/>
          <w:szCs w:val="18"/>
        </w:rPr>
        <w:t xml:space="preserve"> г. N </w:t>
      </w:r>
    </w:p>
    <w:p>
      <w:pPr>
        <w:pStyle w:val="ConsPlusNormal1"/>
        <w:jc w:val="right"/>
        <w:rPr>
          <w:sz w:val="18"/>
          <w:szCs w:val="18"/>
        </w:rPr>
      </w:pPr>
      <w:r>
        <w:rPr>
          <w:sz w:val="18"/>
          <w:szCs w:val="18"/>
        </w:rPr>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 xml:space="preserve">к Контракту от "__" _____ 2025 г. N </w:t>
      </w:r>
    </w:p>
    <w:p>
      <w:pPr>
        <w:pStyle w:val="ConsPlusNormal1"/>
        <w:jc w:val="center"/>
        <w:rPr>
          <w:sz w:val="18"/>
          <w:szCs w:val="18"/>
        </w:rPr>
      </w:pPr>
      <w:r>
        <w:rPr>
          <w:sz w:val="18"/>
          <w:szCs w:val="18"/>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9"/>
        <w:gridCol w:w="1873"/>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DejaVuSans-Bold">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style>
  <w:style w:type="character" w:styleId="Style12">
    <w:name w:val="Символ сноски"/>
    <w:qFormat/>
    <w:rPr>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4">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4">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qFormat/>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DOU-Terem-Teremok@mail.ru" TargetMode="External"/><Relationship Id="rId17" Type="http://schemas.openxmlformats.org/officeDocument/2006/relationships/hyperlink" Target="mailto:DOU-Terem-Teremo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139</TotalTime>
  <Application>LibreOffice/26.2.4.2$Windows_X86_64 LibreOffice_project/0229ac93fcf0d7cbc6376066c6f35021cef002dc</Application>
  <AppVersion>15.0000</AppVersion>
  <Pages>9</Pages>
  <Words>4475</Words>
  <Characters>31804</Characters>
  <CharactersWithSpaces>36171</CharactersWithSpaces>
  <Paragraphs>279</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2025-08-29T09:21:48Z</cp:lastPrinted>
  <dcterms:modified xsi:type="dcterms:W3CDTF">2026-08-07T09:30:07Z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