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83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№ ___/2026-Е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83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right="-1"/>
        <w:jc w:val="both"/>
        <w:spacing w:after="0" w:line="283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Екатеринбург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                 «___» ___________ 2026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-1"/>
        <w:jc w:val="both"/>
        <w:spacing w:after="0" w:line="283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Департамент по недропользованию по Уральскому федеральному округу,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«Заказчик»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лице заместителя начальника Департамента – начальника отдела экономики, администрирования доходов, бюджетной отчетности и закупок Мартюшевой Ксении Николаевны, действующего на основании Доверенности № б/н от 14.01.2026 г., с одной стороны,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__________________________________,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«Поставщик»,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в лице 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 другой стороны, а вместе именуемые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«Стороны»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п.4 ч.1 ст.93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заключили настоящий договор 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нижеследующем: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4"/>
        </w:numPr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84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авщик обязуется поставить Жалюзи (далее Товар) в ассортименте, количестве и по цене, указанной в Приложении №1 к настоящему договору, являющимся его неотъемлемой частью), а Заказчик обязуется принять и оплатить Товар согласно условиям настоящего договора.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4"/>
        <w:numPr>
          <w:ilvl w:val="1"/>
          <w:numId w:val="1"/>
        </w:numPr>
        <w:ind w:left="0" w:firstLine="709"/>
        <w:jc w:val="both"/>
        <w:spacing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Качество и комплектность поставляемого Товара должны соответствовать назначению Товара, требованиям, предъявляемым к техническим характеристикам Товара в стране производителя, а также действующим в РФ стандартам и техническим условиям.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1.3. </w:t>
      </w:r>
      <w:bookmarkStart w:id="0" w:name="_Hlk19016076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и монтаж товара осуществляется в течение 2 (двух) рабочих дней по адресу г. Екатеринбург, ул. Вайнера, 55, каб.233.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Отгрузка Товара осуществляется по предварительному звонку, силами и за счет средств Поставщика с Понедельника по Четверг с 09:00 до 17:00, в Пятницу с 09:00 до 16:00, исключая время обеда   с 13:00 до 14:00 часов по местному времени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bookmarkStart w:id="1" w:name="_GoBack"/>
      <w:r/>
      <w:bookmarkEnd w:id="1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1.4.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считается выполненной на основании подписания товарной накладной (или УПД), при отсутствии у Заказчика претензий и замечаний к количеству и качеству поставленного товара.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6"/>
        <w:ind w:left="709"/>
        <w:jc w:val="center"/>
        <w:spacing w:line="276" w:lineRule="auto"/>
        <w:rPr>
          <w:b/>
          <w:szCs w:val="24"/>
        </w:rPr>
      </w:pPr>
      <w:r>
        <w:rPr>
          <w:b/>
          <w:szCs w:val="24"/>
        </w:rPr>
        <w:t xml:space="preserve">2. Права и обязанности сторон</w:t>
      </w:r>
      <w:r>
        <w:rPr>
          <w:b/>
          <w:szCs w:val="24"/>
        </w:rPr>
      </w:r>
    </w:p>
    <w:p>
      <w:pPr>
        <w:pStyle w:val="886"/>
        <w:ind w:firstLine="709"/>
        <w:jc w:val="both"/>
        <w:spacing w:line="276" w:lineRule="auto"/>
        <w:rPr>
          <w:bCs/>
          <w:szCs w:val="24"/>
        </w:rPr>
      </w:pPr>
      <w:r>
        <w:rPr>
          <w:bCs/>
          <w:szCs w:val="24"/>
        </w:rPr>
        <w:t xml:space="preserve">2.1. Поставщик обязуется:</w:t>
      </w:r>
      <w:r>
        <w:rPr>
          <w:bCs/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2.1.1. Передать Товар Заказчику в соответствии с условиями настоящего Договора.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2.1.2. Исполнитель должен обладать необходимым опытом и деловой репутацией, соответствовать требованиям, предъявляемым к Исполнителю.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2.1.3. Поставить Товар, свободный от прав третьих лиц.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2.1.4. Обеспечить упаковку Товара и тару, обеспечивающую сохранность Товара при транспортировке и хранении.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2.1.5. Нести гарантийные обязательства за Товар и его поставку.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2.1.6. Заблаговременно извещать Заказчика о сроках окончания работ.    </w:t>
      </w:r>
      <w:r>
        <w:rPr>
          <w:szCs w:val="24"/>
        </w:rPr>
      </w:r>
    </w:p>
    <w:p>
      <w:pPr>
        <w:pStyle w:val="886"/>
        <w:ind w:firstLine="709"/>
        <w:jc w:val="both"/>
        <w:spacing w:line="283" w:lineRule="auto"/>
      </w:pPr>
      <w:r>
        <w:rPr>
          <w:szCs w:val="24"/>
        </w:rPr>
        <w:t xml:space="preserve">2.1.7.Своевременно и надлежащим образом поставить товар в соответствии с требованиями, предъявляемыми </w:t>
      </w:r>
      <w:r>
        <w:rPr>
          <w:szCs w:val="24"/>
        </w:rPr>
        <w:t xml:space="preserve">к нему настоящим договором и его приложениями, законодательством Российской Федерации, и представить Заказчику необходимые документы (счет, счет-фактура, товарная накладная или УПД, иные отчетные документы) в течении 5 (пяти) рабочих дней с даты поставки. </w:t>
      </w:r>
      <w:r/>
    </w:p>
    <w:p>
      <w:pPr>
        <w:pStyle w:val="886"/>
        <w:jc w:val="both"/>
        <w:spacing w:line="276" w:lineRule="auto"/>
        <w:rPr>
          <w:szCs w:val="24"/>
        </w:rPr>
      </w:pPr>
      <w:r>
        <w:rPr>
          <w:szCs w:val="24"/>
        </w:rPr>
        <w:t xml:space="preserve">           2.1.8. В случае обнаружения Заказчиком скрытых недостатков в Товаре, Поставщик обязан произвести замену Товара или вернуть стоимость некачественного Товара в течении 14 дней с даты получения По</w:t>
      </w:r>
      <w:r>
        <w:rPr>
          <w:szCs w:val="24"/>
        </w:rPr>
        <w:t xml:space="preserve">ставщиком требования Заказчика о замене Товара. Требования Заказчика рассматриваются Поставщиком при предъявлении им письменного заключения сервисной службы о наличии в Товаре недостатков и причинах его возникновения, а также отгрузочных документов.       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bCs/>
          <w:szCs w:val="24"/>
        </w:rPr>
        <w:t xml:space="preserve">2.2. </w:t>
      </w:r>
      <w:r>
        <w:rPr>
          <w:szCs w:val="24"/>
        </w:rPr>
        <w:t xml:space="preserve">Заказчик обязан: 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2.2.1. Осуществить приемку Товара в соответствии с условиями настоящего Договора.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szCs w:val="24"/>
        </w:rPr>
      </w:pPr>
      <w:r>
        <w:rPr>
          <w:szCs w:val="24"/>
        </w:rPr>
        <w:t xml:space="preserve">2.2.2. Удостовериться в соответствии номенклатуры, количества, качества товара, указанного в накладной и фактически полученного Товара.</w:t>
      </w:r>
      <w:r>
        <w:rPr>
          <w:szCs w:val="24"/>
        </w:rPr>
      </w:r>
    </w:p>
    <w:p>
      <w:pPr>
        <w:pStyle w:val="886"/>
        <w:ind w:firstLine="709"/>
        <w:jc w:val="both"/>
        <w:spacing w:line="276" w:lineRule="auto"/>
        <w:rPr>
          <w:bCs/>
          <w:szCs w:val="24"/>
        </w:rPr>
      </w:pPr>
      <w:r>
        <w:rPr>
          <w:bCs/>
          <w:szCs w:val="24"/>
        </w:rPr>
        <w:t xml:space="preserve">2.3. Заказчик имеет право:</w:t>
      </w:r>
      <w:r>
        <w:rPr>
          <w:bCs/>
          <w:szCs w:val="24"/>
        </w:rPr>
      </w:r>
    </w:p>
    <w:p>
      <w:pPr>
        <w:pStyle w:val="886"/>
        <w:ind w:firstLine="709"/>
        <w:jc w:val="both"/>
        <w:spacing w:line="276" w:lineRule="auto"/>
      </w:pPr>
      <w:r>
        <w:rPr>
          <w:szCs w:val="24"/>
        </w:rPr>
        <w:t xml:space="preserve">2.3.1</w:t>
      </w:r>
      <w:r>
        <w:t xml:space="preserve">. В случае обнаружения недостатков при сдаче-приемке поставленного Товара, Заказчик вправе потребовать от Поставщика безвозмездного устранения недостатков.</w:t>
      </w:r>
      <w:r/>
    </w:p>
    <w:p>
      <w:pPr>
        <w:pStyle w:val="886"/>
        <w:ind w:firstLine="709"/>
        <w:jc w:val="both"/>
        <w:spacing w:line="276" w:lineRule="auto"/>
      </w:pPr>
      <w:r/>
      <w:r/>
    </w:p>
    <w:p>
      <w:pPr>
        <w:pStyle w:val="888"/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Цена, форма оплаты и порядок расчетов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 Цена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составляет ________ (______________________) рублей 00 копеек, с/без НДС (далее по тексту – цена настоящего договора).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2" w:name="_Hlk14862037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цену наст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оящего договора включены все расходы Исполнителя, производимые им в процессе выполнения работ, в том числе расходы на страхование, уплату налогов, сборов, других обязательных платежей и иные расходы Исполнителя, связанные с исполнением настоящего договора.</w:t>
      </w:r>
      <w:bookmarkEnd w:id="2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Оплата по настоящему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производится за счет средств федерального бюджета в рублях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bookmarkStart w:id="3" w:name="_Hlk14862042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настоящего договора, которая определяется на весь срок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исполнения настоящего договора, является твер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дой и не может изменяться в ходе его исполнения, за исключением случаев, предусмотренных статьей 95 Федерального закона от 05.04.2013 №44-ФЗ "О контрактной системе в сфере закупок товаров, работ, услуг для обеспечения государственных и муниципальных нужд".</w:t>
      </w:r>
      <w:bookmarkEnd w:id="3"/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3.4. </w:t>
      </w:r>
      <w:bookmarkStart w:id="4" w:name="_Hlk148620454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плата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настоящему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производится Заказчиком в течение </w:t>
      </w:r>
      <w:r>
        <w:rPr>
          <w:rFonts w:ascii="Times New Roman" w:hAnsi="Times New Roman" w:cs="Times New Roman"/>
          <w:sz w:val="24"/>
          <w:szCs w:val="24"/>
        </w:rPr>
        <w:t xml:space="preserve">7 (семи) рабочих дней с момента подписания Заказчиком Заказ-наряда и акта выполненных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работ.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3.5. В случае неисполнения или ненадлежащего исполнения Исполнителем своих обязательств, Заказчик составляет Претензию в адрес Исполнителя требованием уплатить сумму пени и /или штрафов, начисленную в порядке, предусмотренном в Разделе 4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 указанием срока оплаты. В случае отказа Исполнителя оплатить сумму пени и /или штрафов,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проведении расчёта с Исполнителем, оплата оказанной услуги может производиться в размере суммы, уменьшенной на сумму пени и /или штрафов в порядке, предусмотренном в Разделе 4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таком случае, оплата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настоящему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осуществляется на основании акта приема-передачи работ, в котором указываются: сумма, подлежащая оплате в соответствии с условиями заключенного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Исполнителю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 вычетом штрафа, пени, предусмотренных настоящим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В таком случае, исполнение обязательства Исполнителя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перечислению неустойки (штрафа, пеней) в доход бюджетов бюджетной системы РФ возлагается на Заказчика.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3.6. Сумма, подлежащая уплате заказчиком юридическом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ущерба, убытков и уплата штрафов и пеней не освобождает виновную сторону от выполнения своих обязательств по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просрочки исполнения Исполнителем обязательств, предусмотренных договором, Заказчик направляет Исполнителю требование об уплате неустойки (штрафа, пеней).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 и устанавливается в размере, определенном в порядке, установленном Правительством Российской Федерации, но не 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енее чем одна трехсотая действующей на день уплаты пени 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договором, Исполнитель выплачивает Заказчику штраф в размере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 освобождается от уплаты неустойки (штрафа, пеней), если докажет, 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 просрочка исполнения указанных обязательств произошла вследствие непреодолимой силы или по вине Заказчика. 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неисполнение или ненадлежащее исполнение Заказчиком обязательств, предусмотренных договором, за исключением просрочки исполнения Заказчиком обязательств, предусмотренных договором, Заказчик выплачивает Исполнителю штраф в размере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освобождается от уплаты неустойки (штрафа, пеней), если докажет, что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просрочка исполнения указанных обязательств произошла вследствие непреодолимой силы или по вине Исполнителя. 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  В случае нарушений одной из сторон обязательств по договору другая сторона вправе: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потребовать устранения недостатков, возникших вследствие отступления от договора;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в случае не устранения недостатков в течение 15 (пятнадцати) календарных дней, после письменного направления соответствующих претензий потребовать досрочного расторжения договора в одностороннем порядке.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 При изменении юридического статуса, местонахождения согласно учредительным документам либо банковских реквизитов Стороны, письменно информируют об этом друг друга в срок не позднее 10 (десяти) календарных дней с момента их изменения.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4.4. Споры по настоящему договору разрешаются в соответствии с действующим законодательством Российской Федерации в Арбитражном суде по месту нахождения ответчика.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Форс-мажорные ситуации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88"/>
        <w:numPr>
          <w:ilvl w:val="1"/>
          <w:numId w:val="2"/>
        </w:numPr>
        <w:ind w:left="0"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в ходе оказания работ обнаруживается невозможность исполнения  Сторонами обязательств по догово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 Стороны не могли предвидеть и неблагоприятные последствия которых не могут предотвратить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предусмотренные договором сроки,  Сторона обязана в трехдневный срок письменно известить другую Сторо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ну о наступлении таких обстоятельств,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договора, либо об изменении условий договора.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1"/>
          <w:numId w:val="2"/>
        </w:numPr>
        <w:ind w:left="0"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результате переговоров составляется двухсторонний акт, подписанный Сторонами.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ind w:left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Порядок расторжения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Расторжение настоящего договора допускается по соглашению Сторон, по решению суда, в случае одностороннего отказа Стороны от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сполнения настоящего договора в соответствии с гражданским законодательством. При расторжении настоящего договора по обоюдному согласию Стороны определяют и производят взаиморасчеты по возмещению понесенных затрат и убытков по предмету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Заказчик вправе в одностороннем порядке отказаться от исполнения настоящего договора в случае, если: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6.2.1. Поставщик поставляет Товар ненадлежащего качества с недостатками, которые не могут быть устранены в приемлемый для Заказчика срок;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6.2.2. Поставщик нарушил сроки поставки Товаров.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6.3. Заказчик также вправе в одностороннем порядке отказаться от исполнения настоящего договора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6.4. Сторона, которой направлено предложение о расторжении настоящего договора по соглашению сторон, должна дать письменный ответ, по существу, в срок, не превышающий 5 (пяти) рабочих дней с даты его получения.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6.5. 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Изменение и дополнения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7.1.  Изменения и дополнения условий настоящего договора должны совершаться в письменной форме путем заключения Сторонами дополнительных соглашений.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 В случае изменения своего наименования, организационно-правовой формы, местонахожде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ния, контактной информации Стороны обязуются направить в трехдневный срок соответствующие письменные уведомления на бланке организации, при этом дополнительные соглашения в письменной форме не заключаются, в таком случае действует уведомительный порядок.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 При исполнении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настоящего договора не допускается перемена Исполнителя, за исключением случая,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 В случае перемены Заказчика права и обязанности Заказчика, предусмотренные настоящим договором, переходят к новому Заказчику.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2"/>
        </w:numPr>
        <w:ind w:left="0" w:firstLine="709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8.1. Настоящий договор вступает в силу с момента подписания его Сторонами и действует по 30.09.2026 г., а в части расчетов – до полного исполнения Сторонами своих обязательств по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8.2. Окончание срока действия настоящего договора не освобождает Стороны от исполнения обязательств по настоящему договору в случае, если такие обязательства не исполнены Сторонами до окончания срока действия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8.3. Во всем,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8.4. Вся переписка между Заказчиком и Исполнителем осуществляется на официальных бланках, подписанных уполномоченными лицами, нарочно или в отсканированном виде по адресам электронной почты, указанным в Разделе 9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8.5 Стороны признают, что любая без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сключений юридически значимая корреспонденция, отправленная с адресов электронной почты, указанных в разделе 9 настоящего договора, является направленной от надлежащим образом уполномоченных представителей Сторон и имеет обязательную для обеих Сторон силу.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8.6 Стороны обязуются сообщать друг другу обо всех случаях взлома или иного несанкционированного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доступа к их электронным почтовым ящикам. В отсутствие такого уведомления 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8.7 Датой передачи соответствующего сообщения по электронной почте считается день отправления такого сообщения.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88"/>
        <w:numPr>
          <w:ilvl w:val="0"/>
          <w:numId w:val="2"/>
        </w:numPr>
        <w:jc w:val="center"/>
        <w:spacing w:after="0" w:line="283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Реквизиты сторон и подписи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5245"/>
        <w:gridCol w:w="4678"/>
      </w:tblGrid>
      <w:tr>
        <w:tblPrEx/>
        <w:trPr>
          <w:trHeight w:val="851"/>
        </w:trPr>
        <w:tc>
          <w:tcPr>
            <w:shd w:val="clear" w:color="auto" w:fill="auto"/>
            <w:tcW w:w="5245" w:type="dxa"/>
            <w:textDirection w:val="lrTb"/>
            <w:noWrap w:val="false"/>
          </w:tcPr>
          <w:p>
            <w:pPr>
              <w:spacing w:after="0" w:line="283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Департамент по недропользованию </w:t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по Уральскому федеральному округу</w:t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Юридический адрес: 620014, 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 Екатеринбург, ул. Вайнера, 55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Телефон: +7 (343) 257-84-59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ural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@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rosnedra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gov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cs="Times New Roman"/>
                <w:sz w:val="24"/>
                <w:szCs w:val="24"/>
                <w:lang w:val="en-US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6671153800 КПП 667101001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after="0" w:line="240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ОКЦ № 1 СибГУ Банка России//УФК по Новосибирской области г. Новосибирск 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 казначейского счета 03211643000000015113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Номер единого казначейского счета 40102810445370000043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БИК 015004950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Лицевой счет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03621777520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_____________________/Мартюшева К.Н./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«___»________________2026 г.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4678" w:type="dxa"/>
            <w:textDirection w:val="lrTb"/>
            <w:noWrap w:val="false"/>
          </w:tcPr>
          <w:p>
            <w:pPr>
              <w:jc w:val="both"/>
              <w:spacing w:after="0" w:line="283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 / _____________ /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59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59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_____________ 2026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81"/>
              <w:ind w:left="20" w:right="34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М.П.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keepNext/>
        <w:spacing w:after="0" w:line="240" w:lineRule="auto"/>
        <w:tabs>
          <w:tab w:val="left" w:pos="7309" w:leader="none"/>
          <w:tab w:val="left" w:pos="985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5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625" w:type="dxa"/>
        <w:tblLayout w:type="fixed"/>
        <w:tblLook w:val="0000" w:firstRow="0" w:lastRow="0" w:firstColumn="0" w:lastColumn="0" w:noHBand="0" w:noVBand="0"/>
      </w:tblPr>
      <w:tblGrid>
        <w:gridCol w:w="5103"/>
        <w:gridCol w:w="4522"/>
      </w:tblGrid>
      <w:tr>
        <w:tblPrEx/>
        <w:trPr>
          <w:trHeight w:val="981"/>
        </w:trPr>
        <w:tc>
          <w:tcPr>
            <w:tcW w:w="51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52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</w:pPr>
      <w:r/>
      <w:r/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Договору№___/2026-Е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«___»____________2026 г.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pPr w:horzAnchor="text" w:tblpXSpec="center" w:vertAnchor="text" w:tblpY="1" w:leftFromText="180" w:topFromText="0" w:rightFromText="180" w:bottomFromText="160"/>
        <w:tblW w:w="10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3611"/>
        <w:gridCol w:w="1276"/>
        <w:gridCol w:w="1277"/>
        <w:gridCol w:w="963"/>
        <w:gridCol w:w="1540"/>
        <w:gridCol w:w="1323"/>
      </w:tblGrid>
      <w:tr>
        <w:tblPrEx/>
        <w:trPr>
          <w:trHeight w:val="27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08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1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Место поставки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40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Цена за ед. изм., руб. с/без НДС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Сумма, руб. с/без НДС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8" w:type="dxa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 xml:space="preserve">г. Екатеринбург, ул. Вайнера, 55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8" w:type="dxa"/>
            <w:textDirection w:val="lrTb"/>
            <w:noWrap w:val="false"/>
          </w:tcPr>
          <w:p>
            <w:pPr>
              <w:contextualSpacing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1" w:type="dxa"/>
            <w:textDirection w:val="lrTb"/>
            <w:noWrap w:val="false"/>
          </w:tcPr>
          <w:p>
            <w:pPr>
              <w:contextualSpacing/>
              <w:spacing w:after="0" w:line="0" w:lineRule="atLeas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Рулонные шторы Зебра Бентин,2050х2350 мм</w:t>
            </w:r>
            <w:r/>
          </w:p>
          <w:p>
            <w:pPr>
              <w:contextualSpacing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Стандарт коричневый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каб.233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8" w:type="dxa"/>
            <w:textDirection w:val="lrTb"/>
            <w:noWrap w:val="false"/>
          </w:tcPr>
          <w:p>
            <w:pPr>
              <w:contextualSpacing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1" w:type="dxa"/>
            <w:textDirection w:val="lrTb"/>
            <w:noWrap w:val="false"/>
          </w:tcPr>
          <w:p>
            <w:pPr>
              <w:contextualSpacing/>
              <w:spacing w:after="0" w:line="0" w:lineRule="atLeas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Рулонные шторы Зебра Бентин,2005х2350 мм</w:t>
            </w:r>
            <w:r/>
          </w:p>
          <w:p>
            <w:pPr>
              <w:contextualSpacing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Стандарт коричневый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каб.233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tabs>
          <w:tab w:val="left" w:pos="49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Всего наименований 2 на сумму _______(_______________) рублей 00 копеек, с /без НДС.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tabs>
          <w:tab w:val="left" w:pos="49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Заместитель начальника Департамента – начальник отдела экономики, администрирования доходов, бюджетной отчетности и закупок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_________________/Мартюшева К.Н./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881"/>
              <w:ind w:left="20" w:right="511" w:hanging="20"/>
              <w:spacing w:before="0" w:after="0" w:line="283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«___»________________2026 г.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 / _____________ /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59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line="259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______________________ 2026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567" w:right="567" w:bottom="567" w:left="1134" w:header="709" w:footer="42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Microsoft Sans Serif">
    <w:panose1 w:val="020B0506020203020204"/>
  </w:font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76380989"/>
      <w:docPartObj>
        <w:docPartGallery w:val="Page Numbers (Bottom of Page)"/>
        <w:docPartUnique w:val="true"/>
      </w:docPartObj>
      <w:rPr/>
    </w:sdtPr>
    <w:sdtContent>
      <w:p>
        <w:pPr>
          <w:pStyle w:val="87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907" w:hanging="623"/>
        <w:tabs>
          <w:tab w:val="num" w:pos="1421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5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90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7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32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21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 w:default="1">
    <w:name w:val="Normal"/>
    <w:qFormat/>
  </w:style>
  <w:style w:type="paragraph" w:styleId="686">
    <w:name w:val="Heading 1"/>
    <w:basedOn w:val="685"/>
    <w:link w:val="885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87">
    <w:name w:val="Heading 2"/>
    <w:basedOn w:val="685"/>
    <w:next w:val="685"/>
    <w:link w:val="71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8">
    <w:name w:val="Heading 3"/>
    <w:basedOn w:val="685"/>
    <w:next w:val="685"/>
    <w:link w:val="895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689">
    <w:name w:val="Heading 4"/>
    <w:basedOn w:val="685"/>
    <w:next w:val="685"/>
    <w:link w:val="71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685"/>
    <w:next w:val="685"/>
    <w:link w:val="71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685"/>
    <w:next w:val="685"/>
    <w:link w:val="71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2">
    <w:name w:val="Heading 7"/>
    <w:basedOn w:val="685"/>
    <w:next w:val="685"/>
    <w:link w:val="71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3">
    <w:name w:val="Heading 8"/>
    <w:basedOn w:val="685"/>
    <w:next w:val="685"/>
    <w:link w:val="71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4">
    <w:name w:val="Heading 9"/>
    <w:basedOn w:val="685"/>
    <w:next w:val="685"/>
    <w:link w:val="72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 w:customStyle="1">
    <w:name w:val="Heading 2 Char"/>
    <w:basedOn w:val="695"/>
    <w:uiPriority w:val="9"/>
    <w:rPr>
      <w:rFonts w:ascii="Arial" w:hAnsi="Arial" w:eastAsia="Arial" w:cs="Arial"/>
      <w:sz w:val="34"/>
    </w:rPr>
  </w:style>
  <w:style w:type="character" w:styleId="699" w:customStyle="1">
    <w:name w:val="Heading 4 Char"/>
    <w:basedOn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Heading 5 Char"/>
    <w:basedOn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Heading 6 Char"/>
    <w:basedOn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Heading 7 Char"/>
    <w:basedOn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Heading 8 Char"/>
    <w:basedOn w:val="695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Heading 9 Char"/>
    <w:basedOn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705" w:customStyle="1">
    <w:name w:val="Title Char"/>
    <w:basedOn w:val="695"/>
    <w:uiPriority w:val="10"/>
    <w:rPr>
      <w:sz w:val="48"/>
      <w:szCs w:val="48"/>
    </w:rPr>
  </w:style>
  <w:style w:type="character" w:styleId="706" w:customStyle="1">
    <w:name w:val="Subtitle Char"/>
    <w:basedOn w:val="695"/>
    <w:uiPriority w:val="11"/>
    <w:rPr>
      <w:sz w:val="24"/>
      <w:szCs w:val="24"/>
    </w:rPr>
  </w:style>
  <w:style w:type="character" w:styleId="707" w:customStyle="1">
    <w:name w:val="Quote Char"/>
    <w:uiPriority w:val="29"/>
    <w:rPr>
      <w:i/>
    </w:rPr>
  </w:style>
  <w:style w:type="character" w:styleId="708" w:customStyle="1">
    <w:name w:val="Intense Quote Char"/>
    <w:uiPriority w:val="30"/>
    <w:rPr>
      <w:i/>
    </w:rPr>
  </w:style>
  <w:style w:type="character" w:styleId="709" w:customStyle="1">
    <w:name w:val="Caption Char"/>
    <w:basedOn w:val="695"/>
    <w:uiPriority w:val="35"/>
    <w:rPr>
      <w:b/>
      <w:bCs/>
      <w:color w:val="4f81bd" w:themeColor="accent1"/>
      <w:sz w:val="18"/>
      <w:szCs w:val="18"/>
    </w:rPr>
  </w:style>
  <w:style w:type="character" w:styleId="710" w:customStyle="1">
    <w:name w:val="Footnote Text Char"/>
    <w:uiPriority w:val="99"/>
    <w:rPr>
      <w:sz w:val="18"/>
    </w:rPr>
  </w:style>
  <w:style w:type="character" w:styleId="711" w:customStyle="1">
    <w:name w:val="Endnote Text Char"/>
    <w:uiPriority w:val="99"/>
    <w:rPr>
      <w:sz w:val="20"/>
    </w:rPr>
  </w:style>
  <w:style w:type="character" w:styleId="712" w:customStyle="1">
    <w:name w:val="Heading 1 Char"/>
    <w:basedOn w:val="695"/>
    <w:uiPriority w:val="9"/>
    <w:rPr>
      <w:rFonts w:ascii="Arial" w:hAnsi="Arial" w:eastAsia="Arial" w:cs="Arial"/>
      <w:sz w:val="40"/>
      <w:szCs w:val="40"/>
    </w:rPr>
  </w:style>
  <w:style w:type="character" w:styleId="713" w:customStyle="1">
    <w:name w:val="Заголовок 2 Знак"/>
    <w:basedOn w:val="695"/>
    <w:link w:val="687"/>
    <w:uiPriority w:val="9"/>
    <w:rPr>
      <w:rFonts w:ascii="Arial" w:hAnsi="Arial" w:eastAsia="Arial" w:cs="Arial"/>
      <w:sz w:val="34"/>
    </w:rPr>
  </w:style>
  <w:style w:type="character" w:styleId="714" w:customStyle="1">
    <w:name w:val="Heading 3 Char"/>
    <w:basedOn w:val="695"/>
    <w:uiPriority w:val="9"/>
    <w:rPr>
      <w:rFonts w:ascii="Arial" w:hAnsi="Arial" w:eastAsia="Arial" w:cs="Arial"/>
      <w:sz w:val="30"/>
      <w:szCs w:val="30"/>
    </w:rPr>
  </w:style>
  <w:style w:type="character" w:styleId="715" w:customStyle="1">
    <w:name w:val="Заголовок 4 Знак"/>
    <w:basedOn w:val="695"/>
    <w:link w:val="689"/>
    <w:uiPriority w:val="9"/>
    <w:rPr>
      <w:rFonts w:ascii="Arial" w:hAnsi="Arial" w:eastAsia="Arial" w:cs="Arial"/>
      <w:b/>
      <w:bCs/>
      <w:sz w:val="26"/>
      <w:szCs w:val="26"/>
    </w:rPr>
  </w:style>
  <w:style w:type="character" w:styleId="716" w:customStyle="1">
    <w:name w:val="Заголовок 5 Знак"/>
    <w:basedOn w:val="695"/>
    <w:link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717" w:customStyle="1">
    <w:name w:val="Заголовок 6 Знак"/>
    <w:basedOn w:val="695"/>
    <w:link w:val="691"/>
    <w:uiPriority w:val="9"/>
    <w:rPr>
      <w:rFonts w:ascii="Arial" w:hAnsi="Arial" w:eastAsia="Arial" w:cs="Arial"/>
      <w:b/>
      <w:bCs/>
      <w:sz w:val="22"/>
      <w:szCs w:val="22"/>
    </w:rPr>
  </w:style>
  <w:style w:type="character" w:styleId="718" w:customStyle="1">
    <w:name w:val="Заголовок 7 Знак"/>
    <w:basedOn w:val="69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9" w:customStyle="1">
    <w:name w:val="Заголовок 8 Знак"/>
    <w:basedOn w:val="69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character" w:styleId="720" w:customStyle="1">
    <w:name w:val="Заголовок 9 Знак"/>
    <w:basedOn w:val="69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685"/>
    <w:next w:val="685"/>
    <w:link w:val="722"/>
    <w:uiPriority w:val="10"/>
    <w:qFormat/>
    <w:pPr>
      <w:contextualSpacing/>
      <w:spacing w:before="300"/>
    </w:pPr>
    <w:rPr>
      <w:sz w:val="48"/>
      <w:szCs w:val="48"/>
    </w:rPr>
  </w:style>
  <w:style w:type="character" w:styleId="722" w:customStyle="1">
    <w:name w:val="Название Знак"/>
    <w:basedOn w:val="695"/>
    <w:link w:val="721"/>
    <w:uiPriority w:val="10"/>
    <w:rPr>
      <w:sz w:val="48"/>
      <w:szCs w:val="48"/>
    </w:rPr>
  </w:style>
  <w:style w:type="paragraph" w:styleId="723">
    <w:name w:val="Subtitle"/>
    <w:basedOn w:val="685"/>
    <w:next w:val="685"/>
    <w:link w:val="724"/>
    <w:uiPriority w:val="11"/>
    <w:qFormat/>
    <w:pPr>
      <w:spacing w:before="200"/>
    </w:pPr>
    <w:rPr>
      <w:sz w:val="24"/>
      <w:szCs w:val="24"/>
    </w:rPr>
  </w:style>
  <w:style w:type="character" w:styleId="724" w:customStyle="1">
    <w:name w:val="Подзаголовок Знак"/>
    <w:basedOn w:val="695"/>
    <w:link w:val="723"/>
    <w:uiPriority w:val="11"/>
    <w:rPr>
      <w:sz w:val="24"/>
      <w:szCs w:val="24"/>
    </w:rPr>
  </w:style>
  <w:style w:type="paragraph" w:styleId="725">
    <w:name w:val="Quote"/>
    <w:basedOn w:val="685"/>
    <w:next w:val="685"/>
    <w:link w:val="726"/>
    <w:uiPriority w:val="29"/>
    <w:qFormat/>
    <w:pPr>
      <w:ind w:left="720" w:right="720"/>
    </w:pPr>
    <w:rPr>
      <w:i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685"/>
    <w:next w:val="685"/>
    <w:link w:val="72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character" w:styleId="729" w:customStyle="1">
    <w:name w:val="Header Char"/>
    <w:basedOn w:val="695"/>
    <w:uiPriority w:val="99"/>
  </w:style>
  <w:style w:type="character" w:styleId="730" w:customStyle="1">
    <w:name w:val="Footer Char"/>
    <w:basedOn w:val="695"/>
    <w:uiPriority w:val="99"/>
  </w:style>
  <w:style w:type="paragraph" w:styleId="731">
    <w:name w:val="Caption"/>
    <w:basedOn w:val="685"/>
    <w:next w:val="685"/>
    <w:link w:val="73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2" w:customStyle="1">
    <w:name w:val="Название объекта Знак"/>
    <w:basedOn w:val="695"/>
    <w:link w:val="731"/>
    <w:uiPriority w:val="35"/>
    <w:rPr>
      <w:b/>
      <w:bCs/>
      <w:color w:val="4f81bd" w:themeColor="accent1"/>
      <w:sz w:val="18"/>
      <w:szCs w:val="18"/>
    </w:rPr>
  </w:style>
  <w:style w:type="table" w:styleId="733" w:customStyle="1">
    <w:name w:val="Table Grid Light"/>
    <w:basedOn w:val="69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69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2" w:customStyle="1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3" w:customStyle="1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4" w:customStyle="1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5" w:customStyle="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6" w:customStyle="1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7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4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6" w:customStyle="1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7" w:customStyle="1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8" w:customStyle="1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9" w:customStyle="1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0" w:customStyle="1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5" w:customStyle="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7" w:customStyle="1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9" w:customStyle="1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0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 &amp; Lined - Accent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Bordered &amp; Lined - Accent 2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Bordered &amp; Lined - Accent 3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Bordered &amp; Lined - Accent 4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Bordered &amp; Lined - Accent 5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Bordered &amp; Lined - Accent 6"/>
    <w:basedOn w:val="69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3" w:customStyle="1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4" w:customStyle="1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5" w:customStyle="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6" w:customStyle="1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7" w:customStyle="1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8">
    <w:name w:val="footnote text"/>
    <w:basedOn w:val="68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695"/>
    <w:uiPriority w:val="99"/>
    <w:unhideWhenUsed/>
    <w:rPr>
      <w:vertAlign w:val="superscript"/>
    </w:rPr>
  </w:style>
  <w:style w:type="paragraph" w:styleId="861">
    <w:name w:val="endnote text"/>
    <w:basedOn w:val="68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695"/>
    <w:uiPriority w:val="99"/>
    <w:semiHidden/>
    <w:unhideWhenUsed/>
    <w:rPr>
      <w:vertAlign w:val="superscript"/>
    </w:rPr>
  </w:style>
  <w:style w:type="paragraph" w:styleId="864">
    <w:name w:val="toc 1"/>
    <w:basedOn w:val="685"/>
    <w:next w:val="685"/>
    <w:uiPriority w:val="39"/>
    <w:unhideWhenUsed/>
    <w:pPr>
      <w:spacing w:after="57"/>
    </w:pPr>
  </w:style>
  <w:style w:type="paragraph" w:styleId="865">
    <w:name w:val="toc 2"/>
    <w:basedOn w:val="685"/>
    <w:next w:val="685"/>
    <w:uiPriority w:val="39"/>
    <w:unhideWhenUsed/>
    <w:pPr>
      <w:ind w:left="283"/>
      <w:spacing w:after="57"/>
    </w:pPr>
  </w:style>
  <w:style w:type="paragraph" w:styleId="866">
    <w:name w:val="toc 3"/>
    <w:basedOn w:val="685"/>
    <w:next w:val="685"/>
    <w:uiPriority w:val="39"/>
    <w:unhideWhenUsed/>
    <w:pPr>
      <w:ind w:left="567"/>
      <w:spacing w:after="57"/>
    </w:pPr>
  </w:style>
  <w:style w:type="paragraph" w:styleId="867">
    <w:name w:val="toc 4"/>
    <w:basedOn w:val="685"/>
    <w:next w:val="685"/>
    <w:uiPriority w:val="39"/>
    <w:unhideWhenUsed/>
    <w:pPr>
      <w:ind w:left="850"/>
      <w:spacing w:after="57"/>
    </w:pPr>
  </w:style>
  <w:style w:type="paragraph" w:styleId="868">
    <w:name w:val="toc 5"/>
    <w:basedOn w:val="685"/>
    <w:next w:val="685"/>
    <w:uiPriority w:val="39"/>
    <w:unhideWhenUsed/>
    <w:pPr>
      <w:ind w:left="1134"/>
      <w:spacing w:after="57"/>
    </w:pPr>
  </w:style>
  <w:style w:type="paragraph" w:styleId="869">
    <w:name w:val="toc 6"/>
    <w:basedOn w:val="685"/>
    <w:next w:val="685"/>
    <w:uiPriority w:val="39"/>
    <w:unhideWhenUsed/>
    <w:pPr>
      <w:ind w:left="1417"/>
      <w:spacing w:after="57"/>
    </w:pPr>
  </w:style>
  <w:style w:type="paragraph" w:styleId="870">
    <w:name w:val="toc 7"/>
    <w:basedOn w:val="685"/>
    <w:next w:val="685"/>
    <w:uiPriority w:val="39"/>
    <w:unhideWhenUsed/>
    <w:pPr>
      <w:ind w:left="1701"/>
      <w:spacing w:after="57"/>
    </w:pPr>
  </w:style>
  <w:style w:type="paragraph" w:styleId="871">
    <w:name w:val="toc 8"/>
    <w:basedOn w:val="685"/>
    <w:next w:val="685"/>
    <w:uiPriority w:val="39"/>
    <w:unhideWhenUsed/>
    <w:pPr>
      <w:ind w:left="1984"/>
      <w:spacing w:after="57"/>
    </w:pPr>
  </w:style>
  <w:style w:type="paragraph" w:styleId="872">
    <w:name w:val="toc 9"/>
    <w:basedOn w:val="685"/>
    <w:next w:val="685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85"/>
    <w:next w:val="685"/>
    <w:uiPriority w:val="99"/>
    <w:unhideWhenUsed/>
    <w:pPr>
      <w:spacing w:after="0"/>
    </w:pPr>
  </w:style>
  <w:style w:type="paragraph" w:styleId="875">
    <w:name w:val="Header"/>
    <w:basedOn w:val="685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695"/>
    <w:link w:val="875"/>
    <w:uiPriority w:val="99"/>
  </w:style>
  <w:style w:type="paragraph" w:styleId="877">
    <w:name w:val="Footer"/>
    <w:basedOn w:val="685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695"/>
    <w:link w:val="877"/>
    <w:uiPriority w:val="99"/>
  </w:style>
  <w:style w:type="character" w:styleId="879">
    <w:name w:val="Hyperlink"/>
    <w:basedOn w:val="695"/>
    <w:uiPriority w:val="99"/>
    <w:unhideWhenUsed/>
    <w:rPr>
      <w:color w:val="0000ff" w:themeColor="hyperlink"/>
      <w:u w:val="single"/>
    </w:rPr>
  </w:style>
  <w:style w:type="character" w:styleId="880" w:customStyle="1">
    <w:name w:val="Основной текст_"/>
    <w:link w:val="881"/>
    <w:rPr>
      <w:rFonts w:ascii="Times New Roman" w:hAnsi="Times New Roman" w:eastAsia="Times New Roman"/>
      <w:sz w:val="21"/>
      <w:szCs w:val="21"/>
      <w:shd w:val="clear" w:color="auto" w:fill="ffffff"/>
    </w:rPr>
  </w:style>
  <w:style w:type="paragraph" w:styleId="881" w:customStyle="1">
    <w:name w:val="Основной текст1"/>
    <w:basedOn w:val="685"/>
    <w:link w:val="880"/>
    <w:pPr>
      <w:jc w:val="both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/>
      <w:sz w:val="21"/>
      <w:szCs w:val="21"/>
    </w:rPr>
  </w:style>
  <w:style w:type="paragraph" w:styleId="882" w:customStyle="1">
    <w:name w:val="ТекстДоговора"/>
    <w:basedOn w:val="685"/>
    <w:pPr>
      <w:ind w:firstLine="284"/>
      <w:jc w:val="both"/>
      <w:spacing w:before="60" w:after="0" w:line="240" w:lineRule="auto"/>
    </w:pPr>
    <w:rPr>
      <w:rFonts w:ascii="Tahoma" w:hAnsi="Tahoma" w:eastAsia="Times New Roman" w:cs="Times New Roman"/>
      <w:sz w:val="16"/>
      <w:szCs w:val="20"/>
      <w:lang w:eastAsia="ru-RU"/>
    </w:rPr>
  </w:style>
  <w:style w:type="character" w:styleId="883" w:customStyle="1">
    <w:name w:val="Без интервала Знак"/>
    <w:link w:val="884"/>
    <w:uiPriority w:val="1"/>
  </w:style>
  <w:style w:type="paragraph" w:styleId="884">
    <w:name w:val="No Spacing"/>
    <w:link w:val="883"/>
    <w:uiPriority w:val="1"/>
    <w:qFormat/>
    <w:pPr>
      <w:spacing w:after="0" w:line="240" w:lineRule="auto"/>
    </w:pPr>
  </w:style>
  <w:style w:type="character" w:styleId="885" w:customStyle="1">
    <w:name w:val="Заголовок 1 Знак"/>
    <w:basedOn w:val="695"/>
    <w:link w:val="686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86">
    <w:name w:val="Body Text"/>
    <w:basedOn w:val="685"/>
    <w:link w:val="887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7" w:customStyle="1">
    <w:name w:val="Основной текст Знак"/>
    <w:basedOn w:val="695"/>
    <w:link w:val="886"/>
    <w:semiHidden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8">
    <w:name w:val="List Paragraph"/>
    <w:basedOn w:val="685"/>
    <w:uiPriority w:val="34"/>
    <w:qFormat/>
    <w:pPr>
      <w:contextualSpacing/>
      <w:ind w:left="720"/>
    </w:pPr>
  </w:style>
  <w:style w:type="paragraph" w:styleId="889">
    <w:name w:val="Normal (Web)"/>
    <w:basedOn w:val="68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0">
    <w:name w:val="Balloon Text"/>
    <w:basedOn w:val="685"/>
    <w:link w:val="89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1" w:customStyle="1">
    <w:name w:val="Текст выноски Знак"/>
    <w:basedOn w:val="695"/>
    <w:link w:val="890"/>
    <w:uiPriority w:val="99"/>
    <w:semiHidden/>
    <w:rPr>
      <w:rFonts w:ascii="Segoe UI" w:hAnsi="Segoe UI" w:cs="Segoe UI"/>
      <w:sz w:val="18"/>
      <w:szCs w:val="18"/>
    </w:rPr>
  </w:style>
  <w:style w:type="character" w:styleId="892" w:customStyle="1">
    <w:name w:val="Неразрешенное упоминание1"/>
    <w:basedOn w:val="695"/>
    <w:uiPriority w:val="99"/>
    <w:semiHidden/>
    <w:unhideWhenUsed/>
    <w:rPr>
      <w:color w:val="605e5c"/>
      <w:shd w:val="clear" w:color="auto" w:fill="e1dfdd"/>
    </w:rPr>
  </w:style>
  <w:style w:type="paragraph" w:styleId="89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94" w:customStyle="1">
    <w:name w:val="Основной текст (2)"/>
    <w:basedOn w:val="695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character" w:styleId="895" w:customStyle="1">
    <w:name w:val="Заголовок 3 Знак"/>
    <w:basedOn w:val="695"/>
    <w:link w:val="688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table" w:styleId="896">
    <w:name w:val="Table Grid"/>
    <w:basedOn w:val="696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1165-A678-4A89-8FCB-5243430D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Управление Роспотребнадзора по Челябинской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Чернева Анна Николаевна</dc:creator>
  <cp:lastModifiedBy>e.frank@ekb.uralnedra</cp:lastModifiedBy>
  <cp:revision>221</cp:revision>
  <dcterms:created xsi:type="dcterms:W3CDTF">2021-04-28T05:59:00Z</dcterms:created>
  <dcterms:modified xsi:type="dcterms:W3CDTF">2026-08-24T12:22:43Z</dcterms:modified>
</cp:coreProperties>
</file>